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7"/>
      </w:pPr>
      <w:r>
        <w:rPr/>
        <w:pict>
          <v:group style="width:249.45pt;height:26.65pt;mso-position-horizontal-relative:char;mso-position-vertical-relative:line" coordorigin="0,0" coordsize="4989,533">
            <v:rect style="position:absolute;left:0;top:0;width:4989;height:533" filled="true" fillcolor="#ffffff" stroked="false">
              <v:fill type="solid"/>
            </v:rect>
          </v:group>
        </w:pict>
      </w:r>
      <w:r>
        <w:rPr/>
      </w:r>
    </w:p>
    <w:p>
      <w:pPr>
        <w:tabs>
          <w:tab w:pos="10922" w:val="left" w:leader="none"/>
        </w:tabs>
        <w:spacing w:line="1328" w:lineRule="exact" w:before="0"/>
        <w:ind w:left="553" w:right="0" w:firstLine="0"/>
        <w:jc w:val="left"/>
        <w:rPr>
          <w:b/>
          <w:sz w:val="120"/>
        </w:rPr>
      </w:pPr>
      <w:r>
        <w:rPr/>
        <w:pict>
          <v:shapetype id="_x0000_t202" o:spt="202" coordsize="21600,21600" path="m,l,21600r21600,l21600,xe">
            <v:stroke joinstyle="miter"/>
            <v:path gradientshapeok="t" o:connecttype="rect"/>
          </v:shapetype>
          <v:shape style="position:absolute;margin-left:560.149597pt;margin-top:-19.903601pt;width:15pt;height:10pt;mso-position-horizontal-relative:page;mso-position-vertical-relative:paragraph;z-index:-258898944" type="#_x0000_t202" filled="false" stroked="false">
            <v:textbox inset="0,0,0,0">
              <w:txbxContent>
                <w:p>
                  <w:pPr>
                    <w:spacing w:line="193" w:lineRule="exact" w:before="0"/>
                    <w:ind w:left="0" w:right="0" w:firstLine="0"/>
                    <w:jc w:val="left"/>
                    <w:rPr>
                      <w:b/>
                      <w:sz w:val="20"/>
                    </w:rPr>
                  </w:pPr>
                  <w:r>
                    <w:rPr>
                      <w:b/>
                      <w:sz w:val="20"/>
                    </w:rPr>
                    <w:t>195</w:t>
                  </w:r>
                </w:p>
              </w:txbxContent>
            </v:textbox>
            <w10:wrap type="none"/>
          </v:shape>
        </w:pict>
      </w:r>
      <w:r>
        <w:rPr/>
        <w:pict>
          <v:shape style="position:absolute;margin-left:56.692902pt;margin-top:-19.903601pt;width:177.05pt;height:10pt;mso-position-horizontal-relative:page;mso-position-vertical-relative:paragraph;z-index:-258897920" type="#_x0000_t202" filled="false" stroked="false">
            <v:textbox inset="0,0,0,0">
              <w:txbxContent>
                <w:p>
                  <w:pPr>
                    <w:spacing w:line="193" w:lineRule="exact" w:before="0"/>
                    <w:ind w:left="0" w:right="0" w:firstLine="0"/>
                    <w:jc w:val="left"/>
                    <w:rPr>
                      <w:i/>
                      <w:sz w:val="20"/>
                    </w:rPr>
                  </w:pPr>
                  <w:r>
                    <w:rPr>
                      <w:i/>
                      <w:sz w:val="20"/>
                    </w:rPr>
                    <w:t>Chapter 5: Underground geological</w:t>
                  </w:r>
                  <w:r>
                    <w:rPr>
                      <w:i/>
                      <w:spacing w:val="-26"/>
                      <w:sz w:val="20"/>
                    </w:rPr>
                    <w:t> </w:t>
                  </w:r>
                  <w:r>
                    <w:rPr>
                      <w:i/>
                      <w:sz w:val="20"/>
                    </w:rPr>
                    <w:t>storage</w:t>
                  </w:r>
                </w:p>
              </w:txbxContent>
            </v:textbox>
            <w10:wrap type="none"/>
          </v:shape>
        </w:pict>
      </w:r>
      <w:r>
        <w:rPr/>
        <w:pict>
          <v:rect style="position:absolute;margin-left:557.979980pt;margin-top:-26.962999pt;width:24.512pt;height:24.512pt;mso-position-horizontal-relative:page;mso-position-vertical-relative:paragraph;z-index:251662336" filled="true" fillcolor="#ffffff" stroked="false">
            <v:fill type="solid"/>
            <w10:wrap type="none"/>
          </v:rect>
        </w:pict>
      </w:r>
      <w:bookmarkStart w:name="5. Underground geological storage" w:id="1"/>
      <w:bookmarkEnd w:id="1"/>
      <w:r>
        <w:rPr/>
      </w:r>
      <w:r>
        <w:rPr>
          <w:b/>
          <w:sz w:val="120"/>
          <w:u w:val="single"/>
        </w:rPr>
        <w:t>5</w:t>
        <w:tab/>
      </w:r>
    </w:p>
    <w:p>
      <w:pPr>
        <w:pStyle w:val="BodyText"/>
        <w:rPr>
          <w:b/>
        </w:rPr>
      </w:pPr>
    </w:p>
    <w:p>
      <w:pPr>
        <w:pStyle w:val="BodyText"/>
        <w:rPr>
          <w:b/>
        </w:rPr>
      </w:pPr>
    </w:p>
    <w:p>
      <w:pPr>
        <w:spacing w:before="140"/>
        <w:ind w:left="553" w:right="0" w:firstLine="0"/>
        <w:jc w:val="both"/>
        <w:rPr>
          <w:b/>
          <w:sz w:val="44"/>
        </w:rPr>
      </w:pPr>
      <w:r>
        <w:rPr>
          <w:b/>
          <w:sz w:val="44"/>
        </w:rPr>
        <w:t>Underground geological storage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16"/>
        </w:rPr>
      </w:pPr>
      <w:r>
        <w:rPr/>
        <w:pict>
          <v:shape style="position:absolute;margin-left:56.693001pt;margin-top:12.13055pt;width:518.5pt;height:.1pt;mso-position-horizontal-relative:page;mso-position-vertical-relative:paragraph;z-index:-251657216;mso-wrap-distance-left:0;mso-wrap-distance-right:0" coordorigin="1134,243" coordsize="10370,0" path="m1134,243l11503,243e" filled="false" stroked="true" strokeweight="1pt" strokecolor="#000000">
            <v:path arrowok="t"/>
            <v:stroke dashstyle="solid"/>
            <w10:wrap type="topAndBottom"/>
          </v:shape>
        </w:pict>
      </w:r>
    </w:p>
    <w:p>
      <w:pPr>
        <w:pStyle w:val="BodyText"/>
        <w:rPr>
          <w:b/>
          <w:sz w:val="44"/>
        </w:rPr>
      </w:pPr>
    </w:p>
    <w:p>
      <w:pPr>
        <w:spacing w:before="395"/>
        <w:ind w:left="553" w:right="0" w:firstLine="0"/>
        <w:jc w:val="both"/>
        <w:rPr>
          <w:b/>
          <w:sz w:val="24"/>
        </w:rPr>
      </w:pPr>
      <w:r>
        <w:rPr>
          <w:b/>
          <w:sz w:val="24"/>
        </w:rPr>
        <w:t>Coordinating Lead Authors</w:t>
      </w:r>
    </w:p>
    <w:p>
      <w:pPr>
        <w:spacing w:before="12"/>
        <w:ind w:left="553" w:right="0" w:firstLine="0"/>
        <w:jc w:val="both"/>
        <w:rPr>
          <w:sz w:val="24"/>
        </w:rPr>
      </w:pPr>
      <w:r>
        <w:rPr>
          <w:sz w:val="24"/>
        </w:rPr>
        <w:t>Sally Benson (United States), Peter Cook (Australia)</w:t>
      </w:r>
    </w:p>
    <w:p>
      <w:pPr>
        <w:pStyle w:val="BodyText"/>
        <w:spacing w:before="1"/>
        <w:rPr>
          <w:sz w:val="26"/>
        </w:rPr>
      </w:pPr>
    </w:p>
    <w:p>
      <w:pPr>
        <w:spacing w:before="0"/>
        <w:ind w:left="553" w:right="0" w:firstLine="0"/>
        <w:jc w:val="both"/>
        <w:rPr>
          <w:b/>
          <w:sz w:val="24"/>
        </w:rPr>
      </w:pPr>
      <w:r>
        <w:rPr>
          <w:b/>
          <w:sz w:val="24"/>
        </w:rPr>
        <w:t>Lead Authors</w:t>
      </w:r>
    </w:p>
    <w:p>
      <w:pPr>
        <w:spacing w:line="249" w:lineRule="auto" w:before="12"/>
        <w:ind w:left="553" w:right="136" w:firstLine="0"/>
        <w:jc w:val="both"/>
        <w:rPr>
          <w:sz w:val="24"/>
        </w:rPr>
      </w:pPr>
      <w:r>
        <w:rPr>
          <w:sz w:val="24"/>
        </w:rPr>
        <w:t>Jason</w:t>
      </w:r>
      <w:r>
        <w:rPr>
          <w:spacing w:val="-30"/>
          <w:sz w:val="24"/>
        </w:rPr>
        <w:t> </w:t>
      </w:r>
      <w:r>
        <w:rPr>
          <w:sz w:val="24"/>
        </w:rPr>
        <w:t>Anderson</w:t>
      </w:r>
      <w:r>
        <w:rPr>
          <w:spacing w:val="-17"/>
          <w:sz w:val="24"/>
        </w:rPr>
        <w:t> </w:t>
      </w:r>
      <w:r>
        <w:rPr>
          <w:sz w:val="24"/>
        </w:rPr>
        <w:t>(United</w:t>
      </w:r>
      <w:r>
        <w:rPr>
          <w:spacing w:val="-17"/>
          <w:sz w:val="24"/>
        </w:rPr>
        <w:t> </w:t>
      </w:r>
      <w:r>
        <w:rPr>
          <w:sz w:val="24"/>
        </w:rPr>
        <w:t>States),</w:t>
      </w:r>
      <w:r>
        <w:rPr>
          <w:spacing w:val="-17"/>
          <w:sz w:val="24"/>
        </w:rPr>
        <w:t> </w:t>
      </w:r>
      <w:r>
        <w:rPr>
          <w:sz w:val="24"/>
        </w:rPr>
        <w:t>Stefan</w:t>
      </w:r>
      <w:r>
        <w:rPr>
          <w:spacing w:val="-18"/>
          <w:sz w:val="24"/>
        </w:rPr>
        <w:t> </w:t>
      </w:r>
      <w:r>
        <w:rPr>
          <w:sz w:val="24"/>
        </w:rPr>
        <w:t>Bachu</w:t>
      </w:r>
      <w:r>
        <w:rPr>
          <w:spacing w:val="-17"/>
          <w:sz w:val="24"/>
        </w:rPr>
        <w:t> </w:t>
      </w:r>
      <w:r>
        <w:rPr>
          <w:sz w:val="24"/>
        </w:rPr>
        <w:t>(Canada),</w:t>
      </w:r>
      <w:r>
        <w:rPr>
          <w:spacing w:val="-17"/>
          <w:sz w:val="24"/>
        </w:rPr>
        <w:t> </w:t>
      </w:r>
      <w:r>
        <w:rPr>
          <w:sz w:val="24"/>
        </w:rPr>
        <w:t>Hassan</w:t>
      </w:r>
      <w:r>
        <w:rPr>
          <w:spacing w:val="-17"/>
          <w:sz w:val="24"/>
        </w:rPr>
        <w:t> </w:t>
      </w:r>
      <w:r>
        <w:rPr>
          <w:sz w:val="24"/>
        </w:rPr>
        <w:t>Bashir</w:t>
      </w:r>
      <w:r>
        <w:rPr>
          <w:spacing w:val="-17"/>
          <w:sz w:val="24"/>
        </w:rPr>
        <w:t> </w:t>
      </w:r>
      <w:r>
        <w:rPr>
          <w:sz w:val="24"/>
        </w:rPr>
        <w:t>Nimir</w:t>
      </w:r>
      <w:r>
        <w:rPr>
          <w:spacing w:val="-17"/>
          <w:sz w:val="24"/>
        </w:rPr>
        <w:t> </w:t>
      </w:r>
      <w:r>
        <w:rPr>
          <w:sz w:val="24"/>
        </w:rPr>
        <w:t>(Sudan),</w:t>
      </w:r>
      <w:r>
        <w:rPr>
          <w:spacing w:val="-17"/>
          <w:sz w:val="24"/>
        </w:rPr>
        <w:t> </w:t>
      </w:r>
      <w:r>
        <w:rPr>
          <w:sz w:val="24"/>
        </w:rPr>
        <w:t>Biswajit</w:t>
      </w:r>
      <w:r>
        <w:rPr>
          <w:spacing w:val="-17"/>
          <w:sz w:val="24"/>
        </w:rPr>
        <w:t> </w:t>
      </w:r>
      <w:r>
        <w:rPr>
          <w:sz w:val="24"/>
        </w:rPr>
        <w:t>Basu</w:t>
      </w:r>
      <w:r>
        <w:rPr>
          <w:spacing w:val="-16"/>
          <w:sz w:val="24"/>
        </w:rPr>
        <w:t> </w:t>
      </w:r>
      <w:r>
        <w:rPr>
          <w:sz w:val="24"/>
        </w:rPr>
        <w:t>(India), John Bradshaw (Australia), Gota Deguchi (Japan), John Gale (United Kingdom), Gabriela von Goerne (Germany), </w:t>
      </w:r>
      <w:r>
        <w:rPr>
          <w:spacing w:val="-3"/>
          <w:sz w:val="24"/>
        </w:rPr>
        <w:t>Wolfgang </w:t>
      </w:r>
      <w:r>
        <w:rPr>
          <w:sz w:val="24"/>
        </w:rPr>
        <w:t>Heidug (Germany), Sam Holloway (United Kingdom), Rami Kamal (Saudi Arabia), David Keith (Canada), Philip Lloyd (South Africa), Paulo Rocha (Brazil), Bill Senior (United Kingdom), Jolyon Thomson (United Kingdom), </w:t>
      </w:r>
      <w:r>
        <w:rPr>
          <w:spacing w:val="-5"/>
          <w:sz w:val="24"/>
        </w:rPr>
        <w:t>Tore Torp </w:t>
      </w:r>
      <w:r>
        <w:rPr>
          <w:sz w:val="24"/>
        </w:rPr>
        <w:t>(Norway), </w:t>
      </w:r>
      <w:r>
        <w:rPr>
          <w:spacing w:val="-6"/>
          <w:sz w:val="24"/>
        </w:rPr>
        <w:t>Ton </w:t>
      </w:r>
      <w:r>
        <w:rPr>
          <w:sz w:val="24"/>
        </w:rPr>
        <w:t>Wildenborg (Netherlands), Malcolm Wilson (Canada), Francesco Zarlenga (Italy), Di Zhou</w:t>
      </w:r>
      <w:r>
        <w:rPr>
          <w:spacing w:val="-3"/>
          <w:sz w:val="24"/>
        </w:rPr>
        <w:t> </w:t>
      </w:r>
      <w:r>
        <w:rPr>
          <w:sz w:val="24"/>
        </w:rPr>
        <w:t>(China)</w:t>
      </w:r>
    </w:p>
    <w:p>
      <w:pPr>
        <w:pStyle w:val="BodyText"/>
        <w:spacing w:before="6"/>
        <w:rPr>
          <w:sz w:val="25"/>
        </w:rPr>
      </w:pPr>
    </w:p>
    <w:p>
      <w:pPr>
        <w:spacing w:before="1"/>
        <w:ind w:left="553" w:right="0" w:firstLine="0"/>
        <w:jc w:val="left"/>
        <w:rPr>
          <w:b/>
          <w:sz w:val="24"/>
        </w:rPr>
      </w:pPr>
      <w:r>
        <w:rPr>
          <w:b/>
          <w:sz w:val="24"/>
        </w:rPr>
        <w:t>Contributing Authors</w:t>
      </w:r>
    </w:p>
    <w:p>
      <w:pPr>
        <w:spacing w:line="249" w:lineRule="auto" w:before="12"/>
        <w:ind w:left="553" w:right="0" w:firstLine="0"/>
        <w:jc w:val="left"/>
        <w:rPr>
          <w:sz w:val="24"/>
        </w:rPr>
      </w:pPr>
      <w:r>
        <w:rPr>
          <w:sz w:val="24"/>
        </w:rPr>
        <w:t>Michael Celia (United States), Bill Gunter (Canada), Jonathan Ennis King (Australia), Erik Lindeberg (Norway), Salvatore Lombardi (Italy), Curt Oldenburg (United States), Karsten Pruess (United States) andy Rigg (Australia), Scott Stevens (United States), Elizabeth Wilson (United States), Steve Whittaker (Canada)</w:t>
      </w:r>
    </w:p>
    <w:p>
      <w:pPr>
        <w:pStyle w:val="BodyText"/>
        <w:spacing w:before="3"/>
        <w:rPr>
          <w:sz w:val="25"/>
        </w:rPr>
      </w:pPr>
    </w:p>
    <w:p>
      <w:pPr>
        <w:spacing w:before="0"/>
        <w:ind w:left="553" w:right="0" w:firstLine="0"/>
        <w:jc w:val="left"/>
        <w:rPr>
          <w:b/>
          <w:sz w:val="24"/>
        </w:rPr>
      </w:pPr>
      <w:r>
        <w:rPr>
          <w:b/>
          <w:sz w:val="24"/>
        </w:rPr>
        <w:t>Review Editors</w:t>
      </w:r>
    </w:p>
    <w:p>
      <w:pPr>
        <w:spacing w:before="12"/>
        <w:ind w:left="553" w:right="0" w:firstLine="0"/>
        <w:jc w:val="left"/>
        <w:rPr>
          <w:sz w:val="24"/>
        </w:rPr>
      </w:pPr>
      <w:r>
        <w:rPr>
          <w:sz w:val="24"/>
        </w:rPr>
        <w:t>Günther Borm (Germany), David Hawkins (United States), Arthur Lee (United States)</w:t>
      </w:r>
    </w:p>
    <w:p>
      <w:pPr>
        <w:spacing w:after="0"/>
        <w:jc w:val="left"/>
        <w:rPr>
          <w:sz w:val="24"/>
        </w:rPr>
        <w:sectPr>
          <w:type w:val="continuous"/>
          <w:pgSz w:w="12240" w:h="15840"/>
          <w:pgMar w:top="400" w:bottom="280" w:left="580" w:right="600"/>
        </w:sectPr>
      </w:pPr>
    </w:p>
    <w:p>
      <w:pPr>
        <w:pStyle w:val="BodyText"/>
      </w:pPr>
    </w:p>
    <w:p>
      <w:pPr>
        <w:pStyle w:val="BodyText"/>
        <w:rPr>
          <w:sz w:val="15"/>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8"/>
        <w:gridCol w:w="509"/>
        <w:gridCol w:w="652"/>
        <w:gridCol w:w="4179"/>
        <w:gridCol w:w="380"/>
      </w:tblGrid>
      <w:tr>
        <w:trPr>
          <w:trHeight w:val="417" w:hRule="atLeast"/>
        </w:trPr>
        <w:tc>
          <w:tcPr>
            <w:tcW w:w="4698" w:type="dxa"/>
            <w:tcBorders>
              <w:bottom w:val="single" w:sz="4" w:space="0" w:color="000000"/>
            </w:tcBorders>
          </w:tcPr>
          <w:p>
            <w:pPr>
              <w:pStyle w:val="TableParagraph"/>
              <w:spacing w:line="348" w:lineRule="exact" w:before="0"/>
              <w:ind w:left="50"/>
              <w:rPr>
                <w:b/>
                <w:sz w:val="36"/>
              </w:rPr>
            </w:pPr>
            <w:bookmarkStart w:name="Contents" w:id="2"/>
            <w:bookmarkEnd w:id="2"/>
            <w:r>
              <w:rPr/>
            </w:r>
            <w:r>
              <w:rPr>
                <w:b/>
                <w:sz w:val="36"/>
              </w:rPr>
              <w:t>Contents</w:t>
            </w:r>
          </w:p>
        </w:tc>
        <w:tc>
          <w:tcPr>
            <w:tcW w:w="5720" w:type="dxa"/>
            <w:gridSpan w:val="4"/>
            <w:tcBorders>
              <w:bottom w:val="single" w:sz="4" w:space="0" w:color="000000"/>
            </w:tcBorders>
          </w:tcPr>
          <w:p>
            <w:pPr>
              <w:pStyle w:val="TableParagraph"/>
              <w:spacing w:before="0"/>
              <w:ind w:left="0"/>
              <w:rPr>
                <w:sz w:val="20"/>
              </w:rPr>
            </w:pPr>
          </w:p>
        </w:tc>
      </w:tr>
      <w:tr>
        <w:trPr>
          <w:trHeight w:val="392" w:hRule="atLeast"/>
        </w:trPr>
        <w:tc>
          <w:tcPr>
            <w:tcW w:w="4698" w:type="dxa"/>
            <w:tcBorders>
              <w:top w:val="single" w:sz="4" w:space="0" w:color="000000"/>
            </w:tcBorders>
          </w:tcPr>
          <w:p>
            <w:pPr>
              <w:pStyle w:val="TableParagraph"/>
              <w:spacing w:before="136"/>
              <w:ind w:left="50"/>
              <w:rPr>
                <w:b/>
                <w:sz w:val="20"/>
              </w:rPr>
            </w:pPr>
            <w:r>
              <w:rPr>
                <w:b/>
                <w:w w:val="120"/>
                <w:sz w:val="20"/>
              </w:rPr>
              <w:t>ExECUtivE SUmmARy</w:t>
            </w:r>
          </w:p>
        </w:tc>
        <w:tc>
          <w:tcPr>
            <w:tcW w:w="509" w:type="dxa"/>
            <w:tcBorders>
              <w:top w:val="single" w:sz="4" w:space="0" w:color="000000"/>
            </w:tcBorders>
          </w:tcPr>
          <w:p>
            <w:pPr>
              <w:pStyle w:val="TableParagraph"/>
              <w:spacing w:before="136"/>
              <w:ind w:left="41"/>
              <w:rPr>
                <w:b/>
                <w:sz w:val="20"/>
              </w:rPr>
            </w:pPr>
            <w:r>
              <w:rPr>
                <w:b/>
                <w:sz w:val="20"/>
              </w:rPr>
              <w:t>197</w:t>
            </w:r>
          </w:p>
        </w:tc>
        <w:tc>
          <w:tcPr>
            <w:tcW w:w="652" w:type="dxa"/>
            <w:tcBorders>
              <w:top w:val="single" w:sz="4" w:space="0" w:color="000000"/>
            </w:tcBorders>
          </w:tcPr>
          <w:p>
            <w:pPr>
              <w:pStyle w:val="TableParagraph"/>
              <w:spacing w:before="136"/>
              <w:ind w:left="169"/>
              <w:rPr>
                <w:sz w:val="20"/>
              </w:rPr>
            </w:pPr>
            <w:r>
              <w:rPr>
                <w:sz w:val="20"/>
              </w:rPr>
              <w:t>5.6.6</w:t>
            </w:r>
          </w:p>
        </w:tc>
        <w:tc>
          <w:tcPr>
            <w:tcW w:w="4179" w:type="dxa"/>
            <w:tcBorders>
              <w:top w:val="single" w:sz="4" w:space="0" w:color="000000"/>
            </w:tcBorders>
          </w:tcPr>
          <w:p>
            <w:pPr>
              <w:pStyle w:val="TableParagraph"/>
              <w:spacing w:before="136"/>
              <w:ind w:left="84"/>
              <w:rPr>
                <w:sz w:val="20"/>
              </w:rPr>
            </w:pPr>
            <w:r>
              <w:rPr>
                <w:sz w:val="20"/>
              </w:rPr>
              <w:t>Monitoring network design</w:t>
            </w:r>
          </w:p>
        </w:tc>
        <w:tc>
          <w:tcPr>
            <w:tcW w:w="380" w:type="dxa"/>
            <w:tcBorders>
              <w:top w:val="single" w:sz="4" w:space="0" w:color="000000"/>
            </w:tcBorders>
          </w:tcPr>
          <w:p>
            <w:pPr>
              <w:pStyle w:val="TableParagraph"/>
              <w:spacing w:before="136"/>
              <w:ind w:left="27"/>
              <w:rPr>
                <w:sz w:val="20"/>
              </w:rPr>
            </w:pPr>
            <w:r>
              <w:rPr>
                <w:sz w:val="20"/>
              </w:rPr>
              <w:t>241</w:t>
            </w:r>
          </w:p>
        </w:tc>
      </w:tr>
      <w:tr>
        <w:trPr>
          <w:trHeight w:val="240" w:hRule="atLeast"/>
        </w:trPr>
        <w:tc>
          <w:tcPr>
            <w:tcW w:w="4698" w:type="dxa"/>
          </w:tcPr>
          <w:p>
            <w:pPr>
              <w:pStyle w:val="TableParagraph"/>
              <w:spacing w:before="0"/>
              <w:ind w:left="0"/>
              <w:rPr>
                <w:sz w:val="16"/>
              </w:rPr>
            </w:pPr>
          </w:p>
        </w:tc>
        <w:tc>
          <w:tcPr>
            <w:tcW w:w="509" w:type="dxa"/>
          </w:tcPr>
          <w:p>
            <w:pPr>
              <w:pStyle w:val="TableParagraph"/>
              <w:spacing w:before="0"/>
              <w:ind w:left="0"/>
              <w:rPr>
                <w:sz w:val="16"/>
              </w:rPr>
            </w:pPr>
          </w:p>
        </w:tc>
        <w:tc>
          <w:tcPr>
            <w:tcW w:w="652" w:type="dxa"/>
          </w:tcPr>
          <w:p>
            <w:pPr>
              <w:pStyle w:val="TableParagraph"/>
              <w:spacing w:line="213" w:lineRule="exact" w:before="0"/>
              <w:ind w:left="169"/>
              <w:rPr>
                <w:sz w:val="20"/>
              </w:rPr>
            </w:pPr>
            <w:r>
              <w:rPr>
                <w:sz w:val="20"/>
              </w:rPr>
              <w:t>5.6.7</w:t>
            </w:r>
          </w:p>
        </w:tc>
        <w:tc>
          <w:tcPr>
            <w:tcW w:w="4179" w:type="dxa"/>
          </w:tcPr>
          <w:p>
            <w:pPr>
              <w:pStyle w:val="TableParagraph"/>
              <w:spacing w:line="213" w:lineRule="exact" w:before="0"/>
              <w:ind w:left="84"/>
              <w:rPr>
                <w:sz w:val="20"/>
              </w:rPr>
            </w:pPr>
            <w:r>
              <w:rPr>
                <w:sz w:val="20"/>
              </w:rPr>
              <w:t>Long-term stewardship monitoring</w:t>
            </w:r>
          </w:p>
        </w:tc>
        <w:tc>
          <w:tcPr>
            <w:tcW w:w="380" w:type="dxa"/>
          </w:tcPr>
          <w:p>
            <w:pPr>
              <w:pStyle w:val="TableParagraph"/>
              <w:spacing w:line="213" w:lineRule="exact" w:before="0"/>
              <w:ind w:left="27"/>
              <w:rPr>
                <w:sz w:val="20"/>
              </w:rPr>
            </w:pPr>
            <w:r>
              <w:rPr>
                <w:sz w:val="20"/>
              </w:rPr>
              <w:t>241</w:t>
            </w:r>
          </w:p>
        </w:tc>
      </w:tr>
      <w:tr>
        <w:trPr>
          <w:trHeight w:val="262" w:hRule="atLeast"/>
        </w:trPr>
        <w:tc>
          <w:tcPr>
            <w:tcW w:w="4698" w:type="dxa"/>
          </w:tcPr>
          <w:p>
            <w:pPr>
              <w:pStyle w:val="TableParagraph"/>
              <w:tabs>
                <w:tab w:pos="616" w:val="left" w:leader="none"/>
              </w:tabs>
              <w:spacing w:line="213" w:lineRule="exact" w:before="0"/>
              <w:ind w:left="50"/>
              <w:rPr>
                <w:b/>
                <w:sz w:val="20"/>
              </w:rPr>
            </w:pPr>
            <w:r>
              <w:rPr>
                <w:b/>
                <w:sz w:val="20"/>
              </w:rPr>
              <w:t>5.1</w:t>
              <w:tab/>
              <w:t>introduction</w:t>
            </w:r>
          </w:p>
        </w:tc>
        <w:tc>
          <w:tcPr>
            <w:tcW w:w="509" w:type="dxa"/>
          </w:tcPr>
          <w:p>
            <w:pPr>
              <w:pStyle w:val="TableParagraph"/>
              <w:spacing w:line="213" w:lineRule="exact" w:before="0"/>
              <w:ind w:left="41"/>
              <w:rPr>
                <w:b/>
                <w:sz w:val="20"/>
              </w:rPr>
            </w:pPr>
            <w:r>
              <w:rPr>
                <w:b/>
                <w:sz w:val="20"/>
              </w:rPr>
              <w:t>199</w:t>
            </w:r>
          </w:p>
        </w:tc>
        <w:tc>
          <w:tcPr>
            <w:tcW w:w="652" w:type="dxa"/>
          </w:tcPr>
          <w:p>
            <w:pPr>
              <w:pStyle w:val="TableParagraph"/>
              <w:spacing w:line="213" w:lineRule="exact" w:before="0"/>
              <w:ind w:left="169"/>
              <w:rPr>
                <w:sz w:val="20"/>
              </w:rPr>
            </w:pPr>
            <w:r>
              <w:rPr>
                <w:sz w:val="20"/>
              </w:rPr>
              <w:t>5.6.8</w:t>
            </w:r>
          </w:p>
        </w:tc>
        <w:tc>
          <w:tcPr>
            <w:tcW w:w="4179" w:type="dxa"/>
          </w:tcPr>
          <w:p>
            <w:pPr>
              <w:pStyle w:val="TableParagraph"/>
              <w:spacing w:line="243" w:lineRule="exact" w:before="0"/>
              <w:ind w:left="84"/>
              <w:rPr>
                <w:sz w:val="20"/>
              </w:rPr>
            </w:pPr>
            <w:r>
              <w:rPr>
                <w:sz w:val="20"/>
              </w:rPr>
              <w:t>Verification of CO</w:t>
            </w:r>
            <w:r>
              <w:rPr>
                <w:position w:val="-6"/>
                <w:sz w:val="11"/>
              </w:rPr>
              <w:t>2 </w:t>
            </w:r>
            <w:r>
              <w:rPr>
                <w:sz w:val="20"/>
              </w:rPr>
              <w:t>injection and storage inventory</w:t>
            </w:r>
          </w:p>
        </w:tc>
        <w:tc>
          <w:tcPr>
            <w:tcW w:w="380" w:type="dxa"/>
          </w:tcPr>
          <w:p>
            <w:pPr>
              <w:pStyle w:val="TableParagraph"/>
              <w:spacing w:line="213" w:lineRule="exact" w:before="0"/>
              <w:ind w:left="27"/>
              <w:rPr>
                <w:sz w:val="20"/>
              </w:rPr>
            </w:pPr>
            <w:r>
              <w:rPr>
                <w:sz w:val="20"/>
              </w:rPr>
              <w:t>242</w:t>
            </w:r>
          </w:p>
        </w:tc>
      </w:tr>
      <w:tr>
        <w:trPr>
          <w:trHeight w:val="217" w:hRule="atLeast"/>
        </w:trPr>
        <w:tc>
          <w:tcPr>
            <w:tcW w:w="4698" w:type="dxa"/>
          </w:tcPr>
          <w:p>
            <w:pPr>
              <w:pStyle w:val="TableParagraph"/>
              <w:spacing w:line="190" w:lineRule="exact" w:before="0"/>
              <w:ind w:left="50"/>
              <w:rPr>
                <w:sz w:val="20"/>
              </w:rPr>
            </w:pPr>
            <w:r>
              <w:rPr>
                <w:sz w:val="20"/>
              </w:rPr>
              <w:t>5.1.1 What is geological storage?</w:t>
            </w:r>
          </w:p>
        </w:tc>
        <w:tc>
          <w:tcPr>
            <w:tcW w:w="509" w:type="dxa"/>
          </w:tcPr>
          <w:p>
            <w:pPr>
              <w:pStyle w:val="TableParagraph"/>
              <w:spacing w:line="190" w:lineRule="exact" w:before="0"/>
              <w:ind w:left="41"/>
              <w:rPr>
                <w:sz w:val="20"/>
              </w:rPr>
            </w:pPr>
            <w:r>
              <w:rPr>
                <w:sz w:val="20"/>
              </w:rPr>
              <w:t>199</w:t>
            </w:r>
          </w:p>
        </w:tc>
        <w:tc>
          <w:tcPr>
            <w:tcW w:w="652" w:type="dxa"/>
          </w:tcPr>
          <w:p>
            <w:pPr>
              <w:pStyle w:val="TableParagraph"/>
              <w:spacing w:before="0"/>
              <w:ind w:left="0"/>
              <w:rPr>
                <w:sz w:val="14"/>
              </w:rPr>
            </w:pPr>
          </w:p>
        </w:tc>
        <w:tc>
          <w:tcPr>
            <w:tcW w:w="4179" w:type="dxa"/>
          </w:tcPr>
          <w:p>
            <w:pPr>
              <w:pStyle w:val="TableParagraph"/>
              <w:spacing w:before="0"/>
              <w:ind w:left="0"/>
              <w:rPr>
                <w:sz w:val="14"/>
              </w:rPr>
            </w:pPr>
          </w:p>
        </w:tc>
        <w:tc>
          <w:tcPr>
            <w:tcW w:w="380" w:type="dxa"/>
          </w:tcPr>
          <w:p>
            <w:pPr>
              <w:pStyle w:val="TableParagraph"/>
              <w:spacing w:before="0"/>
              <w:ind w:left="0"/>
              <w:rPr>
                <w:sz w:val="14"/>
              </w:rPr>
            </w:pPr>
          </w:p>
        </w:tc>
      </w:tr>
      <w:tr>
        <w:trPr>
          <w:trHeight w:val="262" w:hRule="atLeast"/>
        </w:trPr>
        <w:tc>
          <w:tcPr>
            <w:tcW w:w="4698" w:type="dxa"/>
          </w:tcPr>
          <w:p>
            <w:pPr>
              <w:pStyle w:val="TableParagraph"/>
              <w:spacing w:line="243" w:lineRule="exact" w:before="0"/>
              <w:ind w:left="50"/>
              <w:rPr>
                <w:sz w:val="20"/>
              </w:rPr>
            </w:pPr>
            <w:r>
              <w:rPr>
                <w:sz w:val="20"/>
              </w:rPr>
              <w:t>5.1.2 Existing and planned CO</w:t>
            </w:r>
            <w:r>
              <w:rPr>
                <w:position w:val="-6"/>
                <w:sz w:val="11"/>
              </w:rPr>
              <w:t>2 </w:t>
            </w:r>
            <w:r>
              <w:rPr>
                <w:sz w:val="20"/>
              </w:rPr>
              <w:t>projects</w:t>
            </w:r>
          </w:p>
        </w:tc>
        <w:tc>
          <w:tcPr>
            <w:tcW w:w="509" w:type="dxa"/>
          </w:tcPr>
          <w:p>
            <w:pPr>
              <w:pStyle w:val="TableParagraph"/>
              <w:spacing w:line="213" w:lineRule="exact" w:before="0"/>
              <w:ind w:left="41"/>
              <w:rPr>
                <w:sz w:val="20"/>
              </w:rPr>
            </w:pPr>
            <w:r>
              <w:rPr>
                <w:sz w:val="20"/>
              </w:rPr>
              <w:t>200</w:t>
            </w:r>
          </w:p>
        </w:tc>
        <w:tc>
          <w:tcPr>
            <w:tcW w:w="652" w:type="dxa"/>
          </w:tcPr>
          <w:p>
            <w:pPr>
              <w:pStyle w:val="TableParagraph"/>
              <w:spacing w:line="213" w:lineRule="exact" w:before="0"/>
              <w:ind w:left="169"/>
              <w:rPr>
                <w:b/>
                <w:sz w:val="20"/>
              </w:rPr>
            </w:pPr>
            <w:r>
              <w:rPr>
                <w:b/>
                <w:sz w:val="20"/>
              </w:rPr>
              <w:t>5.7</w:t>
            </w:r>
          </w:p>
        </w:tc>
        <w:tc>
          <w:tcPr>
            <w:tcW w:w="4179" w:type="dxa"/>
          </w:tcPr>
          <w:p>
            <w:pPr>
              <w:pStyle w:val="TableParagraph"/>
              <w:spacing w:line="213" w:lineRule="exact" w:before="0"/>
              <w:ind w:left="84"/>
              <w:rPr>
                <w:b/>
                <w:sz w:val="20"/>
              </w:rPr>
            </w:pPr>
            <w:r>
              <w:rPr>
                <w:b/>
                <w:sz w:val="20"/>
              </w:rPr>
              <w:t>Risk management, risk assessment and</w:t>
            </w:r>
          </w:p>
        </w:tc>
        <w:tc>
          <w:tcPr>
            <w:tcW w:w="380" w:type="dxa"/>
          </w:tcPr>
          <w:p>
            <w:pPr>
              <w:pStyle w:val="TableParagraph"/>
              <w:spacing w:before="0"/>
              <w:ind w:left="0"/>
              <w:rPr>
                <w:sz w:val="18"/>
              </w:rPr>
            </w:pPr>
          </w:p>
        </w:tc>
      </w:tr>
      <w:tr>
        <w:trPr>
          <w:trHeight w:val="217" w:hRule="atLeast"/>
        </w:trPr>
        <w:tc>
          <w:tcPr>
            <w:tcW w:w="4698" w:type="dxa"/>
          </w:tcPr>
          <w:p>
            <w:pPr>
              <w:pStyle w:val="TableParagraph"/>
              <w:spacing w:line="190" w:lineRule="exact" w:before="0"/>
              <w:ind w:left="50"/>
              <w:rPr>
                <w:sz w:val="20"/>
              </w:rPr>
            </w:pPr>
            <w:r>
              <w:rPr>
                <w:sz w:val="20"/>
              </w:rPr>
              <w:t>5.1.3 Key questions</w:t>
            </w:r>
          </w:p>
        </w:tc>
        <w:tc>
          <w:tcPr>
            <w:tcW w:w="509" w:type="dxa"/>
          </w:tcPr>
          <w:p>
            <w:pPr>
              <w:pStyle w:val="TableParagraph"/>
              <w:spacing w:line="190" w:lineRule="exact" w:before="0"/>
              <w:ind w:left="41"/>
              <w:rPr>
                <w:sz w:val="20"/>
              </w:rPr>
            </w:pPr>
            <w:r>
              <w:rPr>
                <w:sz w:val="20"/>
              </w:rPr>
              <w:t>204</w:t>
            </w:r>
          </w:p>
        </w:tc>
        <w:tc>
          <w:tcPr>
            <w:tcW w:w="652" w:type="dxa"/>
          </w:tcPr>
          <w:p>
            <w:pPr>
              <w:pStyle w:val="TableParagraph"/>
              <w:spacing w:before="0"/>
              <w:ind w:left="0"/>
              <w:rPr>
                <w:sz w:val="14"/>
              </w:rPr>
            </w:pPr>
          </w:p>
        </w:tc>
        <w:tc>
          <w:tcPr>
            <w:tcW w:w="4179" w:type="dxa"/>
          </w:tcPr>
          <w:p>
            <w:pPr>
              <w:pStyle w:val="TableParagraph"/>
              <w:spacing w:line="190" w:lineRule="exact" w:before="0"/>
              <w:ind w:left="84"/>
              <w:rPr>
                <w:b/>
                <w:sz w:val="20"/>
              </w:rPr>
            </w:pPr>
            <w:r>
              <w:rPr>
                <w:b/>
                <w:sz w:val="20"/>
              </w:rPr>
              <w:t>remediation</w:t>
            </w:r>
          </w:p>
        </w:tc>
        <w:tc>
          <w:tcPr>
            <w:tcW w:w="380" w:type="dxa"/>
          </w:tcPr>
          <w:p>
            <w:pPr>
              <w:pStyle w:val="TableParagraph"/>
              <w:spacing w:line="190" w:lineRule="exact" w:before="0"/>
              <w:ind w:left="27"/>
              <w:rPr>
                <w:b/>
                <w:sz w:val="20"/>
              </w:rPr>
            </w:pPr>
            <w:r>
              <w:rPr>
                <w:b/>
                <w:sz w:val="20"/>
              </w:rPr>
              <w:t>242</w:t>
            </w:r>
          </w:p>
        </w:tc>
      </w:tr>
      <w:tr>
        <w:trPr>
          <w:trHeight w:val="240" w:hRule="atLeast"/>
        </w:trPr>
        <w:tc>
          <w:tcPr>
            <w:tcW w:w="4698" w:type="dxa"/>
          </w:tcPr>
          <w:p>
            <w:pPr>
              <w:pStyle w:val="TableParagraph"/>
              <w:spacing w:before="0"/>
              <w:ind w:left="0"/>
              <w:rPr>
                <w:sz w:val="16"/>
              </w:rPr>
            </w:pPr>
          </w:p>
        </w:tc>
        <w:tc>
          <w:tcPr>
            <w:tcW w:w="509" w:type="dxa"/>
          </w:tcPr>
          <w:p>
            <w:pPr>
              <w:pStyle w:val="TableParagraph"/>
              <w:spacing w:before="0"/>
              <w:ind w:left="0"/>
              <w:rPr>
                <w:sz w:val="16"/>
              </w:rPr>
            </w:pPr>
          </w:p>
        </w:tc>
        <w:tc>
          <w:tcPr>
            <w:tcW w:w="652" w:type="dxa"/>
          </w:tcPr>
          <w:p>
            <w:pPr>
              <w:pStyle w:val="TableParagraph"/>
              <w:spacing w:line="213" w:lineRule="exact" w:before="0"/>
              <w:ind w:left="169"/>
              <w:rPr>
                <w:sz w:val="20"/>
              </w:rPr>
            </w:pPr>
            <w:r>
              <w:rPr>
                <w:sz w:val="20"/>
              </w:rPr>
              <w:t>5.7.1</w:t>
            </w:r>
          </w:p>
        </w:tc>
        <w:tc>
          <w:tcPr>
            <w:tcW w:w="4179" w:type="dxa"/>
          </w:tcPr>
          <w:p>
            <w:pPr>
              <w:pStyle w:val="TableParagraph"/>
              <w:spacing w:line="213" w:lineRule="exact" w:before="0"/>
              <w:ind w:left="84"/>
              <w:rPr>
                <w:sz w:val="20"/>
              </w:rPr>
            </w:pPr>
            <w:r>
              <w:rPr>
                <w:sz w:val="20"/>
              </w:rPr>
              <w:t>Framework for assessing environmental risks</w:t>
            </w:r>
          </w:p>
        </w:tc>
        <w:tc>
          <w:tcPr>
            <w:tcW w:w="380" w:type="dxa"/>
          </w:tcPr>
          <w:p>
            <w:pPr>
              <w:pStyle w:val="TableParagraph"/>
              <w:spacing w:line="213" w:lineRule="exact" w:before="0"/>
              <w:ind w:left="27"/>
              <w:rPr>
                <w:sz w:val="20"/>
              </w:rPr>
            </w:pPr>
            <w:r>
              <w:rPr>
                <w:sz w:val="20"/>
              </w:rPr>
              <w:t>242</w:t>
            </w:r>
          </w:p>
        </w:tc>
      </w:tr>
      <w:tr>
        <w:trPr>
          <w:trHeight w:val="262" w:hRule="atLeast"/>
        </w:trPr>
        <w:tc>
          <w:tcPr>
            <w:tcW w:w="4698" w:type="dxa"/>
          </w:tcPr>
          <w:p>
            <w:pPr>
              <w:pStyle w:val="TableParagraph"/>
              <w:tabs>
                <w:tab w:pos="617" w:val="left" w:leader="none"/>
              </w:tabs>
              <w:spacing w:line="213" w:lineRule="exact" w:before="0"/>
              <w:ind w:left="50"/>
              <w:rPr>
                <w:b/>
                <w:sz w:val="20"/>
              </w:rPr>
            </w:pPr>
            <w:r>
              <w:rPr>
                <w:b/>
                <w:sz w:val="20"/>
              </w:rPr>
              <w:t>5.2</w:t>
              <w:tab/>
              <w:t>Storage mechanisms and storage</w:t>
            </w:r>
            <w:r>
              <w:rPr>
                <w:b/>
                <w:spacing w:val="-8"/>
                <w:sz w:val="20"/>
              </w:rPr>
              <w:t> </w:t>
            </w:r>
            <w:r>
              <w:rPr>
                <w:b/>
                <w:sz w:val="20"/>
              </w:rPr>
              <w:t>security</w:t>
            </w:r>
          </w:p>
        </w:tc>
        <w:tc>
          <w:tcPr>
            <w:tcW w:w="509" w:type="dxa"/>
          </w:tcPr>
          <w:p>
            <w:pPr>
              <w:pStyle w:val="TableParagraph"/>
              <w:spacing w:line="213" w:lineRule="exact" w:before="0"/>
              <w:ind w:left="41"/>
              <w:rPr>
                <w:b/>
                <w:sz w:val="20"/>
              </w:rPr>
            </w:pPr>
            <w:r>
              <w:rPr>
                <w:b/>
                <w:sz w:val="20"/>
              </w:rPr>
              <w:t>205</w:t>
            </w:r>
          </w:p>
        </w:tc>
        <w:tc>
          <w:tcPr>
            <w:tcW w:w="652" w:type="dxa"/>
          </w:tcPr>
          <w:p>
            <w:pPr>
              <w:pStyle w:val="TableParagraph"/>
              <w:spacing w:line="213" w:lineRule="exact" w:before="0"/>
              <w:ind w:left="169"/>
              <w:rPr>
                <w:sz w:val="20"/>
              </w:rPr>
            </w:pPr>
            <w:r>
              <w:rPr>
                <w:sz w:val="20"/>
              </w:rPr>
              <w:t>5.7.2</w:t>
            </w:r>
          </w:p>
        </w:tc>
        <w:tc>
          <w:tcPr>
            <w:tcW w:w="4179" w:type="dxa"/>
          </w:tcPr>
          <w:p>
            <w:pPr>
              <w:pStyle w:val="TableParagraph"/>
              <w:spacing w:line="243" w:lineRule="exact" w:before="0"/>
              <w:ind w:left="84"/>
              <w:rPr>
                <w:sz w:val="20"/>
              </w:rPr>
            </w:pPr>
            <w:r>
              <w:rPr>
                <w:sz w:val="20"/>
              </w:rPr>
              <w:t>Processes and pathways for release of CO</w:t>
            </w:r>
            <w:r>
              <w:rPr>
                <w:position w:val="-6"/>
                <w:sz w:val="11"/>
              </w:rPr>
              <w:t>2 </w:t>
            </w:r>
            <w:r>
              <w:rPr>
                <w:sz w:val="20"/>
              </w:rPr>
              <w:t>from</w:t>
            </w:r>
          </w:p>
        </w:tc>
        <w:tc>
          <w:tcPr>
            <w:tcW w:w="380" w:type="dxa"/>
          </w:tcPr>
          <w:p>
            <w:pPr>
              <w:pStyle w:val="TableParagraph"/>
              <w:spacing w:before="0"/>
              <w:ind w:left="0"/>
              <w:rPr>
                <w:sz w:val="18"/>
              </w:rPr>
            </w:pPr>
          </w:p>
        </w:tc>
      </w:tr>
      <w:tr>
        <w:trPr>
          <w:trHeight w:val="240" w:hRule="atLeast"/>
        </w:trPr>
        <w:tc>
          <w:tcPr>
            <w:tcW w:w="4698" w:type="dxa"/>
          </w:tcPr>
          <w:p>
            <w:pPr>
              <w:pStyle w:val="TableParagraph"/>
              <w:spacing w:line="184" w:lineRule="auto" w:before="0"/>
              <w:ind w:left="50"/>
              <w:rPr>
                <w:sz w:val="20"/>
              </w:rPr>
            </w:pPr>
            <w:r>
              <w:rPr>
                <w:sz w:val="20"/>
              </w:rPr>
              <w:t>5.2.1 CO</w:t>
            </w:r>
            <w:r>
              <w:rPr>
                <w:position w:val="-6"/>
                <w:sz w:val="11"/>
              </w:rPr>
              <w:t>2 </w:t>
            </w:r>
            <w:r>
              <w:rPr>
                <w:sz w:val="20"/>
              </w:rPr>
              <w:t>flow and transport processes</w:t>
            </w:r>
          </w:p>
        </w:tc>
        <w:tc>
          <w:tcPr>
            <w:tcW w:w="509" w:type="dxa"/>
          </w:tcPr>
          <w:p>
            <w:pPr>
              <w:pStyle w:val="TableParagraph"/>
              <w:spacing w:line="190" w:lineRule="exact" w:before="0"/>
              <w:ind w:left="41"/>
              <w:rPr>
                <w:sz w:val="20"/>
              </w:rPr>
            </w:pPr>
            <w:r>
              <w:rPr>
                <w:sz w:val="20"/>
              </w:rPr>
              <w:t>205</w:t>
            </w:r>
          </w:p>
        </w:tc>
        <w:tc>
          <w:tcPr>
            <w:tcW w:w="652" w:type="dxa"/>
          </w:tcPr>
          <w:p>
            <w:pPr>
              <w:pStyle w:val="TableParagraph"/>
              <w:spacing w:before="0"/>
              <w:ind w:left="0"/>
              <w:rPr>
                <w:sz w:val="16"/>
              </w:rPr>
            </w:pPr>
          </w:p>
        </w:tc>
        <w:tc>
          <w:tcPr>
            <w:tcW w:w="4179" w:type="dxa"/>
          </w:tcPr>
          <w:p>
            <w:pPr>
              <w:pStyle w:val="TableParagraph"/>
              <w:spacing w:line="190" w:lineRule="exact" w:before="0"/>
              <w:ind w:left="84"/>
              <w:rPr>
                <w:sz w:val="20"/>
              </w:rPr>
            </w:pPr>
            <w:r>
              <w:rPr>
                <w:sz w:val="20"/>
              </w:rPr>
              <w:t>geological storage sites</w:t>
            </w:r>
          </w:p>
        </w:tc>
        <w:tc>
          <w:tcPr>
            <w:tcW w:w="380" w:type="dxa"/>
          </w:tcPr>
          <w:p>
            <w:pPr>
              <w:pStyle w:val="TableParagraph"/>
              <w:spacing w:line="190" w:lineRule="exact" w:before="0"/>
              <w:ind w:left="27"/>
              <w:rPr>
                <w:sz w:val="20"/>
              </w:rPr>
            </w:pPr>
            <w:r>
              <w:rPr>
                <w:sz w:val="20"/>
              </w:rPr>
              <w:t>242</w:t>
            </w:r>
          </w:p>
        </w:tc>
      </w:tr>
      <w:tr>
        <w:trPr>
          <w:trHeight w:val="240" w:hRule="atLeast"/>
        </w:trPr>
        <w:tc>
          <w:tcPr>
            <w:tcW w:w="4698" w:type="dxa"/>
          </w:tcPr>
          <w:p>
            <w:pPr>
              <w:pStyle w:val="TableParagraph"/>
              <w:spacing w:line="184" w:lineRule="auto" w:before="0"/>
              <w:ind w:left="50"/>
              <w:rPr>
                <w:sz w:val="20"/>
              </w:rPr>
            </w:pPr>
            <w:r>
              <w:rPr>
                <w:sz w:val="20"/>
              </w:rPr>
              <w:t>5.2.2 CO</w:t>
            </w:r>
            <w:r>
              <w:rPr>
                <w:position w:val="-6"/>
                <w:sz w:val="11"/>
              </w:rPr>
              <w:t>2 </w:t>
            </w:r>
            <w:r>
              <w:rPr>
                <w:sz w:val="20"/>
              </w:rPr>
              <w:t>storage mechanisms in geological formations</w:t>
            </w:r>
          </w:p>
        </w:tc>
        <w:tc>
          <w:tcPr>
            <w:tcW w:w="509" w:type="dxa"/>
          </w:tcPr>
          <w:p>
            <w:pPr>
              <w:pStyle w:val="TableParagraph"/>
              <w:spacing w:line="190" w:lineRule="exact" w:before="0"/>
              <w:ind w:left="41"/>
              <w:rPr>
                <w:sz w:val="20"/>
              </w:rPr>
            </w:pPr>
            <w:r>
              <w:rPr>
                <w:sz w:val="20"/>
              </w:rPr>
              <w:t>208</w:t>
            </w:r>
          </w:p>
        </w:tc>
        <w:tc>
          <w:tcPr>
            <w:tcW w:w="652" w:type="dxa"/>
          </w:tcPr>
          <w:p>
            <w:pPr>
              <w:pStyle w:val="TableParagraph"/>
              <w:spacing w:line="190" w:lineRule="exact" w:before="0"/>
              <w:ind w:left="169"/>
              <w:rPr>
                <w:sz w:val="20"/>
              </w:rPr>
            </w:pPr>
            <w:r>
              <w:rPr>
                <w:sz w:val="20"/>
              </w:rPr>
              <w:t>5.7.3</w:t>
            </w:r>
          </w:p>
        </w:tc>
        <w:tc>
          <w:tcPr>
            <w:tcW w:w="4179" w:type="dxa"/>
          </w:tcPr>
          <w:p>
            <w:pPr>
              <w:pStyle w:val="TableParagraph"/>
              <w:spacing w:line="190" w:lineRule="exact" w:before="0"/>
              <w:ind w:left="84"/>
              <w:rPr>
                <w:sz w:val="20"/>
              </w:rPr>
            </w:pPr>
            <w:r>
              <w:rPr>
                <w:sz w:val="20"/>
              </w:rPr>
              <w:t>Probability of release from geological storage sites</w:t>
            </w:r>
          </w:p>
        </w:tc>
        <w:tc>
          <w:tcPr>
            <w:tcW w:w="380" w:type="dxa"/>
          </w:tcPr>
          <w:p>
            <w:pPr>
              <w:pStyle w:val="TableParagraph"/>
              <w:spacing w:line="190" w:lineRule="exact" w:before="0"/>
              <w:ind w:left="27"/>
              <w:rPr>
                <w:sz w:val="20"/>
              </w:rPr>
            </w:pPr>
            <w:r>
              <w:rPr>
                <w:sz w:val="20"/>
              </w:rPr>
              <w:t>244</w:t>
            </w:r>
          </w:p>
        </w:tc>
      </w:tr>
      <w:tr>
        <w:trPr>
          <w:trHeight w:val="240" w:hRule="atLeast"/>
        </w:trPr>
        <w:tc>
          <w:tcPr>
            <w:tcW w:w="4698" w:type="dxa"/>
          </w:tcPr>
          <w:p>
            <w:pPr>
              <w:pStyle w:val="TableParagraph"/>
              <w:spacing w:line="184" w:lineRule="auto" w:before="0"/>
              <w:ind w:left="50"/>
              <w:rPr>
                <w:sz w:val="11"/>
              </w:rPr>
            </w:pPr>
            <w:r>
              <w:rPr>
                <w:sz w:val="20"/>
              </w:rPr>
              <w:t>5.2.3 Natural geological accumulations of CO</w:t>
            </w:r>
            <w:r>
              <w:rPr>
                <w:position w:val="-6"/>
                <w:sz w:val="11"/>
              </w:rPr>
              <w:t>2</w:t>
            </w:r>
          </w:p>
        </w:tc>
        <w:tc>
          <w:tcPr>
            <w:tcW w:w="509" w:type="dxa"/>
          </w:tcPr>
          <w:p>
            <w:pPr>
              <w:pStyle w:val="TableParagraph"/>
              <w:spacing w:line="190" w:lineRule="exact" w:before="0"/>
              <w:ind w:left="41"/>
              <w:rPr>
                <w:sz w:val="20"/>
              </w:rPr>
            </w:pPr>
            <w:r>
              <w:rPr>
                <w:sz w:val="20"/>
              </w:rPr>
              <w:t>210</w:t>
            </w:r>
          </w:p>
        </w:tc>
        <w:tc>
          <w:tcPr>
            <w:tcW w:w="652" w:type="dxa"/>
          </w:tcPr>
          <w:p>
            <w:pPr>
              <w:pStyle w:val="TableParagraph"/>
              <w:spacing w:line="190" w:lineRule="exact" w:before="0"/>
              <w:ind w:left="169"/>
              <w:rPr>
                <w:sz w:val="20"/>
              </w:rPr>
            </w:pPr>
            <w:r>
              <w:rPr>
                <w:sz w:val="20"/>
              </w:rPr>
              <w:t>5.7.4</w:t>
            </w:r>
          </w:p>
        </w:tc>
        <w:tc>
          <w:tcPr>
            <w:tcW w:w="4179" w:type="dxa"/>
          </w:tcPr>
          <w:p>
            <w:pPr>
              <w:pStyle w:val="TableParagraph"/>
              <w:spacing w:line="190" w:lineRule="exact" w:before="0"/>
              <w:ind w:left="84"/>
              <w:rPr>
                <w:sz w:val="20"/>
              </w:rPr>
            </w:pPr>
            <w:r>
              <w:rPr>
                <w:sz w:val="20"/>
              </w:rPr>
              <w:t>Possible local and regional environmental hazards</w:t>
            </w:r>
          </w:p>
        </w:tc>
        <w:tc>
          <w:tcPr>
            <w:tcW w:w="380" w:type="dxa"/>
          </w:tcPr>
          <w:p>
            <w:pPr>
              <w:pStyle w:val="TableParagraph"/>
              <w:spacing w:line="190" w:lineRule="exact" w:before="0"/>
              <w:ind w:left="27"/>
              <w:rPr>
                <w:sz w:val="20"/>
              </w:rPr>
            </w:pPr>
            <w:r>
              <w:rPr>
                <w:sz w:val="20"/>
              </w:rPr>
              <w:t>246</w:t>
            </w:r>
          </w:p>
        </w:tc>
      </w:tr>
      <w:tr>
        <w:trPr>
          <w:trHeight w:val="240" w:hRule="atLeast"/>
        </w:trPr>
        <w:tc>
          <w:tcPr>
            <w:tcW w:w="4698" w:type="dxa"/>
          </w:tcPr>
          <w:p>
            <w:pPr>
              <w:pStyle w:val="TableParagraph"/>
              <w:spacing w:line="184" w:lineRule="auto" w:before="0"/>
              <w:ind w:left="50"/>
              <w:rPr>
                <w:sz w:val="20"/>
              </w:rPr>
            </w:pPr>
            <w:r>
              <w:rPr>
                <w:sz w:val="20"/>
              </w:rPr>
              <w:t>5.2.4 Industrial analogues for CO</w:t>
            </w:r>
            <w:r>
              <w:rPr>
                <w:position w:val="-6"/>
                <w:sz w:val="11"/>
              </w:rPr>
              <w:t>2 </w:t>
            </w:r>
            <w:r>
              <w:rPr>
                <w:sz w:val="20"/>
              </w:rPr>
              <w:t>storage</w:t>
            </w:r>
          </w:p>
        </w:tc>
        <w:tc>
          <w:tcPr>
            <w:tcW w:w="509" w:type="dxa"/>
          </w:tcPr>
          <w:p>
            <w:pPr>
              <w:pStyle w:val="TableParagraph"/>
              <w:spacing w:line="190" w:lineRule="exact" w:before="0"/>
              <w:ind w:left="48"/>
              <w:rPr>
                <w:sz w:val="20"/>
              </w:rPr>
            </w:pPr>
            <w:r>
              <w:rPr>
                <w:sz w:val="20"/>
              </w:rPr>
              <w:t>211</w:t>
            </w:r>
          </w:p>
        </w:tc>
        <w:tc>
          <w:tcPr>
            <w:tcW w:w="652" w:type="dxa"/>
          </w:tcPr>
          <w:p>
            <w:pPr>
              <w:pStyle w:val="TableParagraph"/>
              <w:spacing w:line="190" w:lineRule="exact" w:before="0"/>
              <w:ind w:left="169"/>
              <w:rPr>
                <w:sz w:val="20"/>
              </w:rPr>
            </w:pPr>
            <w:r>
              <w:rPr>
                <w:sz w:val="20"/>
              </w:rPr>
              <w:t>5.7.5</w:t>
            </w:r>
          </w:p>
        </w:tc>
        <w:tc>
          <w:tcPr>
            <w:tcW w:w="4179" w:type="dxa"/>
          </w:tcPr>
          <w:p>
            <w:pPr>
              <w:pStyle w:val="TableParagraph"/>
              <w:spacing w:line="190" w:lineRule="exact" w:before="0"/>
              <w:ind w:left="84"/>
              <w:rPr>
                <w:sz w:val="20"/>
              </w:rPr>
            </w:pPr>
            <w:r>
              <w:rPr>
                <w:sz w:val="20"/>
              </w:rPr>
              <w:t>Risk assessment methodology</w:t>
            </w:r>
          </w:p>
        </w:tc>
        <w:tc>
          <w:tcPr>
            <w:tcW w:w="380" w:type="dxa"/>
          </w:tcPr>
          <w:p>
            <w:pPr>
              <w:pStyle w:val="TableParagraph"/>
              <w:spacing w:line="190" w:lineRule="exact" w:before="0"/>
              <w:ind w:left="27"/>
              <w:rPr>
                <w:sz w:val="20"/>
              </w:rPr>
            </w:pPr>
            <w:r>
              <w:rPr>
                <w:sz w:val="20"/>
              </w:rPr>
              <w:t>250</w:t>
            </w:r>
          </w:p>
        </w:tc>
      </w:tr>
      <w:tr>
        <w:trPr>
          <w:trHeight w:val="240" w:hRule="atLeast"/>
        </w:trPr>
        <w:tc>
          <w:tcPr>
            <w:tcW w:w="4698" w:type="dxa"/>
          </w:tcPr>
          <w:p>
            <w:pPr>
              <w:pStyle w:val="TableParagraph"/>
              <w:spacing w:line="184" w:lineRule="auto" w:before="0"/>
              <w:ind w:left="50"/>
              <w:rPr>
                <w:sz w:val="20"/>
              </w:rPr>
            </w:pPr>
            <w:r>
              <w:rPr>
                <w:sz w:val="20"/>
              </w:rPr>
              <w:t>5.2.5 Security and duration of CO</w:t>
            </w:r>
            <w:r>
              <w:rPr>
                <w:position w:val="-6"/>
                <w:sz w:val="11"/>
              </w:rPr>
              <w:t>2 </w:t>
            </w:r>
            <w:r>
              <w:rPr>
                <w:sz w:val="20"/>
              </w:rPr>
              <w:t>storage in geological</w:t>
            </w:r>
          </w:p>
        </w:tc>
        <w:tc>
          <w:tcPr>
            <w:tcW w:w="509" w:type="dxa"/>
          </w:tcPr>
          <w:p>
            <w:pPr>
              <w:pStyle w:val="TableParagraph"/>
              <w:spacing w:before="0"/>
              <w:ind w:left="0"/>
              <w:rPr>
                <w:sz w:val="16"/>
              </w:rPr>
            </w:pPr>
          </w:p>
        </w:tc>
        <w:tc>
          <w:tcPr>
            <w:tcW w:w="652" w:type="dxa"/>
          </w:tcPr>
          <w:p>
            <w:pPr>
              <w:pStyle w:val="TableParagraph"/>
              <w:spacing w:line="190" w:lineRule="exact" w:before="0"/>
              <w:ind w:left="169"/>
              <w:rPr>
                <w:sz w:val="20"/>
              </w:rPr>
            </w:pPr>
            <w:r>
              <w:rPr>
                <w:sz w:val="20"/>
              </w:rPr>
              <w:t>5.7.6</w:t>
            </w:r>
          </w:p>
        </w:tc>
        <w:tc>
          <w:tcPr>
            <w:tcW w:w="4179" w:type="dxa"/>
          </w:tcPr>
          <w:p>
            <w:pPr>
              <w:pStyle w:val="TableParagraph"/>
              <w:spacing w:line="190" w:lineRule="exact" w:before="0"/>
              <w:ind w:left="84"/>
              <w:rPr>
                <w:sz w:val="20"/>
              </w:rPr>
            </w:pPr>
            <w:r>
              <w:rPr>
                <w:sz w:val="20"/>
              </w:rPr>
              <w:t>Risk management</w:t>
            </w:r>
          </w:p>
        </w:tc>
        <w:tc>
          <w:tcPr>
            <w:tcW w:w="380" w:type="dxa"/>
          </w:tcPr>
          <w:p>
            <w:pPr>
              <w:pStyle w:val="TableParagraph"/>
              <w:spacing w:line="190" w:lineRule="exact" w:before="0"/>
              <w:ind w:left="27"/>
              <w:rPr>
                <w:sz w:val="20"/>
              </w:rPr>
            </w:pPr>
            <w:r>
              <w:rPr>
                <w:sz w:val="20"/>
              </w:rPr>
              <w:t>251</w:t>
            </w:r>
          </w:p>
        </w:tc>
      </w:tr>
      <w:tr>
        <w:trPr>
          <w:trHeight w:val="337" w:hRule="atLeast"/>
        </w:trPr>
        <w:tc>
          <w:tcPr>
            <w:tcW w:w="4698" w:type="dxa"/>
          </w:tcPr>
          <w:p>
            <w:pPr>
              <w:pStyle w:val="TableParagraph"/>
              <w:spacing w:line="190" w:lineRule="exact" w:before="0"/>
              <w:ind w:left="616"/>
              <w:rPr>
                <w:sz w:val="20"/>
              </w:rPr>
            </w:pPr>
            <w:r>
              <w:rPr>
                <w:sz w:val="20"/>
              </w:rPr>
              <w:t>formations</w:t>
            </w:r>
          </w:p>
        </w:tc>
        <w:tc>
          <w:tcPr>
            <w:tcW w:w="509" w:type="dxa"/>
          </w:tcPr>
          <w:p>
            <w:pPr>
              <w:pStyle w:val="TableParagraph"/>
              <w:spacing w:line="190" w:lineRule="exact" w:before="0"/>
              <w:ind w:left="40"/>
              <w:rPr>
                <w:sz w:val="20"/>
              </w:rPr>
            </w:pPr>
            <w:r>
              <w:rPr>
                <w:sz w:val="20"/>
              </w:rPr>
              <w:t>212</w:t>
            </w:r>
          </w:p>
        </w:tc>
        <w:tc>
          <w:tcPr>
            <w:tcW w:w="652" w:type="dxa"/>
          </w:tcPr>
          <w:p>
            <w:pPr>
              <w:pStyle w:val="TableParagraph"/>
              <w:spacing w:line="190" w:lineRule="exact" w:before="0"/>
              <w:ind w:left="169"/>
              <w:rPr>
                <w:sz w:val="20"/>
              </w:rPr>
            </w:pPr>
            <w:r>
              <w:rPr>
                <w:sz w:val="20"/>
              </w:rPr>
              <w:t>5.7.7</w:t>
            </w:r>
          </w:p>
        </w:tc>
        <w:tc>
          <w:tcPr>
            <w:tcW w:w="4179" w:type="dxa"/>
          </w:tcPr>
          <w:p>
            <w:pPr>
              <w:pStyle w:val="TableParagraph"/>
              <w:spacing w:line="190" w:lineRule="exact" w:before="0"/>
              <w:ind w:left="84"/>
              <w:rPr>
                <w:sz w:val="20"/>
              </w:rPr>
            </w:pPr>
            <w:r>
              <w:rPr>
                <w:sz w:val="20"/>
              </w:rPr>
              <w:t>Remediation of leaking storage projects</w:t>
            </w:r>
          </w:p>
        </w:tc>
        <w:tc>
          <w:tcPr>
            <w:tcW w:w="380" w:type="dxa"/>
          </w:tcPr>
          <w:p>
            <w:pPr>
              <w:pStyle w:val="TableParagraph"/>
              <w:spacing w:line="190" w:lineRule="exact" w:before="0"/>
              <w:ind w:left="27"/>
              <w:rPr>
                <w:sz w:val="20"/>
              </w:rPr>
            </w:pPr>
            <w:r>
              <w:rPr>
                <w:sz w:val="20"/>
              </w:rPr>
              <w:t>252</w:t>
            </w:r>
          </w:p>
        </w:tc>
      </w:tr>
      <w:tr>
        <w:trPr>
          <w:trHeight w:val="360" w:hRule="atLeast"/>
        </w:trPr>
        <w:tc>
          <w:tcPr>
            <w:tcW w:w="4698" w:type="dxa"/>
          </w:tcPr>
          <w:p>
            <w:pPr>
              <w:pStyle w:val="TableParagraph"/>
              <w:tabs>
                <w:tab w:pos="616" w:val="left" w:leader="none"/>
              </w:tabs>
              <w:spacing w:before="103"/>
              <w:ind w:left="49"/>
              <w:rPr>
                <w:b/>
                <w:sz w:val="20"/>
              </w:rPr>
            </w:pPr>
            <w:r>
              <w:rPr>
                <w:b/>
                <w:sz w:val="20"/>
              </w:rPr>
              <w:t>5.3</w:t>
              <w:tab/>
              <w:t>Storage formations, capacity and</w:t>
            </w:r>
            <w:r>
              <w:rPr>
                <w:b/>
                <w:spacing w:val="-5"/>
                <w:sz w:val="20"/>
              </w:rPr>
              <w:t> </w:t>
            </w:r>
            <w:r>
              <w:rPr>
                <w:b/>
                <w:sz w:val="20"/>
              </w:rPr>
              <w:t>geographical</w:t>
            </w:r>
          </w:p>
        </w:tc>
        <w:tc>
          <w:tcPr>
            <w:tcW w:w="509" w:type="dxa"/>
          </w:tcPr>
          <w:p>
            <w:pPr>
              <w:pStyle w:val="TableParagraph"/>
              <w:spacing w:before="0"/>
              <w:ind w:left="0"/>
              <w:rPr>
                <w:sz w:val="20"/>
              </w:rPr>
            </w:pPr>
          </w:p>
        </w:tc>
        <w:tc>
          <w:tcPr>
            <w:tcW w:w="652" w:type="dxa"/>
          </w:tcPr>
          <w:p>
            <w:pPr>
              <w:pStyle w:val="TableParagraph"/>
              <w:spacing w:before="103"/>
              <w:ind w:left="169"/>
              <w:rPr>
                <w:b/>
                <w:sz w:val="20"/>
              </w:rPr>
            </w:pPr>
            <w:r>
              <w:rPr>
                <w:b/>
                <w:sz w:val="20"/>
              </w:rPr>
              <w:t>5.8</w:t>
            </w:r>
          </w:p>
        </w:tc>
        <w:tc>
          <w:tcPr>
            <w:tcW w:w="4179" w:type="dxa"/>
          </w:tcPr>
          <w:p>
            <w:pPr>
              <w:pStyle w:val="TableParagraph"/>
              <w:spacing w:before="103"/>
              <w:ind w:left="84"/>
              <w:rPr>
                <w:b/>
                <w:sz w:val="20"/>
              </w:rPr>
            </w:pPr>
            <w:r>
              <w:rPr>
                <w:b/>
                <w:sz w:val="20"/>
              </w:rPr>
              <w:t>Legal issues and public acceptance</w:t>
            </w:r>
          </w:p>
        </w:tc>
        <w:tc>
          <w:tcPr>
            <w:tcW w:w="380" w:type="dxa"/>
          </w:tcPr>
          <w:p>
            <w:pPr>
              <w:pStyle w:val="TableParagraph"/>
              <w:spacing w:before="103"/>
              <w:ind w:left="27"/>
              <w:rPr>
                <w:b/>
                <w:sz w:val="20"/>
              </w:rPr>
            </w:pPr>
            <w:r>
              <w:rPr>
                <w:b/>
                <w:sz w:val="20"/>
              </w:rPr>
              <w:t>252</w:t>
            </w:r>
          </w:p>
        </w:tc>
      </w:tr>
      <w:tr>
        <w:trPr>
          <w:trHeight w:val="240" w:hRule="atLeast"/>
        </w:trPr>
        <w:tc>
          <w:tcPr>
            <w:tcW w:w="4698" w:type="dxa"/>
          </w:tcPr>
          <w:p>
            <w:pPr>
              <w:pStyle w:val="TableParagraph"/>
              <w:spacing w:line="213" w:lineRule="exact" w:before="0"/>
              <w:ind w:left="616"/>
              <w:rPr>
                <w:b/>
                <w:sz w:val="20"/>
              </w:rPr>
            </w:pPr>
            <w:r>
              <w:rPr>
                <w:b/>
                <w:sz w:val="20"/>
              </w:rPr>
              <w:t>distribution</w:t>
            </w:r>
          </w:p>
        </w:tc>
        <w:tc>
          <w:tcPr>
            <w:tcW w:w="509" w:type="dxa"/>
          </w:tcPr>
          <w:p>
            <w:pPr>
              <w:pStyle w:val="TableParagraph"/>
              <w:spacing w:line="213" w:lineRule="exact" w:before="0"/>
              <w:ind w:left="40"/>
              <w:rPr>
                <w:b/>
                <w:sz w:val="20"/>
              </w:rPr>
            </w:pPr>
            <w:r>
              <w:rPr>
                <w:b/>
                <w:sz w:val="20"/>
              </w:rPr>
              <w:t>213</w:t>
            </w:r>
          </w:p>
        </w:tc>
        <w:tc>
          <w:tcPr>
            <w:tcW w:w="652" w:type="dxa"/>
          </w:tcPr>
          <w:p>
            <w:pPr>
              <w:pStyle w:val="TableParagraph"/>
              <w:spacing w:line="213" w:lineRule="exact" w:before="0"/>
              <w:ind w:left="169"/>
              <w:rPr>
                <w:sz w:val="20"/>
              </w:rPr>
            </w:pPr>
            <w:r>
              <w:rPr>
                <w:sz w:val="20"/>
              </w:rPr>
              <w:t>5.8.1</w:t>
            </w:r>
          </w:p>
        </w:tc>
        <w:tc>
          <w:tcPr>
            <w:tcW w:w="4179" w:type="dxa"/>
          </w:tcPr>
          <w:p>
            <w:pPr>
              <w:pStyle w:val="TableParagraph"/>
              <w:spacing w:line="213" w:lineRule="exact" w:before="0"/>
              <w:ind w:left="84"/>
              <w:rPr>
                <w:sz w:val="20"/>
              </w:rPr>
            </w:pPr>
            <w:r>
              <w:rPr>
                <w:sz w:val="20"/>
              </w:rPr>
              <w:t>International law</w:t>
            </w:r>
          </w:p>
        </w:tc>
        <w:tc>
          <w:tcPr>
            <w:tcW w:w="380" w:type="dxa"/>
          </w:tcPr>
          <w:p>
            <w:pPr>
              <w:pStyle w:val="TableParagraph"/>
              <w:spacing w:line="213" w:lineRule="exact" w:before="0"/>
              <w:ind w:left="27"/>
              <w:rPr>
                <w:sz w:val="20"/>
              </w:rPr>
            </w:pPr>
            <w:r>
              <w:rPr>
                <w:sz w:val="20"/>
              </w:rPr>
              <w:t>252</w:t>
            </w:r>
          </w:p>
        </w:tc>
      </w:tr>
      <w:tr>
        <w:trPr>
          <w:trHeight w:val="240" w:hRule="atLeast"/>
        </w:trPr>
        <w:tc>
          <w:tcPr>
            <w:tcW w:w="4698" w:type="dxa"/>
          </w:tcPr>
          <w:p>
            <w:pPr>
              <w:pStyle w:val="TableParagraph"/>
              <w:spacing w:line="213" w:lineRule="exact" w:before="0"/>
              <w:ind w:left="49"/>
              <w:rPr>
                <w:sz w:val="20"/>
              </w:rPr>
            </w:pPr>
            <w:r>
              <w:rPr>
                <w:sz w:val="20"/>
              </w:rPr>
              <w:t>5.3.1 General site-selection criteria</w:t>
            </w:r>
          </w:p>
        </w:tc>
        <w:tc>
          <w:tcPr>
            <w:tcW w:w="509" w:type="dxa"/>
          </w:tcPr>
          <w:p>
            <w:pPr>
              <w:pStyle w:val="TableParagraph"/>
              <w:spacing w:line="213" w:lineRule="exact" w:before="0"/>
              <w:ind w:left="40"/>
              <w:rPr>
                <w:sz w:val="20"/>
              </w:rPr>
            </w:pPr>
            <w:r>
              <w:rPr>
                <w:sz w:val="20"/>
              </w:rPr>
              <w:t>213</w:t>
            </w:r>
          </w:p>
        </w:tc>
        <w:tc>
          <w:tcPr>
            <w:tcW w:w="652" w:type="dxa"/>
          </w:tcPr>
          <w:p>
            <w:pPr>
              <w:pStyle w:val="TableParagraph"/>
              <w:spacing w:line="213" w:lineRule="exact" w:before="0"/>
              <w:ind w:left="169"/>
              <w:rPr>
                <w:sz w:val="20"/>
              </w:rPr>
            </w:pPr>
            <w:r>
              <w:rPr>
                <w:sz w:val="20"/>
              </w:rPr>
              <w:t>5.8.2</w:t>
            </w:r>
          </w:p>
        </w:tc>
        <w:tc>
          <w:tcPr>
            <w:tcW w:w="4179" w:type="dxa"/>
          </w:tcPr>
          <w:p>
            <w:pPr>
              <w:pStyle w:val="TableParagraph"/>
              <w:spacing w:line="213" w:lineRule="exact" w:before="0"/>
              <w:ind w:left="84"/>
              <w:rPr>
                <w:sz w:val="20"/>
              </w:rPr>
            </w:pPr>
            <w:r>
              <w:rPr>
                <w:sz w:val="20"/>
              </w:rPr>
              <w:t>National regulations and standards</w:t>
            </w:r>
          </w:p>
        </w:tc>
        <w:tc>
          <w:tcPr>
            <w:tcW w:w="380" w:type="dxa"/>
          </w:tcPr>
          <w:p>
            <w:pPr>
              <w:pStyle w:val="TableParagraph"/>
              <w:spacing w:line="213" w:lineRule="exact" w:before="0"/>
              <w:ind w:left="27"/>
              <w:rPr>
                <w:sz w:val="20"/>
              </w:rPr>
            </w:pPr>
            <w:r>
              <w:rPr>
                <w:sz w:val="20"/>
              </w:rPr>
              <w:t>255</w:t>
            </w:r>
          </w:p>
        </w:tc>
      </w:tr>
      <w:tr>
        <w:trPr>
          <w:trHeight w:val="240" w:hRule="atLeast"/>
        </w:trPr>
        <w:tc>
          <w:tcPr>
            <w:tcW w:w="4698" w:type="dxa"/>
          </w:tcPr>
          <w:p>
            <w:pPr>
              <w:pStyle w:val="TableParagraph"/>
              <w:spacing w:line="213" w:lineRule="exact" w:before="0"/>
              <w:ind w:left="49"/>
              <w:rPr>
                <w:sz w:val="20"/>
              </w:rPr>
            </w:pPr>
            <w:r>
              <w:rPr>
                <w:sz w:val="20"/>
              </w:rPr>
              <w:t>5.3.2 Oil and gas fields</w:t>
            </w:r>
          </w:p>
        </w:tc>
        <w:tc>
          <w:tcPr>
            <w:tcW w:w="509" w:type="dxa"/>
          </w:tcPr>
          <w:p>
            <w:pPr>
              <w:pStyle w:val="TableParagraph"/>
              <w:spacing w:line="213" w:lineRule="exact" w:before="0"/>
              <w:ind w:left="40"/>
              <w:rPr>
                <w:sz w:val="20"/>
              </w:rPr>
            </w:pPr>
            <w:r>
              <w:rPr>
                <w:sz w:val="20"/>
              </w:rPr>
              <w:t>215</w:t>
            </w:r>
          </w:p>
        </w:tc>
        <w:tc>
          <w:tcPr>
            <w:tcW w:w="652" w:type="dxa"/>
          </w:tcPr>
          <w:p>
            <w:pPr>
              <w:pStyle w:val="TableParagraph"/>
              <w:spacing w:line="213" w:lineRule="exact" w:before="0"/>
              <w:ind w:left="169"/>
              <w:rPr>
                <w:sz w:val="20"/>
              </w:rPr>
            </w:pPr>
            <w:r>
              <w:rPr>
                <w:sz w:val="20"/>
              </w:rPr>
              <w:t>5.8.3</w:t>
            </w:r>
          </w:p>
        </w:tc>
        <w:tc>
          <w:tcPr>
            <w:tcW w:w="4179" w:type="dxa"/>
          </w:tcPr>
          <w:p>
            <w:pPr>
              <w:pStyle w:val="TableParagraph"/>
              <w:spacing w:line="213" w:lineRule="exact" w:before="0"/>
              <w:ind w:left="84"/>
              <w:rPr>
                <w:sz w:val="20"/>
              </w:rPr>
            </w:pPr>
            <w:r>
              <w:rPr>
                <w:sz w:val="20"/>
              </w:rPr>
              <w:t>Subsurface property rights</w:t>
            </w:r>
          </w:p>
        </w:tc>
        <w:tc>
          <w:tcPr>
            <w:tcW w:w="380" w:type="dxa"/>
          </w:tcPr>
          <w:p>
            <w:pPr>
              <w:pStyle w:val="TableParagraph"/>
              <w:spacing w:line="213" w:lineRule="exact" w:before="0"/>
              <w:ind w:left="27"/>
              <w:rPr>
                <w:sz w:val="20"/>
              </w:rPr>
            </w:pPr>
            <w:r>
              <w:rPr>
                <w:sz w:val="20"/>
              </w:rPr>
              <w:t>256</w:t>
            </w:r>
          </w:p>
        </w:tc>
      </w:tr>
      <w:tr>
        <w:trPr>
          <w:trHeight w:val="240" w:hRule="atLeast"/>
        </w:trPr>
        <w:tc>
          <w:tcPr>
            <w:tcW w:w="4698" w:type="dxa"/>
          </w:tcPr>
          <w:p>
            <w:pPr>
              <w:pStyle w:val="TableParagraph"/>
              <w:spacing w:line="213" w:lineRule="exact" w:before="0"/>
              <w:ind w:left="49"/>
              <w:rPr>
                <w:sz w:val="20"/>
              </w:rPr>
            </w:pPr>
            <w:r>
              <w:rPr>
                <w:sz w:val="20"/>
              </w:rPr>
              <w:t>5.3.3 Saline formations</w:t>
            </w:r>
          </w:p>
        </w:tc>
        <w:tc>
          <w:tcPr>
            <w:tcW w:w="509" w:type="dxa"/>
          </w:tcPr>
          <w:p>
            <w:pPr>
              <w:pStyle w:val="TableParagraph"/>
              <w:spacing w:line="213" w:lineRule="exact" w:before="0"/>
              <w:ind w:left="40"/>
              <w:rPr>
                <w:sz w:val="20"/>
              </w:rPr>
            </w:pPr>
            <w:r>
              <w:rPr>
                <w:sz w:val="20"/>
              </w:rPr>
              <w:t>217</w:t>
            </w:r>
          </w:p>
        </w:tc>
        <w:tc>
          <w:tcPr>
            <w:tcW w:w="652" w:type="dxa"/>
          </w:tcPr>
          <w:p>
            <w:pPr>
              <w:pStyle w:val="TableParagraph"/>
              <w:spacing w:line="213" w:lineRule="exact" w:before="0"/>
              <w:ind w:left="169"/>
              <w:rPr>
                <w:sz w:val="20"/>
              </w:rPr>
            </w:pPr>
            <w:r>
              <w:rPr>
                <w:sz w:val="20"/>
              </w:rPr>
              <w:t>5.8.4</w:t>
            </w:r>
          </w:p>
        </w:tc>
        <w:tc>
          <w:tcPr>
            <w:tcW w:w="4179" w:type="dxa"/>
          </w:tcPr>
          <w:p>
            <w:pPr>
              <w:pStyle w:val="TableParagraph"/>
              <w:spacing w:line="213" w:lineRule="exact" w:before="0"/>
              <w:ind w:left="84"/>
              <w:rPr>
                <w:sz w:val="20"/>
              </w:rPr>
            </w:pPr>
            <w:r>
              <w:rPr>
                <w:sz w:val="20"/>
              </w:rPr>
              <w:t>Long-term liability</w:t>
            </w:r>
          </w:p>
        </w:tc>
        <w:tc>
          <w:tcPr>
            <w:tcW w:w="380" w:type="dxa"/>
          </w:tcPr>
          <w:p>
            <w:pPr>
              <w:pStyle w:val="TableParagraph"/>
              <w:spacing w:line="213" w:lineRule="exact" w:before="0"/>
              <w:ind w:left="27"/>
              <w:rPr>
                <w:sz w:val="20"/>
              </w:rPr>
            </w:pPr>
            <w:r>
              <w:rPr>
                <w:sz w:val="20"/>
              </w:rPr>
              <w:t>256</w:t>
            </w:r>
          </w:p>
        </w:tc>
      </w:tr>
      <w:tr>
        <w:trPr>
          <w:trHeight w:val="240" w:hRule="atLeast"/>
        </w:trPr>
        <w:tc>
          <w:tcPr>
            <w:tcW w:w="4698" w:type="dxa"/>
          </w:tcPr>
          <w:p>
            <w:pPr>
              <w:pStyle w:val="TableParagraph"/>
              <w:spacing w:line="213" w:lineRule="exact" w:before="0"/>
              <w:ind w:left="49"/>
              <w:rPr>
                <w:sz w:val="20"/>
              </w:rPr>
            </w:pPr>
            <w:r>
              <w:rPr>
                <w:sz w:val="20"/>
              </w:rPr>
              <w:t>5.3.4 Coal seams</w:t>
            </w:r>
          </w:p>
        </w:tc>
        <w:tc>
          <w:tcPr>
            <w:tcW w:w="509" w:type="dxa"/>
          </w:tcPr>
          <w:p>
            <w:pPr>
              <w:pStyle w:val="TableParagraph"/>
              <w:spacing w:line="213" w:lineRule="exact" w:before="0"/>
              <w:ind w:left="40"/>
              <w:rPr>
                <w:sz w:val="20"/>
              </w:rPr>
            </w:pPr>
            <w:r>
              <w:rPr>
                <w:sz w:val="20"/>
              </w:rPr>
              <w:t>217</w:t>
            </w:r>
          </w:p>
        </w:tc>
        <w:tc>
          <w:tcPr>
            <w:tcW w:w="652" w:type="dxa"/>
          </w:tcPr>
          <w:p>
            <w:pPr>
              <w:pStyle w:val="TableParagraph"/>
              <w:spacing w:line="213" w:lineRule="exact" w:before="0"/>
              <w:ind w:left="169"/>
              <w:rPr>
                <w:sz w:val="20"/>
              </w:rPr>
            </w:pPr>
            <w:r>
              <w:rPr>
                <w:sz w:val="20"/>
              </w:rPr>
              <w:t>5.8.5</w:t>
            </w:r>
          </w:p>
        </w:tc>
        <w:tc>
          <w:tcPr>
            <w:tcW w:w="4179" w:type="dxa"/>
          </w:tcPr>
          <w:p>
            <w:pPr>
              <w:pStyle w:val="TableParagraph"/>
              <w:spacing w:line="213" w:lineRule="exact" w:before="0"/>
              <w:ind w:left="84"/>
              <w:rPr>
                <w:sz w:val="20"/>
              </w:rPr>
            </w:pPr>
            <w:r>
              <w:rPr>
                <w:sz w:val="20"/>
              </w:rPr>
              <w:t>Public perception and acceptance</w:t>
            </w:r>
          </w:p>
        </w:tc>
        <w:tc>
          <w:tcPr>
            <w:tcW w:w="380" w:type="dxa"/>
          </w:tcPr>
          <w:p>
            <w:pPr>
              <w:pStyle w:val="TableParagraph"/>
              <w:spacing w:line="213" w:lineRule="exact" w:before="0"/>
              <w:ind w:left="27"/>
              <w:rPr>
                <w:sz w:val="20"/>
              </w:rPr>
            </w:pPr>
            <w:r>
              <w:rPr>
                <w:sz w:val="20"/>
              </w:rPr>
              <w:t>257</w:t>
            </w:r>
          </w:p>
        </w:tc>
      </w:tr>
      <w:tr>
        <w:trPr>
          <w:trHeight w:val="240" w:hRule="atLeast"/>
        </w:trPr>
        <w:tc>
          <w:tcPr>
            <w:tcW w:w="4698" w:type="dxa"/>
          </w:tcPr>
          <w:p>
            <w:pPr>
              <w:pStyle w:val="TableParagraph"/>
              <w:spacing w:line="213" w:lineRule="exact" w:before="0"/>
              <w:ind w:left="49"/>
              <w:rPr>
                <w:sz w:val="20"/>
              </w:rPr>
            </w:pPr>
            <w:r>
              <w:rPr>
                <w:sz w:val="20"/>
              </w:rPr>
              <w:t>5.3.5 Other geological media</w:t>
            </w:r>
          </w:p>
        </w:tc>
        <w:tc>
          <w:tcPr>
            <w:tcW w:w="509" w:type="dxa"/>
          </w:tcPr>
          <w:p>
            <w:pPr>
              <w:pStyle w:val="TableParagraph"/>
              <w:spacing w:line="213" w:lineRule="exact" w:before="0"/>
              <w:ind w:left="40"/>
              <w:rPr>
                <w:sz w:val="20"/>
              </w:rPr>
            </w:pPr>
            <w:r>
              <w:rPr>
                <w:sz w:val="20"/>
              </w:rPr>
              <w:t>219</w:t>
            </w:r>
          </w:p>
        </w:tc>
        <w:tc>
          <w:tcPr>
            <w:tcW w:w="652" w:type="dxa"/>
          </w:tcPr>
          <w:p>
            <w:pPr>
              <w:pStyle w:val="TableParagraph"/>
              <w:spacing w:before="0"/>
              <w:ind w:left="0"/>
              <w:rPr>
                <w:sz w:val="16"/>
              </w:rPr>
            </w:pPr>
          </w:p>
        </w:tc>
        <w:tc>
          <w:tcPr>
            <w:tcW w:w="4179" w:type="dxa"/>
          </w:tcPr>
          <w:p>
            <w:pPr>
              <w:pStyle w:val="TableParagraph"/>
              <w:spacing w:before="0"/>
              <w:ind w:left="0"/>
              <w:rPr>
                <w:sz w:val="16"/>
              </w:rPr>
            </w:pPr>
          </w:p>
        </w:tc>
        <w:tc>
          <w:tcPr>
            <w:tcW w:w="380" w:type="dxa"/>
          </w:tcPr>
          <w:p>
            <w:pPr>
              <w:pStyle w:val="TableParagraph"/>
              <w:spacing w:before="0"/>
              <w:ind w:left="0"/>
              <w:rPr>
                <w:sz w:val="16"/>
              </w:rPr>
            </w:pPr>
          </w:p>
        </w:tc>
      </w:tr>
      <w:tr>
        <w:trPr>
          <w:trHeight w:val="240" w:hRule="atLeast"/>
        </w:trPr>
        <w:tc>
          <w:tcPr>
            <w:tcW w:w="4698" w:type="dxa"/>
          </w:tcPr>
          <w:p>
            <w:pPr>
              <w:pStyle w:val="TableParagraph"/>
              <w:spacing w:line="213" w:lineRule="exact" w:before="0"/>
              <w:ind w:left="49"/>
              <w:rPr>
                <w:sz w:val="20"/>
              </w:rPr>
            </w:pPr>
            <w:r>
              <w:rPr>
                <w:sz w:val="20"/>
              </w:rPr>
              <w:t>5.3.6 Effects of impurities on storage capacity</w:t>
            </w:r>
          </w:p>
        </w:tc>
        <w:tc>
          <w:tcPr>
            <w:tcW w:w="509" w:type="dxa"/>
          </w:tcPr>
          <w:p>
            <w:pPr>
              <w:pStyle w:val="TableParagraph"/>
              <w:spacing w:line="213" w:lineRule="exact" w:before="0"/>
              <w:ind w:left="40"/>
              <w:rPr>
                <w:sz w:val="20"/>
              </w:rPr>
            </w:pPr>
            <w:r>
              <w:rPr>
                <w:sz w:val="20"/>
              </w:rPr>
              <w:t>220</w:t>
            </w:r>
          </w:p>
        </w:tc>
        <w:tc>
          <w:tcPr>
            <w:tcW w:w="652" w:type="dxa"/>
          </w:tcPr>
          <w:p>
            <w:pPr>
              <w:pStyle w:val="TableParagraph"/>
              <w:spacing w:line="213" w:lineRule="exact" w:before="0"/>
              <w:ind w:left="169"/>
              <w:rPr>
                <w:b/>
                <w:sz w:val="20"/>
              </w:rPr>
            </w:pPr>
            <w:r>
              <w:rPr>
                <w:b/>
                <w:sz w:val="20"/>
              </w:rPr>
              <w:t>5.9</w:t>
            </w:r>
          </w:p>
        </w:tc>
        <w:tc>
          <w:tcPr>
            <w:tcW w:w="4179" w:type="dxa"/>
          </w:tcPr>
          <w:p>
            <w:pPr>
              <w:pStyle w:val="TableParagraph"/>
              <w:spacing w:line="213" w:lineRule="exact" w:before="0"/>
              <w:ind w:left="84"/>
              <w:rPr>
                <w:b/>
                <w:sz w:val="20"/>
              </w:rPr>
            </w:pPr>
            <w:r>
              <w:rPr>
                <w:b/>
                <w:sz w:val="20"/>
              </w:rPr>
              <w:t>Costs of geological storage</w:t>
            </w:r>
          </w:p>
        </w:tc>
        <w:tc>
          <w:tcPr>
            <w:tcW w:w="380" w:type="dxa"/>
          </w:tcPr>
          <w:p>
            <w:pPr>
              <w:pStyle w:val="TableParagraph"/>
              <w:spacing w:line="213" w:lineRule="exact" w:before="0"/>
              <w:ind w:left="27"/>
              <w:rPr>
                <w:b/>
                <w:sz w:val="20"/>
              </w:rPr>
            </w:pPr>
            <w:r>
              <w:rPr>
                <w:b/>
                <w:sz w:val="20"/>
              </w:rPr>
              <w:t>259</w:t>
            </w:r>
          </w:p>
        </w:tc>
      </w:tr>
      <w:tr>
        <w:trPr>
          <w:trHeight w:val="240" w:hRule="atLeast"/>
        </w:trPr>
        <w:tc>
          <w:tcPr>
            <w:tcW w:w="4698" w:type="dxa"/>
          </w:tcPr>
          <w:p>
            <w:pPr>
              <w:pStyle w:val="TableParagraph"/>
              <w:spacing w:line="213" w:lineRule="exact" w:before="0"/>
              <w:ind w:left="49"/>
              <w:rPr>
                <w:sz w:val="20"/>
              </w:rPr>
            </w:pPr>
            <w:r>
              <w:rPr>
                <w:sz w:val="20"/>
              </w:rPr>
              <w:t>5.3.7 Geographical distribution and storage capacity</w:t>
            </w:r>
          </w:p>
        </w:tc>
        <w:tc>
          <w:tcPr>
            <w:tcW w:w="509" w:type="dxa"/>
          </w:tcPr>
          <w:p>
            <w:pPr>
              <w:pStyle w:val="TableParagraph"/>
              <w:spacing w:before="0"/>
              <w:ind w:left="0"/>
              <w:rPr>
                <w:sz w:val="16"/>
              </w:rPr>
            </w:pPr>
          </w:p>
        </w:tc>
        <w:tc>
          <w:tcPr>
            <w:tcW w:w="652" w:type="dxa"/>
          </w:tcPr>
          <w:p>
            <w:pPr>
              <w:pStyle w:val="TableParagraph"/>
              <w:spacing w:line="213" w:lineRule="exact" w:before="0"/>
              <w:ind w:left="169"/>
              <w:rPr>
                <w:sz w:val="20"/>
              </w:rPr>
            </w:pPr>
            <w:r>
              <w:rPr>
                <w:sz w:val="20"/>
              </w:rPr>
              <w:t>5.9.1</w:t>
            </w:r>
          </w:p>
        </w:tc>
        <w:tc>
          <w:tcPr>
            <w:tcW w:w="4179" w:type="dxa"/>
          </w:tcPr>
          <w:p>
            <w:pPr>
              <w:pStyle w:val="TableParagraph"/>
              <w:spacing w:line="213" w:lineRule="exact" w:before="0"/>
              <w:ind w:left="84"/>
              <w:rPr>
                <w:sz w:val="20"/>
              </w:rPr>
            </w:pPr>
            <w:r>
              <w:rPr>
                <w:sz w:val="20"/>
              </w:rPr>
              <w:t>Cost elements for geological storage</w:t>
            </w:r>
          </w:p>
        </w:tc>
        <w:tc>
          <w:tcPr>
            <w:tcW w:w="380" w:type="dxa"/>
          </w:tcPr>
          <w:p>
            <w:pPr>
              <w:pStyle w:val="TableParagraph"/>
              <w:spacing w:line="213" w:lineRule="exact" w:before="0"/>
              <w:ind w:left="27"/>
              <w:rPr>
                <w:sz w:val="20"/>
              </w:rPr>
            </w:pPr>
            <w:r>
              <w:rPr>
                <w:sz w:val="20"/>
              </w:rPr>
              <w:t>259</w:t>
            </w:r>
          </w:p>
        </w:tc>
      </w:tr>
      <w:tr>
        <w:trPr>
          <w:trHeight w:val="240" w:hRule="atLeast"/>
        </w:trPr>
        <w:tc>
          <w:tcPr>
            <w:tcW w:w="4698" w:type="dxa"/>
          </w:tcPr>
          <w:p>
            <w:pPr>
              <w:pStyle w:val="TableParagraph"/>
              <w:spacing w:line="213" w:lineRule="exact" w:before="0"/>
              <w:ind w:left="616"/>
              <w:rPr>
                <w:sz w:val="20"/>
              </w:rPr>
            </w:pPr>
            <w:r>
              <w:rPr>
                <w:sz w:val="20"/>
              </w:rPr>
              <w:t>estimates</w:t>
            </w:r>
          </w:p>
        </w:tc>
        <w:tc>
          <w:tcPr>
            <w:tcW w:w="509" w:type="dxa"/>
          </w:tcPr>
          <w:p>
            <w:pPr>
              <w:pStyle w:val="TableParagraph"/>
              <w:spacing w:line="213" w:lineRule="exact" w:before="0"/>
              <w:ind w:left="40"/>
              <w:rPr>
                <w:sz w:val="20"/>
              </w:rPr>
            </w:pPr>
            <w:r>
              <w:rPr>
                <w:sz w:val="20"/>
              </w:rPr>
              <w:t>220</w:t>
            </w:r>
          </w:p>
        </w:tc>
        <w:tc>
          <w:tcPr>
            <w:tcW w:w="652" w:type="dxa"/>
          </w:tcPr>
          <w:p>
            <w:pPr>
              <w:pStyle w:val="TableParagraph"/>
              <w:spacing w:line="213" w:lineRule="exact" w:before="0"/>
              <w:ind w:left="169"/>
              <w:rPr>
                <w:sz w:val="20"/>
              </w:rPr>
            </w:pPr>
            <w:r>
              <w:rPr>
                <w:sz w:val="20"/>
              </w:rPr>
              <w:t>5.9.2</w:t>
            </w:r>
          </w:p>
        </w:tc>
        <w:tc>
          <w:tcPr>
            <w:tcW w:w="4179" w:type="dxa"/>
          </w:tcPr>
          <w:p>
            <w:pPr>
              <w:pStyle w:val="TableParagraph"/>
              <w:spacing w:line="213" w:lineRule="exact" w:before="0"/>
              <w:ind w:left="84"/>
              <w:rPr>
                <w:sz w:val="20"/>
              </w:rPr>
            </w:pPr>
            <w:r>
              <w:rPr>
                <w:sz w:val="20"/>
              </w:rPr>
              <w:t>Cost estimates</w:t>
            </w:r>
          </w:p>
        </w:tc>
        <w:tc>
          <w:tcPr>
            <w:tcW w:w="380" w:type="dxa"/>
          </w:tcPr>
          <w:p>
            <w:pPr>
              <w:pStyle w:val="TableParagraph"/>
              <w:spacing w:line="213" w:lineRule="exact" w:before="0"/>
              <w:ind w:left="27"/>
              <w:rPr>
                <w:sz w:val="20"/>
              </w:rPr>
            </w:pPr>
            <w:r>
              <w:rPr>
                <w:sz w:val="20"/>
              </w:rPr>
              <w:t>259</w:t>
            </w:r>
          </w:p>
        </w:tc>
      </w:tr>
      <w:tr>
        <w:trPr>
          <w:trHeight w:val="262" w:hRule="atLeast"/>
        </w:trPr>
        <w:tc>
          <w:tcPr>
            <w:tcW w:w="4698" w:type="dxa"/>
          </w:tcPr>
          <w:p>
            <w:pPr>
              <w:pStyle w:val="TableParagraph"/>
              <w:spacing w:line="243" w:lineRule="exact" w:before="0"/>
              <w:ind w:left="49"/>
              <w:rPr>
                <w:sz w:val="20"/>
              </w:rPr>
            </w:pPr>
            <w:r>
              <w:rPr>
                <w:sz w:val="20"/>
              </w:rPr>
              <w:t>5.3.8 Matching of CO</w:t>
            </w:r>
            <w:r>
              <w:rPr>
                <w:position w:val="-6"/>
                <w:sz w:val="11"/>
              </w:rPr>
              <w:t>2 </w:t>
            </w:r>
            <w:r>
              <w:rPr>
                <w:sz w:val="20"/>
              </w:rPr>
              <w:t>sources and geological storage</w:t>
            </w:r>
          </w:p>
        </w:tc>
        <w:tc>
          <w:tcPr>
            <w:tcW w:w="509" w:type="dxa"/>
          </w:tcPr>
          <w:p>
            <w:pPr>
              <w:pStyle w:val="TableParagraph"/>
              <w:spacing w:before="0"/>
              <w:ind w:left="0"/>
              <w:rPr>
                <w:sz w:val="18"/>
              </w:rPr>
            </w:pPr>
          </w:p>
        </w:tc>
        <w:tc>
          <w:tcPr>
            <w:tcW w:w="652" w:type="dxa"/>
          </w:tcPr>
          <w:p>
            <w:pPr>
              <w:pStyle w:val="TableParagraph"/>
              <w:spacing w:line="213" w:lineRule="exact" w:before="0"/>
              <w:ind w:left="169"/>
              <w:rPr>
                <w:sz w:val="20"/>
              </w:rPr>
            </w:pPr>
            <w:r>
              <w:rPr>
                <w:sz w:val="20"/>
              </w:rPr>
              <w:t>5.9.3</w:t>
            </w:r>
          </w:p>
        </w:tc>
        <w:tc>
          <w:tcPr>
            <w:tcW w:w="4179" w:type="dxa"/>
          </w:tcPr>
          <w:p>
            <w:pPr>
              <w:pStyle w:val="TableParagraph"/>
              <w:spacing w:line="243" w:lineRule="exact" w:before="0"/>
              <w:ind w:left="84"/>
              <w:rPr>
                <w:sz w:val="20"/>
              </w:rPr>
            </w:pPr>
            <w:r>
              <w:rPr>
                <w:sz w:val="20"/>
              </w:rPr>
              <w:t>Cost estimates for CO</w:t>
            </w:r>
            <w:r>
              <w:rPr>
                <w:position w:val="-6"/>
                <w:sz w:val="11"/>
              </w:rPr>
              <w:t>2 </w:t>
            </w:r>
            <w:r>
              <w:rPr>
                <w:sz w:val="20"/>
              </w:rPr>
              <w:t>geological storage</w:t>
            </w:r>
          </w:p>
        </w:tc>
        <w:tc>
          <w:tcPr>
            <w:tcW w:w="380" w:type="dxa"/>
          </w:tcPr>
          <w:p>
            <w:pPr>
              <w:pStyle w:val="TableParagraph"/>
              <w:spacing w:line="213" w:lineRule="exact" w:before="0"/>
              <w:ind w:left="27"/>
              <w:rPr>
                <w:sz w:val="20"/>
              </w:rPr>
            </w:pPr>
            <w:r>
              <w:rPr>
                <w:sz w:val="20"/>
              </w:rPr>
              <w:t>261</w:t>
            </w:r>
          </w:p>
        </w:tc>
      </w:tr>
      <w:tr>
        <w:trPr>
          <w:trHeight w:val="217" w:hRule="atLeast"/>
        </w:trPr>
        <w:tc>
          <w:tcPr>
            <w:tcW w:w="4698" w:type="dxa"/>
          </w:tcPr>
          <w:p>
            <w:pPr>
              <w:pStyle w:val="TableParagraph"/>
              <w:spacing w:line="190" w:lineRule="exact" w:before="0"/>
              <w:ind w:left="616"/>
              <w:rPr>
                <w:sz w:val="20"/>
              </w:rPr>
            </w:pPr>
            <w:r>
              <w:rPr>
                <w:sz w:val="20"/>
              </w:rPr>
              <w:t>sites</w:t>
            </w:r>
          </w:p>
        </w:tc>
        <w:tc>
          <w:tcPr>
            <w:tcW w:w="509" w:type="dxa"/>
          </w:tcPr>
          <w:p>
            <w:pPr>
              <w:pStyle w:val="TableParagraph"/>
              <w:spacing w:line="190" w:lineRule="exact" w:before="0"/>
              <w:ind w:left="40"/>
              <w:rPr>
                <w:sz w:val="20"/>
              </w:rPr>
            </w:pPr>
            <w:r>
              <w:rPr>
                <w:sz w:val="20"/>
              </w:rPr>
              <w:t>224</w:t>
            </w:r>
          </w:p>
        </w:tc>
        <w:tc>
          <w:tcPr>
            <w:tcW w:w="652" w:type="dxa"/>
          </w:tcPr>
          <w:p>
            <w:pPr>
              <w:pStyle w:val="TableParagraph"/>
              <w:spacing w:line="190" w:lineRule="exact" w:before="0"/>
              <w:ind w:left="169"/>
              <w:rPr>
                <w:sz w:val="20"/>
              </w:rPr>
            </w:pPr>
            <w:r>
              <w:rPr>
                <w:sz w:val="20"/>
              </w:rPr>
              <w:t>5.9.4</w:t>
            </w:r>
          </w:p>
        </w:tc>
        <w:tc>
          <w:tcPr>
            <w:tcW w:w="4179" w:type="dxa"/>
          </w:tcPr>
          <w:p>
            <w:pPr>
              <w:pStyle w:val="TableParagraph"/>
              <w:spacing w:line="190" w:lineRule="exact" w:before="0"/>
              <w:ind w:left="84"/>
              <w:rPr>
                <w:sz w:val="20"/>
              </w:rPr>
            </w:pPr>
            <w:r>
              <w:rPr>
                <w:sz w:val="20"/>
              </w:rPr>
              <w:t>Cost estimates for storage with enhanced oil and</w:t>
            </w:r>
          </w:p>
        </w:tc>
        <w:tc>
          <w:tcPr>
            <w:tcW w:w="380" w:type="dxa"/>
          </w:tcPr>
          <w:p>
            <w:pPr>
              <w:pStyle w:val="TableParagraph"/>
              <w:spacing w:before="0"/>
              <w:ind w:left="0"/>
              <w:rPr>
                <w:sz w:val="14"/>
              </w:rPr>
            </w:pPr>
          </w:p>
        </w:tc>
      </w:tr>
      <w:tr>
        <w:trPr>
          <w:trHeight w:val="240" w:hRule="atLeast"/>
        </w:trPr>
        <w:tc>
          <w:tcPr>
            <w:tcW w:w="4698" w:type="dxa"/>
          </w:tcPr>
          <w:p>
            <w:pPr>
              <w:pStyle w:val="TableParagraph"/>
              <w:spacing w:before="0"/>
              <w:ind w:left="0"/>
              <w:rPr>
                <w:sz w:val="16"/>
              </w:rPr>
            </w:pPr>
          </w:p>
        </w:tc>
        <w:tc>
          <w:tcPr>
            <w:tcW w:w="509" w:type="dxa"/>
          </w:tcPr>
          <w:p>
            <w:pPr>
              <w:pStyle w:val="TableParagraph"/>
              <w:spacing w:before="0"/>
              <w:ind w:left="0"/>
              <w:rPr>
                <w:sz w:val="16"/>
              </w:rPr>
            </w:pPr>
          </w:p>
        </w:tc>
        <w:tc>
          <w:tcPr>
            <w:tcW w:w="652" w:type="dxa"/>
          </w:tcPr>
          <w:p>
            <w:pPr>
              <w:pStyle w:val="TableParagraph"/>
              <w:spacing w:before="0"/>
              <w:ind w:left="0"/>
              <w:rPr>
                <w:sz w:val="16"/>
              </w:rPr>
            </w:pPr>
          </w:p>
        </w:tc>
        <w:tc>
          <w:tcPr>
            <w:tcW w:w="4179" w:type="dxa"/>
          </w:tcPr>
          <w:p>
            <w:pPr>
              <w:pStyle w:val="TableParagraph"/>
              <w:spacing w:line="213" w:lineRule="exact" w:before="0"/>
              <w:ind w:left="84"/>
              <w:rPr>
                <w:sz w:val="20"/>
              </w:rPr>
            </w:pPr>
            <w:r>
              <w:rPr>
                <w:sz w:val="20"/>
              </w:rPr>
              <w:t>gas recovery</w:t>
            </w:r>
          </w:p>
        </w:tc>
        <w:tc>
          <w:tcPr>
            <w:tcW w:w="380" w:type="dxa"/>
          </w:tcPr>
          <w:p>
            <w:pPr>
              <w:pStyle w:val="TableParagraph"/>
              <w:spacing w:line="213" w:lineRule="exact" w:before="0"/>
              <w:ind w:left="27"/>
              <w:rPr>
                <w:sz w:val="20"/>
              </w:rPr>
            </w:pPr>
            <w:r>
              <w:rPr>
                <w:sz w:val="20"/>
              </w:rPr>
              <w:t>261</w:t>
            </w:r>
          </w:p>
        </w:tc>
      </w:tr>
      <w:tr>
        <w:trPr>
          <w:trHeight w:val="240" w:hRule="atLeast"/>
        </w:trPr>
        <w:tc>
          <w:tcPr>
            <w:tcW w:w="4698" w:type="dxa"/>
          </w:tcPr>
          <w:p>
            <w:pPr>
              <w:pStyle w:val="TableParagraph"/>
              <w:tabs>
                <w:tab w:pos="616" w:val="left" w:leader="none"/>
              </w:tabs>
              <w:spacing w:line="213" w:lineRule="exact" w:before="0"/>
              <w:ind w:left="49"/>
              <w:rPr>
                <w:b/>
                <w:sz w:val="20"/>
              </w:rPr>
            </w:pPr>
            <w:r>
              <w:rPr>
                <w:b/>
                <w:sz w:val="20"/>
              </w:rPr>
              <w:t>5.4</w:t>
              <w:tab/>
              <w:t>Characterization and performance</w:t>
            </w:r>
            <w:r>
              <w:rPr>
                <w:b/>
                <w:spacing w:val="-15"/>
                <w:sz w:val="20"/>
              </w:rPr>
              <w:t> </w:t>
            </w:r>
            <w:r>
              <w:rPr>
                <w:b/>
                <w:sz w:val="20"/>
              </w:rPr>
              <w:t>prediction</w:t>
            </w:r>
          </w:p>
        </w:tc>
        <w:tc>
          <w:tcPr>
            <w:tcW w:w="509" w:type="dxa"/>
          </w:tcPr>
          <w:p>
            <w:pPr>
              <w:pStyle w:val="TableParagraph"/>
              <w:spacing w:before="0"/>
              <w:ind w:left="0"/>
              <w:rPr>
                <w:sz w:val="16"/>
              </w:rPr>
            </w:pPr>
          </w:p>
        </w:tc>
        <w:tc>
          <w:tcPr>
            <w:tcW w:w="652" w:type="dxa"/>
          </w:tcPr>
          <w:p>
            <w:pPr>
              <w:pStyle w:val="TableParagraph"/>
              <w:spacing w:line="213" w:lineRule="exact" w:before="0"/>
              <w:ind w:left="169"/>
              <w:rPr>
                <w:sz w:val="20"/>
              </w:rPr>
            </w:pPr>
            <w:r>
              <w:rPr>
                <w:sz w:val="20"/>
              </w:rPr>
              <w:t>5.9.5</w:t>
            </w:r>
          </w:p>
        </w:tc>
        <w:tc>
          <w:tcPr>
            <w:tcW w:w="4179" w:type="dxa"/>
          </w:tcPr>
          <w:p>
            <w:pPr>
              <w:pStyle w:val="TableParagraph"/>
              <w:spacing w:line="213" w:lineRule="exact" w:before="0"/>
              <w:ind w:left="84"/>
              <w:rPr>
                <w:sz w:val="20"/>
              </w:rPr>
            </w:pPr>
            <w:r>
              <w:rPr>
                <w:sz w:val="20"/>
              </w:rPr>
              <w:t>Cost of monitoring</w:t>
            </w:r>
          </w:p>
        </w:tc>
        <w:tc>
          <w:tcPr>
            <w:tcW w:w="380" w:type="dxa"/>
          </w:tcPr>
          <w:p>
            <w:pPr>
              <w:pStyle w:val="TableParagraph"/>
              <w:spacing w:line="213" w:lineRule="exact" w:before="0"/>
              <w:ind w:left="27"/>
              <w:rPr>
                <w:sz w:val="20"/>
              </w:rPr>
            </w:pPr>
            <w:r>
              <w:rPr>
                <w:sz w:val="20"/>
              </w:rPr>
              <w:t>263</w:t>
            </w:r>
          </w:p>
        </w:tc>
      </w:tr>
      <w:tr>
        <w:trPr>
          <w:trHeight w:val="240" w:hRule="atLeast"/>
        </w:trPr>
        <w:tc>
          <w:tcPr>
            <w:tcW w:w="4698" w:type="dxa"/>
          </w:tcPr>
          <w:p>
            <w:pPr>
              <w:pStyle w:val="TableParagraph"/>
              <w:spacing w:line="213" w:lineRule="exact" w:before="0"/>
              <w:ind w:left="617"/>
              <w:rPr>
                <w:b/>
                <w:sz w:val="20"/>
              </w:rPr>
            </w:pPr>
            <w:r>
              <w:rPr>
                <w:b/>
                <w:sz w:val="20"/>
              </w:rPr>
              <w:t>for identified sites</w:t>
            </w:r>
          </w:p>
        </w:tc>
        <w:tc>
          <w:tcPr>
            <w:tcW w:w="509" w:type="dxa"/>
          </w:tcPr>
          <w:p>
            <w:pPr>
              <w:pStyle w:val="TableParagraph"/>
              <w:spacing w:line="213" w:lineRule="exact" w:before="0"/>
              <w:ind w:left="41"/>
              <w:rPr>
                <w:b/>
                <w:sz w:val="20"/>
              </w:rPr>
            </w:pPr>
            <w:r>
              <w:rPr>
                <w:b/>
                <w:sz w:val="20"/>
              </w:rPr>
              <w:t>225</w:t>
            </w:r>
          </w:p>
        </w:tc>
        <w:tc>
          <w:tcPr>
            <w:tcW w:w="652" w:type="dxa"/>
          </w:tcPr>
          <w:p>
            <w:pPr>
              <w:pStyle w:val="TableParagraph"/>
              <w:spacing w:line="213" w:lineRule="exact" w:before="0"/>
              <w:ind w:left="169"/>
              <w:rPr>
                <w:sz w:val="20"/>
              </w:rPr>
            </w:pPr>
            <w:r>
              <w:rPr>
                <w:sz w:val="20"/>
              </w:rPr>
              <w:t>5.9.6</w:t>
            </w:r>
          </w:p>
        </w:tc>
        <w:tc>
          <w:tcPr>
            <w:tcW w:w="4179" w:type="dxa"/>
          </w:tcPr>
          <w:p>
            <w:pPr>
              <w:pStyle w:val="TableParagraph"/>
              <w:spacing w:line="213" w:lineRule="exact" w:before="0"/>
              <w:ind w:left="84"/>
              <w:rPr>
                <w:sz w:val="20"/>
              </w:rPr>
            </w:pPr>
            <w:r>
              <w:rPr>
                <w:sz w:val="20"/>
              </w:rPr>
              <w:t>Cost of remediation of leaky storage projects</w:t>
            </w:r>
          </w:p>
        </w:tc>
        <w:tc>
          <w:tcPr>
            <w:tcW w:w="380" w:type="dxa"/>
          </w:tcPr>
          <w:p>
            <w:pPr>
              <w:pStyle w:val="TableParagraph"/>
              <w:spacing w:line="213" w:lineRule="exact" w:before="0"/>
              <w:ind w:left="27"/>
              <w:rPr>
                <w:sz w:val="20"/>
              </w:rPr>
            </w:pPr>
            <w:r>
              <w:rPr>
                <w:sz w:val="20"/>
              </w:rPr>
              <w:t>263</w:t>
            </w:r>
          </w:p>
        </w:tc>
      </w:tr>
      <w:tr>
        <w:trPr>
          <w:trHeight w:val="240" w:hRule="atLeast"/>
        </w:trPr>
        <w:tc>
          <w:tcPr>
            <w:tcW w:w="4698" w:type="dxa"/>
          </w:tcPr>
          <w:p>
            <w:pPr>
              <w:pStyle w:val="TableParagraph"/>
              <w:spacing w:line="213" w:lineRule="exact" w:before="0"/>
              <w:ind w:left="50"/>
              <w:rPr>
                <w:sz w:val="20"/>
              </w:rPr>
            </w:pPr>
            <w:r>
              <w:rPr>
                <w:sz w:val="20"/>
              </w:rPr>
              <w:t>5.4.1 Characterization of identified sites</w:t>
            </w:r>
          </w:p>
        </w:tc>
        <w:tc>
          <w:tcPr>
            <w:tcW w:w="509" w:type="dxa"/>
          </w:tcPr>
          <w:p>
            <w:pPr>
              <w:pStyle w:val="TableParagraph"/>
              <w:spacing w:line="213" w:lineRule="exact" w:before="0"/>
              <w:ind w:left="41"/>
              <w:rPr>
                <w:sz w:val="20"/>
              </w:rPr>
            </w:pPr>
            <w:r>
              <w:rPr>
                <w:sz w:val="20"/>
              </w:rPr>
              <w:t>225</w:t>
            </w:r>
          </w:p>
        </w:tc>
        <w:tc>
          <w:tcPr>
            <w:tcW w:w="652" w:type="dxa"/>
          </w:tcPr>
          <w:p>
            <w:pPr>
              <w:pStyle w:val="TableParagraph"/>
              <w:spacing w:line="213" w:lineRule="exact" w:before="0"/>
              <w:ind w:left="169"/>
              <w:rPr>
                <w:sz w:val="20"/>
              </w:rPr>
            </w:pPr>
            <w:r>
              <w:rPr>
                <w:sz w:val="20"/>
              </w:rPr>
              <w:t>5.9.7</w:t>
            </w:r>
          </w:p>
        </w:tc>
        <w:tc>
          <w:tcPr>
            <w:tcW w:w="4179" w:type="dxa"/>
          </w:tcPr>
          <w:p>
            <w:pPr>
              <w:pStyle w:val="TableParagraph"/>
              <w:spacing w:line="213" w:lineRule="exact" w:before="0"/>
              <w:ind w:left="84"/>
              <w:rPr>
                <w:sz w:val="20"/>
              </w:rPr>
            </w:pPr>
            <w:r>
              <w:rPr>
                <w:sz w:val="20"/>
              </w:rPr>
              <w:t>Cost reduction</w:t>
            </w:r>
          </w:p>
        </w:tc>
        <w:tc>
          <w:tcPr>
            <w:tcW w:w="380" w:type="dxa"/>
          </w:tcPr>
          <w:p>
            <w:pPr>
              <w:pStyle w:val="TableParagraph"/>
              <w:spacing w:line="213" w:lineRule="exact" w:before="0"/>
              <w:ind w:left="27"/>
              <w:rPr>
                <w:sz w:val="20"/>
              </w:rPr>
            </w:pPr>
            <w:r>
              <w:rPr>
                <w:sz w:val="20"/>
              </w:rPr>
              <w:t>263</w:t>
            </w:r>
          </w:p>
        </w:tc>
      </w:tr>
      <w:tr>
        <w:trPr>
          <w:trHeight w:val="240" w:hRule="atLeast"/>
        </w:trPr>
        <w:tc>
          <w:tcPr>
            <w:tcW w:w="4698" w:type="dxa"/>
          </w:tcPr>
          <w:p>
            <w:pPr>
              <w:pStyle w:val="TableParagraph"/>
              <w:spacing w:line="213" w:lineRule="exact" w:before="0"/>
              <w:ind w:left="50"/>
              <w:rPr>
                <w:sz w:val="20"/>
              </w:rPr>
            </w:pPr>
            <w:r>
              <w:rPr>
                <w:sz w:val="20"/>
              </w:rPr>
              <w:t>5.4.2 Performance prediction and optimization</w:t>
            </w:r>
          </w:p>
        </w:tc>
        <w:tc>
          <w:tcPr>
            <w:tcW w:w="509" w:type="dxa"/>
          </w:tcPr>
          <w:p>
            <w:pPr>
              <w:pStyle w:val="TableParagraph"/>
              <w:spacing w:before="0"/>
              <w:ind w:left="0"/>
              <w:rPr>
                <w:sz w:val="16"/>
              </w:rPr>
            </w:pPr>
          </w:p>
        </w:tc>
        <w:tc>
          <w:tcPr>
            <w:tcW w:w="652" w:type="dxa"/>
          </w:tcPr>
          <w:p>
            <w:pPr>
              <w:pStyle w:val="TableParagraph"/>
              <w:spacing w:before="0"/>
              <w:ind w:left="0"/>
              <w:rPr>
                <w:sz w:val="16"/>
              </w:rPr>
            </w:pPr>
          </w:p>
        </w:tc>
        <w:tc>
          <w:tcPr>
            <w:tcW w:w="4179" w:type="dxa"/>
          </w:tcPr>
          <w:p>
            <w:pPr>
              <w:pStyle w:val="TableParagraph"/>
              <w:spacing w:before="0"/>
              <w:ind w:left="0"/>
              <w:rPr>
                <w:sz w:val="16"/>
              </w:rPr>
            </w:pPr>
          </w:p>
        </w:tc>
        <w:tc>
          <w:tcPr>
            <w:tcW w:w="380" w:type="dxa"/>
          </w:tcPr>
          <w:p>
            <w:pPr>
              <w:pStyle w:val="TableParagraph"/>
              <w:spacing w:before="0"/>
              <w:ind w:left="0"/>
              <w:rPr>
                <w:sz w:val="16"/>
              </w:rPr>
            </w:pPr>
          </w:p>
        </w:tc>
      </w:tr>
      <w:tr>
        <w:trPr>
          <w:trHeight w:val="240" w:hRule="atLeast"/>
        </w:trPr>
        <w:tc>
          <w:tcPr>
            <w:tcW w:w="4698" w:type="dxa"/>
          </w:tcPr>
          <w:p>
            <w:pPr>
              <w:pStyle w:val="TableParagraph"/>
              <w:spacing w:line="213" w:lineRule="exact" w:before="0"/>
              <w:ind w:left="617"/>
              <w:rPr>
                <w:sz w:val="20"/>
              </w:rPr>
            </w:pPr>
            <w:r>
              <w:rPr>
                <w:sz w:val="20"/>
              </w:rPr>
              <w:t>modelling</w:t>
            </w:r>
          </w:p>
        </w:tc>
        <w:tc>
          <w:tcPr>
            <w:tcW w:w="509" w:type="dxa"/>
          </w:tcPr>
          <w:p>
            <w:pPr>
              <w:pStyle w:val="TableParagraph"/>
              <w:spacing w:line="213" w:lineRule="exact" w:before="0"/>
              <w:ind w:left="41"/>
              <w:rPr>
                <w:sz w:val="20"/>
              </w:rPr>
            </w:pPr>
            <w:r>
              <w:rPr>
                <w:sz w:val="20"/>
              </w:rPr>
              <w:t>228</w:t>
            </w:r>
          </w:p>
        </w:tc>
        <w:tc>
          <w:tcPr>
            <w:tcW w:w="652" w:type="dxa"/>
          </w:tcPr>
          <w:p>
            <w:pPr>
              <w:pStyle w:val="TableParagraph"/>
              <w:spacing w:line="213" w:lineRule="exact" w:before="0"/>
              <w:ind w:left="169"/>
              <w:rPr>
                <w:b/>
                <w:sz w:val="20"/>
              </w:rPr>
            </w:pPr>
            <w:r>
              <w:rPr>
                <w:b/>
                <w:sz w:val="20"/>
              </w:rPr>
              <w:t>5.10</w:t>
            </w:r>
          </w:p>
        </w:tc>
        <w:tc>
          <w:tcPr>
            <w:tcW w:w="4179" w:type="dxa"/>
          </w:tcPr>
          <w:p>
            <w:pPr>
              <w:pStyle w:val="TableParagraph"/>
              <w:spacing w:line="213" w:lineRule="exact" w:before="0"/>
              <w:ind w:left="84"/>
              <w:rPr>
                <w:b/>
                <w:sz w:val="20"/>
              </w:rPr>
            </w:pPr>
            <w:r>
              <w:rPr>
                <w:b/>
                <w:sz w:val="20"/>
              </w:rPr>
              <w:t>Knowledge gaps</w:t>
            </w:r>
          </w:p>
        </w:tc>
        <w:tc>
          <w:tcPr>
            <w:tcW w:w="380" w:type="dxa"/>
          </w:tcPr>
          <w:p>
            <w:pPr>
              <w:pStyle w:val="TableParagraph"/>
              <w:spacing w:line="213" w:lineRule="exact" w:before="0"/>
              <w:ind w:left="27"/>
              <w:rPr>
                <w:b/>
                <w:sz w:val="20"/>
              </w:rPr>
            </w:pPr>
            <w:r>
              <w:rPr>
                <w:b/>
                <w:sz w:val="20"/>
              </w:rPr>
              <w:t>264</w:t>
            </w:r>
          </w:p>
        </w:tc>
      </w:tr>
      <w:tr>
        <w:trPr>
          <w:trHeight w:val="220" w:hRule="atLeast"/>
        </w:trPr>
        <w:tc>
          <w:tcPr>
            <w:tcW w:w="4698" w:type="dxa"/>
          </w:tcPr>
          <w:p>
            <w:pPr>
              <w:pStyle w:val="TableParagraph"/>
              <w:spacing w:line="200" w:lineRule="exact" w:before="0"/>
              <w:ind w:left="50"/>
              <w:rPr>
                <w:sz w:val="20"/>
              </w:rPr>
            </w:pPr>
            <w:r>
              <w:rPr>
                <w:sz w:val="20"/>
              </w:rPr>
              <w:t>5.4.3 Examples of storage site characterization and</w:t>
            </w:r>
          </w:p>
        </w:tc>
        <w:tc>
          <w:tcPr>
            <w:tcW w:w="509" w:type="dxa"/>
          </w:tcPr>
          <w:p>
            <w:pPr>
              <w:pStyle w:val="TableParagraph"/>
              <w:spacing w:before="0"/>
              <w:ind w:left="0"/>
              <w:rPr>
                <w:sz w:val="14"/>
              </w:rPr>
            </w:pPr>
          </w:p>
        </w:tc>
        <w:tc>
          <w:tcPr>
            <w:tcW w:w="652" w:type="dxa"/>
          </w:tcPr>
          <w:p>
            <w:pPr>
              <w:pStyle w:val="TableParagraph"/>
              <w:spacing w:before="0"/>
              <w:ind w:left="0"/>
              <w:rPr>
                <w:sz w:val="14"/>
              </w:rPr>
            </w:pPr>
          </w:p>
        </w:tc>
        <w:tc>
          <w:tcPr>
            <w:tcW w:w="4179" w:type="dxa"/>
          </w:tcPr>
          <w:p>
            <w:pPr>
              <w:pStyle w:val="TableParagraph"/>
              <w:spacing w:before="0"/>
              <w:ind w:left="0"/>
              <w:rPr>
                <w:sz w:val="14"/>
              </w:rPr>
            </w:pPr>
          </w:p>
        </w:tc>
        <w:tc>
          <w:tcPr>
            <w:tcW w:w="380" w:type="dxa"/>
          </w:tcPr>
          <w:p>
            <w:pPr>
              <w:pStyle w:val="TableParagraph"/>
              <w:spacing w:before="0"/>
              <w:ind w:left="0"/>
              <w:rPr>
                <w:sz w:val="14"/>
              </w:rPr>
            </w:pPr>
          </w:p>
        </w:tc>
      </w:tr>
      <w:tr>
        <w:trPr>
          <w:trHeight w:val="260" w:hRule="atLeast"/>
        </w:trPr>
        <w:tc>
          <w:tcPr>
            <w:tcW w:w="4698" w:type="dxa"/>
          </w:tcPr>
          <w:p>
            <w:pPr>
              <w:pStyle w:val="TableParagraph"/>
              <w:spacing w:before="3"/>
              <w:ind w:left="617"/>
              <w:rPr>
                <w:sz w:val="20"/>
              </w:rPr>
            </w:pPr>
            <w:r>
              <w:rPr>
                <w:sz w:val="20"/>
              </w:rPr>
              <w:t>performance prediction</w:t>
            </w:r>
          </w:p>
        </w:tc>
        <w:tc>
          <w:tcPr>
            <w:tcW w:w="509" w:type="dxa"/>
          </w:tcPr>
          <w:p>
            <w:pPr>
              <w:pStyle w:val="TableParagraph"/>
              <w:spacing w:before="3"/>
              <w:ind w:left="41"/>
              <w:rPr>
                <w:sz w:val="20"/>
              </w:rPr>
            </w:pPr>
            <w:r>
              <w:rPr>
                <w:sz w:val="20"/>
              </w:rPr>
              <w:t>229</w:t>
            </w:r>
          </w:p>
        </w:tc>
        <w:tc>
          <w:tcPr>
            <w:tcW w:w="4831" w:type="dxa"/>
            <w:gridSpan w:val="2"/>
          </w:tcPr>
          <w:p>
            <w:pPr>
              <w:pStyle w:val="TableParagraph"/>
              <w:spacing w:before="3"/>
              <w:ind w:left="169"/>
              <w:rPr>
                <w:b/>
                <w:sz w:val="20"/>
              </w:rPr>
            </w:pPr>
            <w:r>
              <w:rPr>
                <w:b/>
                <w:sz w:val="20"/>
              </w:rPr>
              <w:t>References</w:t>
            </w:r>
          </w:p>
        </w:tc>
        <w:tc>
          <w:tcPr>
            <w:tcW w:w="380" w:type="dxa"/>
          </w:tcPr>
          <w:p>
            <w:pPr>
              <w:pStyle w:val="TableParagraph"/>
              <w:spacing w:before="3"/>
              <w:ind w:left="27"/>
              <w:rPr>
                <w:b/>
                <w:sz w:val="20"/>
              </w:rPr>
            </w:pPr>
            <w:r>
              <w:rPr>
                <w:b/>
                <w:sz w:val="20"/>
              </w:rPr>
              <w:t>265</w:t>
            </w:r>
          </w:p>
        </w:tc>
      </w:tr>
      <w:tr>
        <w:trPr>
          <w:trHeight w:val="240" w:hRule="atLeast"/>
        </w:trPr>
        <w:tc>
          <w:tcPr>
            <w:tcW w:w="4698" w:type="dxa"/>
          </w:tcPr>
          <w:p>
            <w:pPr>
              <w:pStyle w:val="TableParagraph"/>
              <w:tabs>
                <w:tab w:pos="616" w:val="left" w:leader="none"/>
              </w:tabs>
              <w:spacing w:line="213" w:lineRule="exact" w:before="0"/>
              <w:ind w:left="50"/>
              <w:rPr>
                <w:sz w:val="20"/>
              </w:rPr>
            </w:pPr>
            <w:r>
              <w:rPr>
                <w:sz w:val="20"/>
              </w:rPr>
              <w:t>5.5</w:t>
              <w:tab/>
              <w:t>Injection well technology and field</w:t>
            </w:r>
            <w:r>
              <w:rPr>
                <w:spacing w:val="-9"/>
                <w:sz w:val="20"/>
              </w:rPr>
              <w:t> </w:t>
            </w:r>
            <w:r>
              <w:rPr>
                <w:sz w:val="20"/>
              </w:rPr>
              <w:t>operations</w:t>
            </w:r>
          </w:p>
        </w:tc>
        <w:tc>
          <w:tcPr>
            <w:tcW w:w="509" w:type="dxa"/>
          </w:tcPr>
          <w:p>
            <w:pPr>
              <w:pStyle w:val="TableParagraph"/>
              <w:spacing w:line="213" w:lineRule="exact" w:before="0"/>
              <w:ind w:left="41"/>
              <w:rPr>
                <w:sz w:val="20"/>
              </w:rPr>
            </w:pPr>
            <w:r>
              <w:rPr>
                <w:sz w:val="20"/>
              </w:rPr>
              <w:t>230</w:t>
            </w:r>
          </w:p>
        </w:tc>
        <w:tc>
          <w:tcPr>
            <w:tcW w:w="5211" w:type="dxa"/>
            <w:gridSpan w:val="3"/>
            <w:vMerge w:val="restart"/>
          </w:tcPr>
          <w:p>
            <w:pPr>
              <w:pStyle w:val="TableParagraph"/>
              <w:spacing w:before="0"/>
              <w:ind w:left="0"/>
              <w:rPr>
                <w:sz w:val="20"/>
              </w:rPr>
            </w:pPr>
          </w:p>
        </w:tc>
      </w:tr>
      <w:tr>
        <w:trPr>
          <w:trHeight w:val="240" w:hRule="atLeast"/>
        </w:trPr>
        <w:tc>
          <w:tcPr>
            <w:tcW w:w="4698" w:type="dxa"/>
          </w:tcPr>
          <w:p>
            <w:pPr>
              <w:pStyle w:val="TableParagraph"/>
              <w:spacing w:line="213" w:lineRule="exact" w:before="0"/>
              <w:ind w:left="50"/>
              <w:rPr>
                <w:sz w:val="20"/>
              </w:rPr>
            </w:pPr>
            <w:r>
              <w:rPr>
                <w:sz w:val="20"/>
              </w:rPr>
              <w:t>5.5.1 Injection well technologies</w:t>
            </w:r>
          </w:p>
        </w:tc>
        <w:tc>
          <w:tcPr>
            <w:tcW w:w="509" w:type="dxa"/>
          </w:tcPr>
          <w:p>
            <w:pPr>
              <w:pStyle w:val="TableParagraph"/>
              <w:spacing w:line="213" w:lineRule="exact" w:before="0"/>
              <w:ind w:left="41"/>
              <w:rPr>
                <w:sz w:val="20"/>
              </w:rPr>
            </w:pPr>
            <w:r>
              <w:rPr>
                <w:sz w:val="20"/>
              </w:rPr>
              <w:t>230</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50"/>
              <w:rPr>
                <w:sz w:val="20"/>
              </w:rPr>
            </w:pPr>
            <w:r>
              <w:rPr>
                <w:sz w:val="20"/>
              </w:rPr>
              <w:t>5.5.2 Well abandonment procedures</w:t>
            </w:r>
          </w:p>
        </w:tc>
        <w:tc>
          <w:tcPr>
            <w:tcW w:w="509" w:type="dxa"/>
          </w:tcPr>
          <w:p>
            <w:pPr>
              <w:pStyle w:val="TableParagraph"/>
              <w:spacing w:line="213" w:lineRule="exact" w:before="0"/>
              <w:ind w:left="41"/>
              <w:rPr>
                <w:sz w:val="20"/>
              </w:rPr>
            </w:pPr>
            <w:r>
              <w:rPr>
                <w:sz w:val="20"/>
              </w:rPr>
              <w:t>231</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50"/>
              <w:rPr>
                <w:sz w:val="20"/>
              </w:rPr>
            </w:pPr>
            <w:r>
              <w:rPr>
                <w:sz w:val="20"/>
              </w:rPr>
              <w:t>5.5.3 Injection well pressure and reservoir constraints</w:t>
            </w:r>
          </w:p>
        </w:tc>
        <w:tc>
          <w:tcPr>
            <w:tcW w:w="509" w:type="dxa"/>
          </w:tcPr>
          <w:p>
            <w:pPr>
              <w:pStyle w:val="TableParagraph"/>
              <w:spacing w:line="213" w:lineRule="exact" w:before="0"/>
              <w:ind w:left="41"/>
              <w:rPr>
                <w:sz w:val="20"/>
              </w:rPr>
            </w:pPr>
            <w:r>
              <w:rPr>
                <w:sz w:val="20"/>
              </w:rPr>
              <w:t>232</w:t>
            </w:r>
          </w:p>
        </w:tc>
        <w:tc>
          <w:tcPr>
            <w:tcW w:w="5211" w:type="dxa"/>
            <w:gridSpan w:val="3"/>
            <w:vMerge/>
            <w:tcBorders>
              <w:top w:val="nil"/>
            </w:tcBorders>
          </w:tcPr>
          <w:p>
            <w:pPr>
              <w:rPr>
                <w:sz w:val="2"/>
                <w:szCs w:val="2"/>
              </w:rPr>
            </w:pPr>
          </w:p>
        </w:tc>
      </w:tr>
      <w:tr>
        <w:trPr>
          <w:trHeight w:val="360" w:hRule="atLeast"/>
        </w:trPr>
        <w:tc>
          <w:tcPr>
            <w:tcW w:w="4698" w:type="dxa"/>
          </w:tcPr>
          <w:p>
            <w:pPr>
              <w:pStyle w:val="TableParagraph"/>
              <w:spacing w:line="213" w:lineRule="exact" w:before="0"/>
              <w:ind w:left="50"/>
              <w:rPr>
                <w:sz w:val="20"/>
              </w:rPr>
            </w:pPr>
            <w:r>
              <w:rPr>
                <w:sz w:val="20"/>
              </w:rPr>
              <w:t>5.5.4 Field operations and surface facilities</w:t>
            </w:r>
          </w:p>
        </w:tc>
        <w:tc>
          <w:tcPr>
            <w:tcW w:w="509" w:type="dxa"/>
          </w:tcPr>
          <w:p>
            <w:pPr>
              <w:pStyle w:val="TableParagraph"/>
              <w:spacing w:line="213" w:lineRule="exact" w:before="0"/>
              <w:ind w:left="41"/>
              <w:rPr>
                <w:sz w:val="20"/>
              </w:rPr>
            </w:pPr>
            <w:r>
              <w:rPr>
                <w:sz w:val="20"/>
              </w:rPr>
              <w:t>233</w:t>
            </w:r>
          </w:p>
        </w:tc>
        <w:tc>
          <w:tcPr>
            <w:tcW w:w="5211" w:type="dxa"/>
            <w:gridSpan w:val="3"/>
            <w:vMerge/>
            <w:tcBorders>
              <w:top w:val="nil"/>
            </w:tcBorders>
          </w:tcPr>
          <w:p>
            <w:pPr>
              <w:rPr>
                <w:sz w:val="2"/>
                <w:szCs w:val="2"/>
              </w:rPr>
            </w:pPr>
          </w:p>
        </w:tc>
      </w:tr>
      <w:tr>
        <w:trPr>
          <w:trHeight w:val="360" w:hRule="atLeast"/>
        </w:trPr>
        <w:tc>
          <w:tcPr>
            <w:tcW w:w="4698" w:type="dxa"/>
          </w:tcPr>
          <w:p>
            <w:pPr>
              <w:pStyle w:val="TableParagraph"/>
              <w:tabs>
                <w:tab w:pos="616" w:val="left" w:leader="none"/>
              </w:tabs>
              <w:spacing w:before="103"/>
              <w:ind w:left="50"/>
              <w:rPr>
                <w:b/>
                <w:sz w:val="20"/>
              </w:rPr>
            </w:pPr>
            <w:r>
              <w:rPr>
                <w:b/>
                <w:sz w:val="20"/>
              </w:rPr>
              <w:t>5.6</w:t>
              <w:tab/>
              <w:t>Monitoring and verification</w:t>
            </w:r>
            <w:r>
              <w:rPr>
                <w:b/>
                <w:spacing w:val="-2"/>
                <w:sz w:val="20"/>
              </w:rPr>
              <w:t> </w:t>
            </w:r>
            <w:r>
              <w:rPr>
                <w:b/>
                <w:sz w:val="20"/>
              </w:rPr>
              <w:t>technology</w:t>
            </w:r>
          </w:p>
        </w:tc>
        <w:tc>
          <w:tcPr>
            <w:tcW w:w="509" w:type="dxa"/>
          </w:tcPr>
          <w:p>
            <w:pPr>
              <w:pStyle w:val="TableParagraph"/>
              <w:spacing w:before="103"/>
              <w:ind w:left="41"/>
              <w:rPr>
                <w:b/>
                <w:sz w:val="20"/>
              </w:rPr>
            </w:pPr>
            <w:r>
              <w:rPr>
                <w:b/>
                <w:sz w:val="20"/>
              </w:rPr>
              <w:t>234</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50"/>
              <w:rPr>
                <w:sz w:val="20"/>
              </w:rPr>
            </w:pPr>
            <w:r>
              <w:rPr>
                <w:sz w:val="20"/>
              </w:rPr>
              <w:t>5.6.1 Purposes for monitoring</w:t>
            </w:r>
          </w:p>
        </w:tc>
        <w:tc>
          <w:tcPr>
            <w:tcW w:w="509" w:type="dxa"/>
          </w:tcPr>
          <w:p>
            <w:pPr>
              <w:pStyle w:val="TableParagraph"/>
              <w:spacing w:line="213" w:lineRule="exact" w:before="0"/>
              <w:ind w:left="41"/>
              <w:rPr>
                <w:sz w:val="20"/>
              </w:rPr>
            </w:pPr>
            <w:r>
              <w:rPr>
                <w:sz w:val="20"/>
              </w:rPr>
              <w:t>234</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50"/>
              <w:rPr>
                <w:sz w:val="20"/>
              </w:rPr>
            </w:pPr>
            <w:r>
              <w:rPr>
                <w:sz w:val="20"/>
              </w:rPr>
              <w:t>5.6.2 Technologies for monitoring injection rates and</w:t>
            </w:r>
          </w:p>
        </w:tc>
        <w:tc>
          <w:tcPr>
            <w:tcW w:w="509" w:type="dxa"/>
          </w:tcPr>
          <w:p>
            <w:pPr>
              <w:pStyle w:val="TableParagraph"/>
              <w:spacing w:before="0"/>
              <w:ind w:left="0"/>
              <w:rPr>
                <w:sz w:val="16"/>
              </w:rPr>
            </w:pP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617"/>
              <w:rPr>
                <w:sz w:val="20"/>
              </w:rPr>
            </w:pPr>
            <w:r>
              <w:rPr>
                <w:sz w:val="20"/>
              </w:rPr>
              <w:t>pressures</w:t>
            </w:r>
          </w:p>
        </w:tc>
        <w:tc>
          <w:tcPr>
            <w:tcW w:w="509" w:type="dxa"/>
          </w:tcPr>
          <w:p>
            <w:pPr>
              <w:pStyle w:val="TableParagraph"/>
              <w:spacing w:line="213" w:lineRule="exact" w:before="0"/>
              <w:ind w:left="41"/>
              <w:rPr>
                <w:sz w:val="20"/>
              </w:rPr>
            </w:pPr>
            <w:r>
              <w:rPr>
                <w:sz w:val="20"/>
              </w:rPr>
              <w:t>235</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50"/>
              <w:rPr>
                <w:sz w:val="20"/>
              </w:rPr>
            </w:pPr>
            <w:r>
              <w:rPr>
                <w:sz w:val="20"/>
              </w:rPr>
              <w:t>5.6.3 Technologies for monitoring subsurface</w:t>
            </w:r>
          </w:p>
        </w:tc>
        <w:tc>
          <w:tcPr>
            <w:tcW w:w="509" w:type="dxa"/>
          </w:tcPr>
          <w:p>
            <w:pPr>
              <w:pStyle w:val="TableParagraph"/>
              <w:spacing w:before="0"/>
              <w:ind w:left="0"/>
              <w:rPr>
                <w:sz w:val="16"/>
              </w:rPr>
            </w:pPr>
          </w:p>
        </w:tc>
        <w:tc>
          <w:tcPr>
            <w:tcW w:w="5211" w:type="dxa"/>
            <w:gridSpan w:val="3"/>
            <w:vMerge/>
            <w:tcBorders>
              <w:top w:val="nil"/>
            </w:tcBorders>
          </w:tcPr>
          <w:p>
            <w:pPr>
              <w:rPr>
                <w:sz w:val="2"/>
                <w:szCs w:val="2"/>
              </w:rPr>
            </w:pPr>
          </w:p>
        </w:tc>
      </w:tr>
      <w:tr>
        <w:trPr>
          <w:trHeight w:val="480" w:hRule="atLeast"/>
        </w:trPr>
        <w:tc>
          <w:tcPr>
            <w:tcW w:w="4698" w:type="dxa"/>
          </w:tcPr>
          <w:p>
            <w:pPr>
              <w:pStyle w:val="TableParagraph"/>
              <w:spacing w:line="244" w:lineRule="exact" w:before="0"/>
              <w:ind w:left="617"/>
              <w:rPr>
                <w:sz w:val="11"/>
              </w:rPr>
            </w:pPr>
            <w:r>
              <w:rPr>
                <w:sz w:val="20"/>
              </w:rPr>
              <w:t>distribution of CO</w:t>
            </w:r>
            <w:r>
              <w:rPr>
                <w:position w:val="-6"/>
                <w:sz w:val="11"/>
              </w:rPr>
              <w:t>2</w:t>
            </w:r>
          </w:p>
          <w:p>
            <w:pPr>
              <w:pStyle w:val="TableParagraph"/>
              <w:spacing w:line="210" w:lineRule="exact" w:before="0"/>
              <w:ind w:left="50"/>
              <w:rPr>
                <w:sz w:val="20"/>
              </w:rPr>
            </w:pPr>
            <w:r>
              <w:rPr>
                <w:sz w:val="20"/>
              </w:rPr>
              <w:t>5.6.4 Technologies for monitoring injection well</w:t>
            </w:r>
          </w:p>
        </w:tc>
        <w:tc>
          <w:tcPr>
            <w:tcW w:w="509" w:type="dxa"/>
          </w:tcPr>
          <w:p>
            <w:pPr>
              <w:pStyle w:val="TableParagraph"/>
              <w:spacing w:line="213" w:lineRule="exact" w:before="0"/>
              <w:ind w:left="40"/>
              <w:rPr>
                <w:sz w:val="20"/>
              </w:rPr>
            </w:pPr>
            <w:r>
              <w:rPr>
                <w:sz w:val="20"/>
              </w:rPr>
              <w:t>235</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616"/>
              <w:rPr>
                <w:sz w:val="20"/>
              </w:rPr>
            </w:pPr>
            <w:r>
              <w:rPr>
                <w:sz w:val="20"/>
              </w:rPr>
              <w:t>integrity</w:t>
            </w:r>
          </w:p>
        </w:tc>
        <w:tc>
          <w:tcPr>
            <w:tcW w:w="509" w:type="dxa"/>
          </w:tcPr>
          <w:p>
            <w:pPr>
              <w:pStyle w:val="TableParagraph"/>
              <w:spacing w:line="213" w:lineRule="exact" w:before="0"/>
              <w:ind w:left="40"/>
              <w:rPr>
                <w:sz w:val="20"/>
              </w:rPr>
            </w:pPr>
            <w:r>
              <w:rPr>
                <w:sz w:val="20"/>
              </w:rPr>
              <w:t>239</w:t>
            </w:r>
          </w:p>
        </w:tc>
        <w:tc>
          <w:tcPr>
            <w:tcW w:w="5211" w:type="dxa"/>
            <w:gridSpan w:val="3"/>
            <w:vMerge/>
            <w:tcBorders>
              <w:top w:val="nil"/>
            </w:tcBorders>
          </w:tcPr>
          <w:p>
            <w:pPr>
              <w:rPr>
                <w:sz w:val="2"/>
                <w:szCs w:val="2"/>
              </w:rPr>
            </w:pPr>
          </w:p>
        </w:tc>
      </w:tr>
      <w:tr>
        <w:trPr>
          <w:trHeight w:val="240" w:hRule="atLeast"/>
        </w:trPr>
        <w:tc>
          <w:tcPr>
            <w:tcW w:w="4698" w:type="dxa"/>
          </w:tcPr>
          <w:p>
            <w:pPr>
              <w:pStyle w:val="TableParagraph"/>
              <w:spacing w:line="213" w:lineRule="exact" w:before="0"/>
              <w:ind w:left="50"/>
              <w:rPr>
                <w:sz w:val="20"/>
              </w:rPr>
            </w:pPr>
            <w:r>
              <w:rPr>
                <w:sz w:val="20"/>
              </w:rPr>
              <w:t>5.6.5 Technologies for monitoring local environmental</w:t>
            </w:r>
          </w:p>
        </w:tc>
        <w:tc>
          <w:tcPr>
            <w:tcW w:w="509" w:type="dxa"/>
          </w:tcPr>
          <w:p>
            <w:pPr>
              <w:pStyle w:val="TableParagraph"/>
              <w:spacing w:before="0"/>
              <w:ind w:left="0"/>
              <w:rPr>
                <w:sz w:val="16"/>
              </w:rPr>
            </w:pPr>
          </w:p>
        </w:tc>
        <w:tc>
          <w:tcPr>
            <w:tcW w:w="5211" w:type="dxa"/>
            <w:gridSpan w:val="3"/>
            <w:vMerge/>
            <w:tcBorders>
              <w:top w:val="nil"/>
            </w:tcBorders>
          </w:tcPr>
          <w:p>
            <w:pPr>
              <w:rPr>
                <w:sz w:val="2"/>
                <w:szCs w:val="2"/>
              </w:rPr>
            </w:pPr>
          </w:p>
        </w:tc>
      </w:tr>
      <w:tr>
        <w:trPr>
          <w:trHeight w:val="220" w:hRule="atLeast"/>
        </w:trPr>
        <w:tc>
          <w:tcPr>
            <w:tcW w:w="4698" w:type="dxa"/>
          </w:tcPr>
          <w:p>
            <w:pPr>
              <w:pStyle w:val="TableParagraph"/>
              <w:spacing w:line="200" w:lineRule="exact" w:before="0"/>
              <w:ind w:left="616"/>
              <w:rPr>
                <w:sz w:val="20"/>
              </w:rPr>
            </w:pPr>
            <w:r>
              <w:rPr>
                <w:sz w:val="20"/>
              </w:rPr>
              <w:t>effects</w:t>
            </w:r>
          </w:p>
        </w:tc>
        <w:tc>
          <w:tcPr>
            <w:tcW w:w="509" w:type="dxa"/>
          </w:tcPr>
          <w:p>
            <w:pPr>
              <w:pStyle w:val="TableParagraph"/>
              <w:spacing w:line="200" w:lineRule="exact" w:before="0"/>
              <w:ind w:left="40"/>
              <w:rPr>
                <w:sz w:val="20"/>
              </w:rPr>
            </w:pPr>
            <w:r>
              <w:rPr>
                <w:sz w:val="20"/>
              </w:rPr>
              <w:t>239</w:t>
            </w:r>
          </w:p>
        </w:tc>
        <w:tc>
          <w:tcPr>
            <w:tcW w:w="5211" w:type="dxa"/>
            <w:gridSpan w:val="3"/>
            <w:vMerge/>
            <w:tcBorders>
              <w:top w:val="nil"/>
            </w:tcBorders>
          </w:tcPr>
          <w:p>
            <w:pPr>
              <w:rPr>
                <w:sz w:val="2"/>
                <w:szCs w:val="2"/>
              </w:rPr>
            </w:pPr>
          </w:p>
        </w:tc>
      </w:tr>
    </w:tbl>
    <w:p>
      <w:pPr>
        <w:spacing w:after="0"/>
        <w:rPr>
          <w:sz w:val="2"/>
          <w:szCs w:val="2"/>
        </w:rPr>
        <w:sectPr>
          <w:headerReference w:type="even" r:id="rId5"/>
          <w:headerReference w:type="default" r:id="rId6"/>
          <w:pgSz w:w="12240" w:h="15840"/>
          <w:pgMar w:header="567" w:footer="0" w:top="760" w:bottom="280" w:left="580" w:right="600"/>
          <w:pgNumType w:start="196"/>
        </w:sectPr>
      </w:pPr>
    </w:p>
    <w:p>
      <w:pPr>
        <w:pStyle w:val="BodyText"/>
        <w:spacing w:before="2"/>
        <w:rPr>
          <w:sz w:val="23"/>
        </w:rPr>
      </w:pPr>
    </w:p>
    <w:p>
      <w:pPr>
        <w:spacing w:after="0"/>
        <w:rPr>
          <w:sz w:val="23"/>
        </w:rPr>
        <w:sectPr>
          <w:pgSz w:w="12240" w:h="15840"/>
          <w:pgMar w:header="567" w:footer="0" w:top="760" w:bottom="280" w:left="580" w:right="600"/>
        </w:sectPr>
      </w:pPr>
    </w:p>
    <w:p>
      <w:pPr>
        <w:pStyle w:val="Heading1"/>
        <w:spacing w:before="63"/>
        <w:ind w:left="553"/>
        <w:jc w:val="both"/>
      </w:pPr>
      <w:bookmarkStart w:name="Executive Summary" w:id="3"/>
      <w:bookmarkEnd w:id="3"/>
      <w:r>
        <w:rPr>
          <w:b w:val="0"/>
        </w:rPr>
      </w:r>
      <w:r>
        <w:rPr>
          <w:w w:val="120"/>
        </w:rPr>
        <w:t>ExECUtivE SUmmARy</w:t>
      </w:r>
    </w:p>
    <w:p>
      <w:pPr>
        <w:pStyle w:val="BodyText"/>
        <w:spacing w:line="240" w:lineRule="exact" w:before="161"/>
        <w:ind w:left="553"/>
        <w:jc w:val="both"/>
      </w:pPr>
      <w:r>
        <w:rPr/>
        <w:t>Underground accumulation of carbon dioxide (CO</w:t>
      </w:r>
      <w:r>
        <w:rPr>
          <w:position w:val="-6"/>
          <w:sz w:val="11"/>
        </w:rPr>
        <w:t>2</w:t>
      </w:r>
      <w:r>
        <w:rPr/>
        <w:t>) is a widespread</w:t>
      </w:r>
      <w:r>
        <w:rPr>
          <w:spacing w:val="-33"/>
        </w:rPr>
        <w:t> </w:t>
      </w:r>
      <w:r>
        <w:rPr/>
        <w:t>geological</w:t>
      </w:r>
      <w:r>
        <w:rPr>
          <w:spacing w:val="-32"/>
        </w:rPr>
        <w:t> </w:t>
      </w:r>
      <w:r>
        <w:rPr/>
        <w:t>phenomenon,</w:t>
      </w:r>
      <w:r>
        <w:rPr>
          <w:spacing w:val="-32"/>
        </w:rPr>
        <w:t> </w:t>
      </w:r>
      <w:r>
        <w:rPr/>
        <w:t>with</w:t>
      </w:r>
      <w:r>
        <w:rPr>
          <w:spacing w:val="-32"/>
        </w:rPr>
        <w:t> </w:t>
      </w:r>
      <w:r>
        <w:rPr/>
        <w:t>natural</w:t>
      </w:r>
      <w:r>
        <w:rPr>
          <w:spacing w:val="-32"/>
        </w:rPr>
        <w:t> </w:t>
      </w:r>
      <w:r>
        <w:rPr/>
        <w:t>trapping</w:t>
      </w:r>
      <w:r>
        <w:rPr>
          <w:spacing w:val="-32"/>
        </w:rPr>
        <w:t> </w:t>
      </w:r>
      <w:r>
        <w:rPr/>
        <w:t>of</w:t>
      </w:r>
      <w:r>
        <w:rPr>
          <w:spacing w:val="-32"/>
        </w:rPr>
        <w:t> </w:t>
      </w:r>
      <w:r>
        <w:rPr/>
        <w:t>CO</w:t>
      </w:r>
      <w:r>
        <w:rPr>
          <w:position w:val="-6"/>
          <w:sz w:val="11"/>
        </w:rPr>
        <w:t>2 </w:t>
      </w:r>
      <w:r>
        <w:rPr/>
        <w:t>in underground reservoirs. Information and experience </w:t>
      </w:r>
      <w:r>
        <w:rPr>
          <w:spacing w:val="-3"/>
        </w:rPr>
        <w:t>gained </w:t>
      </w:r>
      <w:r>
        <w:rPr/>
        <w:t>from the injection and/or storage of CO</w:t>
      </w:r>
      <w:r>
        <w:rPr>
          <w:position w:val="-6"/>
          <w:sz w:val="11"/>
        </w:rPr>
        <w:t>2 </w:t>
      </w:r>
      <w:r>
        <w:rPr/>
        <w:t>from a large number of existing enhanced oil recovery (EOR) and acid gas projects, as well as from the Sleipner, </w:t>
      </w:r>
      <w:r>
        <w:rPr>
          <w:spacing w:val="-3"/>
        </w:rPr>
        <w:t>Weyburn </w:t>
      </w:r>
      <w:r>
        <w:rPr/>
        <w:t>and In Salah projects, indicate that it is feasible to store CO</w:t>
      </w:r>
      <w:r>
        <w:rPr>
          <w:position w:val="-6"/>
          <w:sz w:val="11"/>
        </w:rPr>
        <w:t>2 </w:t>
      </w:r>
      <w:r>
        <w:rPr/>
        <w:t>in geological formations as a CO</w:t>
      </w:r>
      <w:r>
        <w:rPr>
          <w:position w:val="-6"/>
          <w:sz w:val="11"/>
        </w:rPr>
        <w:t>2 </w:t>
      </w:r>
      <w:r>
        <w:rPr/>
        <w:t>mitigation option. Industrial analogues, including underground natural gas storage projects around the world and acid gas injection projects, provide additional indications </w:t>
      </w:r>
      <w:r>
        <w:rPr>
          <w:spacing w:val="-4"/>
        </w:rPr>
        <w:t>that </w:t>
      </w:r>
      <w:r>
        <w:rPr/>
        <w:t>CO</w:t>
      </w:r>
      <w:r>
        <w:rPr>
          <w:position w:val="-6"/>
          <w:sz w:val="11"/>
        </w:rPr>
        <w:t>2 </w:t>
      </w:r>
      <w:r>
        <w:rPr/>
        <w:t>can be safely injected and stored at well-characterized and properly managed sites. While there are differences between natural</w:t>
      </w:r>
      <w:r>
        <w:rPr>
          <w:spacing w:val="-24"/>
        </w:rPr>
        <w:t> </w:t>
      </w:r>
      <w:r>
        <w:rPr/>
        <w:t>accumulations</w:t>
      </w:r>
      <w:r>
        <w:rPr>
          <w:spacing w:val="-24"/>
        </w:rPr>
        <w:t> </w:t>
      </w:r>
      <w:r>
        <w:rPr/>
        <w:t>and</w:t>
      </w:r>
      <w:r>
        <w:rPr>
          <w:spacing w:val="-23"/>
        </w:rPr>
        <w:t> </w:t>
      </w:r>
      <w:r>
        <w:rPr/>
        <w:t>engineered</w:t>
      </w:r>
      <w:r>
        <w:rPr>
          <w:spacing w:val="-24"/>
        </w:rPr>
        <w:t> </w:t>
      </w:r>
      <w:r>
        <w:rPr/>
        <w:t>storage,</w:t>
      </w:r>
      <w:r>
        <w:rPr>
          <w:spacing w:val="-24"/>
        </w:rPr>
        <w:t> </w:t>
      </w:r>
      <w:r>
        <w:rPr/>
        <w:t>injecting</w:t>
      </w:r>
      <w:r>
        <w:rPr>
          <w:spacing w:val="-23"/>
        </w:rPr>
        <w:t> </w:t>
      </w:r>
      <w:r>
        <w:rPr/>
        <w:t>CO</w:t>
      </w:r>
      <w:r>
        <w:rPr>
          <w:position w:val="-6"/>
          <w:sz w:val="11"/>
        </w:rPr>
        <w:t>2</w:t>
      </w:r>
      <w:r>
        <w:rPr>
          <w:spacing w:val="-2"/>
          <w:position w:val="-6"/>
          <w:sz w:val="11"/>
        </w:rPr>
        <w:t> </w:t>
      </w:r>
      <w:r>
        <w:rPr/>
        <w:t>into deep geological formations at carefully selected sites can store it underground for long periods of time: it is considered </w:t>
      </w:r>
      <w:r>
        <w:rPr>
          <w:spacing w:val="-3"/>
        </w:rPr>
        <w:t>likely </w:t>
      </w:r>
      <w:r>
        <w:rPr/>
        <w:t>that 99% or more of the injected CO</w:t>
      </w:r>
      <w:r>
        <w:rPr>
          <w:position w:val="-6"/>
          <w:sz w:val="11"/>
        </w:rPr>
        <w:t>2 </w:t>
      </w:r>
      <w:r>
        <w:rPr/>
        <w:t>will be retained for 1000 years. Depleted oil and gas reservoirs, possibly coal</w:t>
      </w:r>
      <w:r>
        <w:rPr>
          <w:spacing w:val="-32"/>
        </w:rPr>
        <w:t> </w:t>
      </w:r>
      <w:r>
        <w:rPr/>
        <w:t>formations and particularly saline formations (deep underground porous reservoir rocks saturated with brackish water or brine), can   be used for storage of CO</w:t>
      </w:r>
      <w:r>
        <w:rPr>
          <w:position w:val="-6"/>
          <w:sz w:val="11"/>
        </w:rPr>
        <w:t>2</w:t>
      </w:r>
      <w:r>
        <w:rPr/>
        <w:t>. At depths below about 800–1000 m, supercritical CO</w:t>
      </w:r>
      <w:r>
        <w:rPr>
          <w:position w:val="-6"/>
          <w:sz w:val="11"/>
        </w:rPr>
        <w:t>2 </w:t>
      </w:r>
      <w:r>
        <w:rPr/>
        <w:t>has a liquid-like density that provides the potential for efficient utilization of underground storage space in the pores of sedimentary rocks. Carbon dioxide can remain trapped</w:t>
      </w:r>
      <w:r>
        <w:rPr>
          <w:spacing w:val="-16"/>
        </w:rPr>
        <w:t> </w:t>
      </w:r>
      <w:r>
        <w:rPr/>
        <w:t>underground</w:t>
      </w:r>
      <w:r>
        <w:rPr>
          <w:spacing w:val="-16"/>
        </w:rPr>
        <w:t> </w:t>
      </w:r>
      <w:r>
        <w:rPr/>
        <w:t>by</w:t>
      </w:r>
      <w:r>
        <w:rPr>
          <w:spacing w:val="-16"/>
        </w:rPr>
        <w:t> </w:t>
      </w:r>
      <w:r>
        <w:rPr/>
        <w:t>virtue</w:t>
      </w:r>
      <w:r>
        <w:rPr>
          <w:spacing w:val="-16"/>
        </w:rPr>
        <w:t> </w:t>
      </w:r>
      <w:r>
        <w:rPr/>
        <w:t>of</w:t>
      </w:r>
      <w:r>
        <w:rPr>
          <w:spacing w:val="-16"/>
        </w:rPr>
        <w:t> </w:t>
      </w:r>
      <w:r>
        <w:rPr/>
        <w:t>a</w:t>
      </w:r>
      <w:r>
        <w:rPr>
          <w:spacing w:val="-16"/>
        </w:rPr>
        <w:t> </w:t>
      </w:r>
      <w:r>
        <w:rPr/>
        <w:t>number</w:t>
      </w:r>
      <w:r>
        <w:rPr>
          <w:spacing w:val="-15"/>
        </w:rPr>
        <w:t> </w:t>
      </w:r>
      <w:r>
        <w:rPr/>
        <w:t>of</w:t>
      </w:r>
      <w:r>
        <w:rPr>
          <w:spacing w:val="-16"/>
        </w:rPr>
        <w:t> </w:t>
      </w:r>
      <w:r>
        <w:rPr/>
        <w:t>mechanisms,</w:t>
      </w:r>
      <w:r>
        <w:rPr>
          <w:spacing w:val="-16"/>
        </w:rPr>
        <w:t> </w:t>
      </w:r>
      <w:r>
        <w:rPr/>
        <w:t>such as: trapping below an impermeable, confining layer (caprock); retention as an immobile phase trapped in the pore spaces      of the storage formation; dissolution in the </w:t>
      </w:r>
      <w:r>
        <w:rPr>
          <w:i/>
        </w:rPr>
        <w:t>in situ </w:t>
      </w:r>
      <w:r>
        <w:rPr/>
        <w:t>formation fluids; and/or adsorption onto organic matter in coal and shale. Additionally, it may be trapped by reacting with the minerals in the storage formation and caprock to produce carbonate minerals. Models are available to predict what happens when CO</w:t>
      </w:r>
      <w:r>
        <w:rPr>
          <w:position w:val="-6"/>
          <w:sz w:val="11"/>
        </w:rPr>
        <w:t>2 </w:t>
      </w:r>
      <w:r>
        <w:rPr/>
        <w:t>is injected underground. Also, by avoiding deteriorated wells or open fractures or faults, injected CO</w:t>
      </w:r>
      <w:r>
        <w:rPr>
          <w:position w:val="-6"/>
          <w:sz w:val="11"/>
        </w:rPr>
        <w:t>2 </w:t>
      </w:r>
      <w:r>
        <w:rPr/>
        <w:t>will be retained for very long periods of time. Moreover, CO</w:t>
      </w:r>
      <w:r>
        <w:rPr>
          <w:position w:val="-6"/>
          <w:sz w:val="11"/>
        </w:rPr>
        <w:t>2 </w:t>
      </w:r>
      <w:r>
        <w:rPr/>
        <w:t>becomes less mobile over time as a result of multiple trapping mechanisms, further lowering the prospect of leakage.</w:t>
      </w:r>
    </w:p>
    <w:p>
      <w:pPr>
        <w:pStyle w:val="BodyText"/>
        <w:spacing w:line="240" w:lineRule="exact"/>
        <w:ind w:left="553" w:firstLine="283"/>
        <w:jc w:val="both"/>
      </w:pPr>
      <w:r>
        <w:rPr/>
        <w:t>Injection of CO</w:t>
      </w:r>
      <w:r>
        <w:rPr>
          <w:position w:val="-6"/>
          <w:sz w:val="11"/>
        </w:rPr>
        <w:t>2 </w:t>
      </w:r>
      <w:r>
        <w:rPr/>
        <w:t>in deep geological formations </w:t>
      </w:r>
      <w:r>
        <w:rPr>
          <w:spacing w:val="-4"/>
        </w:rPr>
        <w:t>uses </w:t>
      </w:r>
      <w:r>
        <w:rPr/>
        <w:t>technologies that have been developed for  and  applied  </w:t>
      </w:r>
      <w:r>
        <w:rPr>
          <w:spacing w:val="-9"/>
        </w:rPr>
        <w:t>by, </w:t>
      </w:r>
      <w:r>
        <w:rPr/>
        <w:t>the oil and gas industry. Well-drilling technology, injection technology, computer simulation of storage reservoir</w:t>
      </w:r>
      <w:r>
        <w:rPr>
          <w:spacing w:val="-34"/>
        </w:rPr>
        <w:t> </w:t>
      </w:r>
      <w:r>
        <w:rPr/>
        <w:t>dynamics and monitoring methods can potentially be adapted </w:t>
      </w:r>
      <w:r>
        <w:rPr>
          <w:spacing w:val="-5"/>
        </w:rPr>
        <w:t>from </w:t>
      </w:r>
      <w:r>
        <w:rPr/>
        <w:t>existing applications to meet the needs of geological storage. Beyond conventional oil and gas technology, other successful underground</w:t>
      </w:r>
      <w:r>
        <w:rPr>
          <w:spacing w:val="-8"/>
        </w:rPr>
        <w:t> </w:t>
      </w:r>
      <w:r>
        <w:rPr/>
        <w:t>injection</w:t>
      </w:r>
      <w:r>
        <w:rPr>
          <w:spacing w:val="-8"/>
        </w:rPr>
        <w:t> </w:t>
      </w:r>
      <w:r>
        <w:rPr/>
        <w:t>practices</w:t>
      </w:r>
      <w:r>
        <w:rPr>
          <w:spacing w:val="-7"/>
        </w:rPr>
        <w:t> </w:t>
      </w:r>
      <w:r>
        <w:rPr/>
        <w:t>–</w:t>
      </w:r>
      <w:r>
        <w:rPr>
          <w:spacing w:val="-8"/>
        </w:rPr>
        <w:t> </w:t>
      </w:r>
      <w:r>
        <w:rPr/>
        <w:t>including</w:t>
      </w:r>
      <w:r>
        <w:rPr>
          <w:spacing w:val="-8"/>
        </w:rPr>
        <w:t> </w:t>
      </w:r>
      <w:r>
        <w:rPr/>
        <w:t>natural</w:t>
      </w:r>
      <w:r>
        <w:rPr>
          <w:spacing w:val="-7"/>
        </w:rPr>
        <w:t> </w:t>
      </w:r>
      <w:r>
        <w:rPr/>
        <w:t>gas</w:t>
      </w:r>
      <w:r>
        <w:rPr>
          <w:spacing w:val="-8"/>
        </w:rPr>
        <w:t> </w:t>
      </w:r>
      <w:r>
        <w:rPr/>
        <w:t>storage, acid</w:t>
      </w:r>
      <w:r>
        <w:rPr>
          <w:spacing w:val="-12"/>
        </w:rPr>
        <w:t> </w:t>
      </w:r>
      <w:r>
        <w:rPr/>
        <w:t>gas</w:t>
      </w:r>
      <w:r>
        <w:rPr>
          <w:spacing w:val="-12"/>
        </w:rPr>
        <w:t> </w:t>
      </w:r>
      <w:r>
        <w:rPr/>
        <w:t>disposal</w:t>
      </w:r>
      <w:r>
        <w:rPr>
          <w:spacing w:val="-11"/>
        </w:rPr>
        <w:t> </w:t>
      </w:r>
      <w:r>
        <w:rPr/>
        <w:t>and</w:t>
      </w:r>
      <w:r>
        <w:rPr>
          <w:spacing w:val="-12"/>
        </w:rPr>
        <w:t> </w:t>
      </w:r>
      <w:r>
        <w:rPr/>
        <w:t>deep</w:t>
      </w:r>
      <w:r>
        <w:rPr>
          <w:spacing w:val="-12"/>
        </w:rPr>
        <w:t> </w:t>
      </w:r>
      <w:r>
        <w:rPr/>
        <w:t>injection</w:t>
      </w:r>
      <w:r>
        <w:rPr>
          <w:spacing w:val="-11"/>
        </w:rPr>
        <w:t> </w:t>
      </w:r>
      <w:r>
        <w:rPr/>
        <w:t>of</w:t>
      </w:r>
      <w:r>
        <w:rPr>
          <w:spacing w:val="-12"/>
        </w:rPr>
        <w:t> </w:t>
      </w:r>
      <w:r>
        <w:rPr/>
        <w:t>liquid</w:t>
      </w:r>
      <w:r>
        <w:rPr>
          <w:spacing w:val="-12"/>
        </w:rPr>
        <w:t> </w:t>
      </w:r>
      <w:r>
        <w:rPr/>
        <w:t>wastes</w:t>
      </w:r>
      <w:r>
        <w:rPr>
          <w:spacing w:val="-11"/>
        </w:rPr>
        <w:t> </w:t>
      </w:r>
      <w:r>
        <w:rPr/>
        <w:t>–</w:t>
      </w:r>
      <w:r>
        <w:rPr>
          <w:spacing w:val="-12"/>
        </w:rPr>
        <w:t> </w:t>
      </w:r>
      <w:r>
        <w:rPr/>
        <w:t>as</w:t>
      </w:r>
      <w:r>
        <w:rPr>
          <w:spacing w:val="-12"/>
        </w:rPr>
        <w:t> </w:t>
      </w:r>
      <w:r>
        <w:rPr/>
        <w:t>well</w:t>
      </w:r>
      <w:r>
        <w:rPr>
          <w:spacing w:val="-11"/>
        </w:rPr>
        <w:t> </w:t>
      </w:r>
      <w:r>
        <w:rPr/>
        <w:t>as the industry’s extensive experience with subsurface disposal</w:t>
      </w:r>
      <w:r>
        <w:rPr>
          <w:spacing w:val="-22"/>
        </w:rPr>
        <w:t> </w:t>
      </w:r>
      <w:r>
        <w:rPr/>
        <w:t>of oil-field</w:t>
      </w:r>
      <w:r>
        <w:rPr>
          <w:spacing w:val="-8"/>
        </w:rPr>
        <w:t> </w:t>
      </w:r>
      <w:r>
        <w:rPr/>
        <w:t>brines,</w:t>
      </w:r>
      <w:r>
        <w:rPr>
          <w:spacing w:val="-7"/>
        </w:rPr>
        <w:t> </w:t>
      </w:r>
      <w:r>
        <w:rPr/>
        <w:t>can</w:t>
      </w:r>
      <w:r>
        <w:rPr>
          <w:spacing w:val="-7"/>
        </w:rPr>
        <w:t> </w:t>
      </w:r>
      <w:r>
        <w:rPr/>
        <w:t>provide</w:t>
      </w:r>
      <w:r>
        <w:rPr>
          <w:spacing w:val="-7"/>
        </w:rPr>
        <w:t> </w:t>
      </w:r>
      <w:r>
        <w:rPr/>
        <w:t>useful</w:t>
      </w:r>
      <w:r>
        <w:rPr>
          <w:spacing w:val="-7"/>
        </w:rPr>
        <w:t> </w:t>
      </w:r>
      <w:r>
        <w:rPr/>
        <w:t>information</w:t>
      </w:r>
      <w:r>
        <w:rPr>
          <w:spacing w:val="-7"/>
        </w:rPr>
        <w:t> </w:t>
      </w:r>
      <w:r>
        <w:rPr/>
        <w:t>about</w:t>
      </w:r>
      <w:r>
        <w:rPr>
          <w:spacing w:val="-7"/>
        </w:rPr>
        <w:t> </w:t>
      </w:r>
      <w:r>
        <w:rPr/>
        <w:t>designing programmes for long-term storage of CO</w:t>
      </w:r>
      <w:r>
        <w:rPr>
          <w:position w:val="-6"/>
          <w:sz w:val="11"/>
        </w:rPr>
        <w:t>2</w:t>
      </w:r>
      <w:r>
        <w:rPr/>
        <w:t>. Geological storage of CO</w:t>
      </w:r>
      <w:r>
        <w:rPr>
          <w:position w:val="-6"/>
          <w:sz w:val="11"/>
        </w:rPr>
        <w:t>2 </w:t>
      </w:r>
      <w:r>
        <w:rPr/>
        <w:t>is in practice today beneath the North Sea, where</w:t>
      </w:r>
      <w:r>
        <w:rPr>
          <w:spacing w:val="-30"/>
        </w:rPr>
        <w:t> </w:t>
      </w:r>
      <w:r>
        <w:rPr/>
        <w:t>nearly 1 MtCO</w:t>
      </w:r>
      <w:r>
        <w:rPr>
          <w:position w:val="-6"/>
          <w:sz w:val="11"/>
        </w:rPr>
        <w:t>2 </w:t>
      </w:r>
      <w:r>
        <w:rPr/>
        <w:t>has been successfully injected annually at Sleipner since 1996 and in Algeria at the In-Salah gas field. Carbon dioxide is also injected underground to recover oil. About </w:t>
      </w:r>
      <w:r>
        <w:rPr>
          <w:spacing w:val="-6"/>
        </w:rPr>
        <w:t>30 </w:t>
      </w:r>
      <w:r>
        <w:rPr/>
        <w:t>Mt of non-anthropogenic CO</w:t>
      </w:r>
      <w:r>
        <w:rPr>
          <w:position w:val="-6"/>
          <w:sz w:val="11"/>
        </w:rPr>
        <w:t>2  </w:t>
      </w:r>
      <w:r>
        <w:rPr/>
        <w:t>are injected annually, mostly   in west </w:t>
      </w:r>
      <w:r>
        <w:rPr>
          <w:spacing w:val="-3"/>
        </w:rPr>
        <w:t>Texas, </w:t>
      </w:r>
      <w:r>
        <w:rPr/>
        <w:t>to recover oil from over 50 individual projects, some of which started in the early 1970s. The </w:t>
      </w:r>
      <w:r>
        <w:rPr>
          <w:spacing w:val="-3"/>
        </w:rPr>
        <w:t>Weyburn</w:t>
      </w:r>
      <w:r>
        <w:rPr>
          <w:spacing w:val="-21"/>
        </w:rPr>
        <w:t> </w:t>
      </w:r>
      <w:r>
        <w:rPr/>
        <w:t>Project</w:t>
      </w:r>
    </w:p>
    <w:p>
      <w:pPr>
        <w:pStyle w:val="BodyText"/>
      </w:pPr>
      <w:r>
        <w:rPr/>
        <w:br w:type="column"/>
      </w:r>
      <w:r>
        <w:rPr/>
      </w:r>
    </w:p>
    <w:p>
      <w:pPr>
        <w:pStyle w:val="BodyText"/>
        <w:spacing w:before="6"/>
        <w:rPr>
          <w:sz w:val="19"/>
        </w:rPr>
      </w:pPr>
    </w:p>
    <w:p>
      <w:pPr>
        <w:pStyle w:val="BodyText"/>
        <w:spacing w:line="240" w:lineRule="exact"/>
        <w:ind w:left="241" w:right="132"/>
        <w:jc w:val="both"/>
      </w:pPr>
      <w:r>
        <w:rPr/>
        <w:t>in Canada, where currently 1–2 MtCO</w:t>
      </w:r>
      <w:r>
        <w:rPr>
          <w:position w:val="-6"/>
          <w:sz w:val="11"/>
        </w:rPr>
        <w:t>2 </w:t>
      </w:r>
      <w:r>
        <w:rPr/>
        <w:t>are injected annually, combines</w:t>
      </w:r>
      <w:r>
        <w:rPr>
          <w:spacing w:val="-18"/>
        </w:rPr>
        <w:t> </w:t>
      </w:r>
      <w:r>
        <w:rPr/>
        <w:t>EOR</w:t>
      </w:r>
      <w:r>
        <w:rPr>
          <w:spacing w:val="-17"/>
        </w:rPr>
        <w:t> </w:t>
      </w:r>
      <w:r>
        <w:rPr/>
        <w:t>with</w:t>
      </w:r>
      <w:r>
        <w:rPr>
          <w:spacing w:val="-18"/>
        </w:rPr>
        <w:t> </w:t>
      </w:r>
      <w:r>
        <w:rPr/>
        <w:t>a</w:t>
      </w:r>
      <w:r>
        <w:rPr>
          <w:spacing w:val="-17"/>
        </w:rPr>
        <w:t> </w:t>
      </w:r>
      <w:r>
        <w:rPr/>
        <w:t>comprehensive</w:t>
      </w:r>
      <w:r>
        <w:rPr>
          <w:spacing w:val="-18"/>
        </w:rPr>
        <w:t> </w:t>
      </w:r>
      <w:r>
        <w:rPr/>
        <w:t>monitoring</w:t>
      </w:r>
      <w:r>
        <w:rPr>
          <w:spacing w:val="-17"/>
        </w:rPr>
        <w:t> </w:t>
      </w:r>
      <w:r>
        <w:rPr/>
        <w:t>and</w:t>
      </w:r>
      <w:r>
        <w:rPr>
          <w:spacing w:val="-17"/>
        </w:rPr>
        <w:t> </w:t>
      </w:r>
      <w:r>
        <w:rPr/>
        <w:t>modelling programme to evaluate CO</w:t>
      </w:r>
      <w:r>
        <w:rPr>
          <w:position w:val="-6"/>
          <w:sz w:val="11"/>
        </w:rPr>
        <w:t>2 </w:t>
      </w:r>
      <w:r>
        <w:rPr/>
        <w:t>storage. Several more storage projects are under development at this time.</w:t>
      </w:r>
    </w:p>
    <w:p>
      <w:pPr>
        <w:pStyle w:val="BodyText"/>
        <w:spacing w:line="240" w:lineRule="exact"/>
        <w:ind w:left="241" w:right="133" w:firstLine="283"/>
        <w:jc w:val="both"/>
      </w:pPr>
      <w:r>
        <w:rPr/>
        <w:t>In areas with suitable hydrocarbon accumulations, CO</w:t>
      </w:r>
      <w:r>
        <w:rPr>
          <w:position w:val="-6"/>
          <w:sz w:val="11"/>
        </w:rPr>
        <w:t>2</w:t>
      </w:r>
      <w:r>
        <w:rPr/>
        <w:t>- EOR may be implemented because of the added economic benefit of incremental oil production, which may offset some of the costs of CO</w:t>
      </w:r>
      <w:r>
        <w:rPr>
          <w:position w:val="-6"/>
          <w:sz w:val="11"/>
        </w:rPr>
        <w:t>2  </w:t>
      </w:r>
      <w:r>
        <w:rPr/>
        <w:t>capture, transport and injection. Storage   of CO</w:t>
      </w:r>
      <w:r>
        <w:rPr>
          <w:position w:val="-6"/>
          <w:sz w:val="11"/>
        </w:rPr>
        <w:t>2 </w:t>
      </w:r>
      <w:r>
        <w:rPr/>
        <w:t>in coal beds, in conjunction with enhanced coal bed methane (ECBM) production, is potentially attractive because of the prospect of enhanced production of methane, </w:t>
      </w:r>
      <w:r>
        <w:rPr>
          <w:spacing w:val="-4"/>
        </w:rPr>
        <w:t>the </w:t>
      </w:r>
      <w:r>
        <w:rPr/>
        <w:t>cleanest of the fossil fuels. This technology, however, is not well developed and a better understanding of injection and storage processes in coals is needed. Carbon dioxide storage  in depleted oil and gas reservoirs is very promising in some areas, because these structures are well known and significant infrastructures are already in place. Nevertheless, relatively few hydrocarbon reservoirs are currently depleted or near depletion and CO</w:t>
      </w:r>
      <w:r>
        <w:rPr>
          <w:position w:val="-6"/>
          <w:sz w:val="11"/>
        </w:rPr>
        <w:t>2 </w:t>
      </w:r>
      <w:r>
        <w:rPr/>
        <w:t>storage will have to be staged to fit the time of reservoir availability. Deep saline formations are believed</w:t>
      </w:r>
      <w:r>
        <w:rPr>
          <w:spacing w:val="-30"/>
        </w:rPr>
        <w:t> </w:t>
      </w:r>
      <w:r>
        <w:rPr/>
        <w:t>to have by far the largest capacity for CO</w:t>
      </w:r>
      <w:r>
        <w:rPr>
          <w:position w:val="-6"/>
          <w:sz w:val="11"/>
        </w:rPr>
        <w:t>2 </w:t>
      </w:r>
      <w:r>
        <w:rPr/>
        <w:t>storage and are much more widespread than other</w:t>
      </w:r>
      <w:r>
        <w:rPr>
          <w:spacing w:val="-2"/>
        </w:rPr>
        <w:t> </w:t>
      </w:r>
      <w:r>
        <w:rPr/>
        <w:t>options.</w:t>
      </w:r>
    </w:p>
    <w:p>
      <w:pPr>
        <w:pStyle w:val="BodyText"/>
        <w:spacing w:line="240" w:lineRule="exact"/>
        <w:ind w:left="241" w:right="134" w:firstLine="283"/>
        <w:jc w:val="both"/>
      </w:pPr>
      <w:r>
        <w:rPr/>
        <w:t>While there are uncertainties, the global capacity to store CO</w:t>
      </w:r>
      <w:r>
        <w:rPr>
          <w:position w:val="-6"/>
          <w:sz w:val="11"/>
        </w:rPr>
        <w:t>2 </w:t>
      </w:r>
      <w:r>
        <w:rPr/>
        <w:t>deep underground is large. Depleted oil and gas reservoirs are estimated to have a storage capacity of 675–900 GtCO</w:t>
      </w:r>
      <w:r>
        <w:rPr>
          <w:position w:val="-6"/>
          <w:sz w:val="11"/>
        </w:rPr>
        <w:t>2</w:t>
      </w:r>
      <w:r>
        <w:rPr/>
        <w:t>. Deep</w:t>
      </w:r>
      <w:r>
        <w:rPr>
          <w:spacing w:val="-16"/>
        </w:rPr>
        <w:t> </w:t>
      </w:r>
      <w:r>
        <w:rPr/>
        <w:t>saline</w:t>
      </w:r>
      <w:r>
        <w:rPr>
          <w:spacing w:val="-15"/>
        </w:rPr>
        <w:t> </w:t>
      </w:r>
      <w:r>
        <w:rPr/>
        <w:t>formations</w:t>
      </w:r>
      <w:r>
        <w:rPr>
          <w:spacing w:val="-15"/>
        </w:rPr>
        <w:t> </w:t>
      </w:r>
      <w:r>
        <w:rPr/>
        <w:t>are</w:t>
      </w:r>
      <w:r>
        <w:rPr>
          <w:spacing w:val="-16"/>
        </w:rPr>
        <w:t> </w:t>
      </w:r>
      <w:r>
        <w:rPr/>
        <w:t>very</w:t>
      </w:r>
      <w:r>
        <w:rPr>
          <w:spacing w:val="-15"/>
        </w:rPr>
        <w:t> </w:t>
      </w:r>
      <w:r>
        <w:rPr/>
        <w:t>likely</w:t>
      </w:r>
      <w:r>
        <w:rPr>
          <w:spacing w:val="-15"/>
        </w:rPr>
        <w:t> </w:t>
      </w:r>
      <w:r>
        <w:rPr/>
        <w:t>to</w:t>
      </w:r>
      <w:r>
        <w:rPr>
          <w:spacing w:val="-16"/>
        </w:rPr>
        <w:t> </w:t>
      </w:r>
      <w:r>
        <w:rPr/>
        <w:t>have</w:t>
      </w:r>
      <w:r>
        <w:rPr>
          <w:spacing w:val="-15"/>
        </w:rPr>
        <w:t> </w:t>
      </w:r>
      <w:r>
        <w:rPr/>
        <w:t>a</w:t>
      </w:r>
      <w:r>
        <w:rPr>
          <w:spacing w:val="-15"/>
        </w:rPr>
        <w:t> </w:t>
      </w:r>
      <w:r>
        <w:rPr/>
        <w:t>storage</w:t>
      </w:r>
      <w:r>
        <w:rPr>
          <w:spacing w:val="-16"/>
        </w:rPr>
        <w:t> </w:t>
      </w:r>
      <w:r>
        <w:rPr/>
        <w:t>capacity of at least 1000 GtCO</w:t>
      </w:r>
      <w:r>
        <w:rPr>
          <w:position w:val="-6"/>
          <w:sz w:val="11"/>
        </w:rPr>
        <w:t>2 </w:t>
      </w:r>
      <w:r>
        <w:rPr/>
        <w:t>and some studies suggest it may be an order of magnitude greater than this, but quantification of </w:t>
      </w:r>
      <w:r>
        <w:rPr>
          <w:spacing w:val="-5"/>
        </w:rPr>
        <w:t>the </w:t>
      </w:r>
      <w:r>
        <w:rPr/>
        <w:t>upper range is difficult until additional studies are undertaken. Capacity of unminable coal formations is uncertain, with estimates ranging from as little as 3 GtCO</w:t>
      </w:r>
      <w:r>
        <w:rPr>
          <w:position w:val="-6"/>
          <w:sz w:val="11"/>
        </w:rPr>
        <w:t>2 </w:t>
      </w:r>
      <w:r>
        <w:rPr/>
        <w:t>up to 200 GtCO</w:t>
      </w:r>
      <w:r>
        <w:rPr>
          <w:position w:val="-6"/>
          <w:sz w:val="11"/>
        </w:rPr>
        <w:t>2</w:t>
      </w:r>
      <w:r>
        <w:rPr/>
        <w:t>. Potential storage sites are likely to be broadly distributed in many of the </w:t>
      </w:r>
      <w:r>
        <w:rPr>
          <w:spacing w:val="-3"/>
        </w:rPr>
        <w:t>world’s </w:t>
      </w:r>
      <w:r>
        <w:rPr/>
        <w:t>sedimentary basins, located in the same region</w:t>
      </w:r>
      <w:r>
        <w:rPr>
          <w:spacing w:val="-10"/>
        </w:rPr>
        <w:t> </w:t>
      </w:r>
      <w:r>
        <w:rPr/>
        <w:t>as</w:t>
      </w:r>
      <w:r>
        <w:rPr>
          <w:spacing w:val="-9"/>
        </w:rPr>
        <w:t> </w:t>
      </w:r>
      <w:r>
        <w:rPr/>
        <w:t>many</w:t>
      </w:r>
      <w:r>
        <w:rPr>
          <w:spacing w:val="-9"/>
        </w:rPr>
        <w:t> </w:t>
      </w:r>
      <w:r>
        <w:rPr/>
        <w:t>of</w:t>
      </w:r>
      <w:r>
        <w:rPr>
          <w:spacing w:val="-9"/>
        </w:rPr>
        <w:t> </w:t>
      </w:r>
      <w:r>
        <w:rPr/>
        <w:t>the</w:t>
      </w:r>
      <w:r>
        <w:rPr>
          <w:spacing w:val="-9"/>
        </w:rPr>
        <w:t> </w:t>
      </w:r>
      <w:r>
        <w:rPr>
          <w:spacing w:val="-3"/>
        </w:rPr>
        <w:t>world’s</w:t>
      </w:r>
      <w:r>
        <w:rPr>
          <w:spacing w:val="-10"/>
        </w:rPr>
        <w:t> </w:t>
      </w:r>
      <w:r>
        <w:rPr/>
        <w:t>emission</w:t>
      </w:r>
      <w:r>
        <w:rPr>
          <w:spacing w:val="-9"/>
        </w:rPr>
        <w:t> </w:t>
      </w:r>
      <w:r>
        <w:rPr/>
        <w:t>sources</w:t>
      </w:r>
      <w:r>
        <w:rPr>
          <w:spacing w:val="-9"/>
        </w:rPr>
        <w:t> </w:t>
      </w:r>
      <w:r>
        <w:rPr/>
        <w:t>and</w:t>
      </w:r>
      <w:r>
        <w:rPr>
          <w:spacing w:val="-9"/>
        </w:rPr>
        <w:t> </w:t>
      </w:r>
      <w:r>
        <w:rPr/>
        <w:t>are</w:t>
      </w:r>
      <w:r>
        <w:rPr>
          <w:spacing w:val="-9"/>
        </w:rPr>
        <w:t> </w:t>
      </w:r>
      <w:r>
        <w:rPr/>
        <w:t>likely</w:t>
      </w:r>
      <w:r>
        <w:rPr>
          <w:spacing w:val="-9"/>
        </w:rPr>
        <w:t> </w:t>
      </w:r>
      <w:r>
        <w:rPr/>
        <w:t>to be adequate to store a significant proportion of those</w:t>
      </w:r>
      <w:r>
        <w:rPr>
          <w:spacing w:val="-24"/>
        </w:rPr>
        <w:t> </w:t>
      </w:r>
      <w:r>
        <w:rPr/>
        <w:t>emissions well into the</w:t>
      </w:r>
      <w:r>
        <w:rPr>
          <w:spacing w:val="-2"/>
        </w:rPr>
        <w:t> </w:t>
      </w:r>
      <w:r>
        <w:rPr/>
        <w:t>future.</w:t>
      </w:r>
    </w:p>
    <w:p>
      <w:pPr>
        <w:pStyle w:val="BodyText"/>
        <w:spacing w:line="225" w:lineRule="auto" w:before="13"/>
        <w:ind w:left="241" w:right="133" w:firstLine="283"/>
        <w:jc w:val="both"/>
      </w:pPr>
      <w:r>
        <w:rPr/>
        <w:t>The</w:t>
      </w:r>
      <w:r>
        <w:rPr>
          <w:spacing w:val="-9"/>
        </w:rPr>
        <w:t> </w:t>
      </w:r>
      <w:r>
        <w:rPr/>
        <w:t>cost</w:t>
      </w:r>
      <w:r>
        <w:rPr>
          <w:spacing w:val="-9"/>
        </w:rPr>
        <w:t> </w:t>
      </w:r>
      <w:r>
        <w:rPr/>
        <w:t>of</w:t>
      </w:r>
      <w:r>
        <w:rPr>
          <w:spacing w:val="-9"/>
        </w:rPr>
        <w:t> </w:t>
      </w:r>
      <w:r>
        <w:rPr/>
        <w:t>geological</w:t>
      </w:r>
      <w:r>
        <w:rPr>
          <w:spacing w:val="-10"/>
        </w:rPr>
        <w:t> </w:t>
      </w:r>
      <w:r>
        <w:rPr/>
        <w:t>storage</w:t>
      </w:r>
      <w:r>
        <w:rPr>
          <w:spacing w:val="-10"/>
        </w:rPr>
        <w:t> </w:t>
      </w:r>
      <w:r>
        <w:rPr/>
        <w:t>of</w:t>
      </w:r>
      <w:r>
        <w:rPr>
          <w:spacing w:val="-9"/>
        </w:rPr>
        <w:t> </w:t>
      </w:r>
      <w:r>
        <w:rPr/>
        <w:t>CO</w:t>
      </w:r>
      <w:r>
        <w:rPr>
          <w:position w:val="-6"/>
          <w:sz w:val="11"/>
        </w:rPr>
        <w:t>2</w:t>
      </w:r>
      <w:r>
        <w:rPr>
          <w:spacing w:val="14"/>
          <w:position w:val="-6"/>
          <w:sz w:val="11"/>
        </w:rPr>
        <w:t> </w:t>
      </w:r>
      <w:r>
        <w:rPr/>
        <w:t>is</w:t>
      </w:r>
      <w:r>
        <w:rPr>
          <w:spacing w:val="-9"/>
        </w:rPr>
        <w:t> </w:t>
      </w:r>
      <w:r>
        <w:rPr/>
        <w:t>highly</w:t>
      </w:r>
      <w:r>
        <w:rPr>
          <w:spacing w:val="-9"/>
        </w:rPr>
        <w:t> </w:t>
      </w:r>
      <w:r>
        <w:rPr/>
        <w:t>site-specific, depending</w:t>
      </w:r>
      <w:r>
        <w:rPr>
          <w:spacing w:val="-10"/>
        </w:rPr>
        <w:t> </w:t>
      </w:r>
      <w:r>
        <w:rPr/>
        <w:t>on</w:t>
      </w:r>
      <w:r>
        <w:rPr>
          <w:spacing w:val="-10"/>
        </w:rPr>
        <w:t> </w:t>
      </w:r>
      <w:r>
        <w:rPr/>
        <w:t>factors</w:t>
      </w:r>
      <w:r>
        <w:rPr>
          <w:spacing w:val="-10"/>
        </w:rPr>
        <w:t> </w:t>
      </w:r>
      <w:r>
        <w:rPr/>
        <w:t>such</w:t>
      </w:r>
      <w:r>
        <w:rPr>
          <w:spacing w:val="-10"/>
        </w:rPr>
        <w:t> </w:t>
      </w:r>
      <w:r>
        <w:rPr/>
        <w:t>as</w:t>
      </w:r>
      <w:r>
        <w:rPr>
          <w:spacing w:val="-10"/>
        </w:rPr>
        <w:t> </w:t>
      </w:r>
      <w:r>
        <w:rPr/>
        <w:t>the</w:t>
      </w:r>
      <w:r>
        <w:rPr>
          <w:spacing w:val="-10"/>
        </w:rPr>
        <w:t> </w:t>
      </w:r>
      <w:r>
        <w:rPr/>
        <w:t>depth</w:t>
      </w:r>
      <w:r>
        <w:rPr>
          <w:spacing w:val="-10"/>
        </w:rPr>
        <w:t> </w:t>
      </w:r>
      <w:r>
        <w:rPr/>
        <w:t>of</w:t>
      </w:r>
      <w:r>
        <w:rPr>
          <w:spacing w:val="-9"/>
        </w:rPr>
        <w:t> </w:t>
      </w:r>
      <w:r>
        <w:rPr/>
        <w:t>the</w:t>
      </w:r>
      <w:r>
        <w:rPr>
          <w:spacing w:val="-10"/>
        </w:rPr>
        <w:t> </w:t>
      </w:r>
      <w:r>
        <w:rPr/>
        <w:t>storage</w:t>
      </w:r>
      <w:r>
        <w:rPr>
          <w:spacing w:val="-10"/>
        </w:rPr>
        <w:t> </w:t>
      </w:r>
      <w:r>
        <w:rPr/>
        <w:t>formation, the number of wells needed for injection and whether the project is onshore or offshore – but costs for storage, including monitoring, appear to lie in the range of 0.6–8.3 US$/tCO</w:t>
      </w:r>
      <w:r>
        <w:rPr>
          <w:position w:val="-6"/>
          <w:sz w:val="11"/>
        </w:rPr>
        <w:t>2 </w:t>
      </w:r>
      <w:r>
        <w:rPr/>
        <w:t>stored. This cost is small compared to present-day costs of</w:t>
      </w:r>
      <w:r>
        <w:rPr>
          <w:spacing w:val="-32"/>
        </w:rPr>
        <w:t> </w:t>
      </w:r>
      <w:r>
        <w:rPr/>
        <w:t>CO</w:t>
      </w:r>
      <w:r>
        <w:rPr>
          <w:position w:val="-6"/>
          <w:sz w:val="11"/>
        </w:rPr>
        <w:t>2 </w:t>
      </w:r>
      <w:r>
        <w:rPr/>
        <w:t>capture from flue gases, as indicated in Chapter 3. EOR could lead to negative storage costs of 10–16 US$/tCO</w:t>
      </w:r>
      <w:r>
        <w:rPr>
          <w:position w:val="-6"/>
          <w:sz w:val="11"/>
        </w:rPr>
        <w:t>2 </w:t>
      </w:r>
      <w:r>
        <w:rPr/>
        <w:t>for oil prices of 15–20 US$ per barrel and more for higher oil</w:t>
      </w:r>
      <w:r>
        <w:rPr>
          <w:spacing w:val="-2"/>
        </w:rPr>
        <w:t> </w:t>
      </w:r>
      <w:r>
        <w:rPr/>
        <w:t>prices.</w:t>
      </w:r>
    </w:p>
    <w:p>
      <w:pPr>
        <w:pStyle w:val="BodyText"/>
        <w:spacing w:line="249" w:lineRule="auto" w:before="4"/>
        <w:ind w:left="241" w:right="134" w:firstLine="283"/>
        <w:jc w:val="both"/>
      </w:pPr>
      <w:r>
        <w:rPr/>
        <w:t>Potential risks to humans and ecosystems from geological storage may arise from leaking injection wells, abandoned wells, leakage across faults and ineffective confining layers. Leakage  </w:t>
      </w:r>
      <w:r>
        <w:rPr>
          <w:spacing w:val="9"/>
        </w:rPr>
        <w:t> </w:t>
      </w:r>
      <w:r>
        <w:rPr/>
        <w:t>of  </w:t>
      </w:r>
      <w:r>
        <w:rPr>
          <w:spacing w:val="10"/>
        </w:rPr>
        <w:t> </w:t>
      </w:r>
      <w:r>
        <w:rPr/>
        <w:t>CO</w:t>
      </w:r>
      <w:r>
        <w:rPr>
          <w:position w:val="-6"/>
          <w:sz w:val="11"/>
        </w:rPr>
        <w:t>2    </w:t>
      </w:r>
      <w:r>
        <w:rPr>
          <w:spacing w:val="22"/>
          <w:position w:val="-6"/>
          <w:sz w:val="11"/>
        </w:rPr>
        <w:t> </w:t>
      </w:r>
      <w:r>
        <w:rPr/>
        <w:t>could  </w:t>
      </w:r>
      <w:r>
        <w:rPr>
          <w:spacing w:val="9"/>
        </w:rPr>
        <w:t> </w:t>
      </w:r>
      <w:r>
        <w:rPr/>
        <w:t>potentially  </w:t>
      </w:r>
      <w:r>
        <w:rPr>
          <w:spacing w:val="10"/>
        </w:rPr>
        <w:t> </w:t>
      </w:r>
      <w:r>
        <w:rPr/>
        <w:t>degrade  </w:t>
      </w:r>
      <w:r>
        <w:rPr>
          <w:spacing w:val="10"/>
        </w:rPr>
        <w:t> </w:t>
      </w:r>
      <w:r>
        <w:rPr/>
        <w:t>the  </w:t>
      </w:r>
      <w:r>
        <w:rPr>
          <w:spacing w:val="9"/>
        </w:rPr>
        <w:t> </w:t>
      </w:r>
      <w:r>
        <w:rPr/>
        <w:t>quality</w:t>
      </w:r>
    </w:p>
    <w:p>
      <w:pPr>
        <w:pStyle w:val="BodyText"/>
        <w:spacing w:line="183" w:lineRule="exact"/>
        <w:ind w:left="241"/>
        <w:jc w:val="both"/>
      </w:pPr>
      <w:r>
        <w:rPr/>
        <w:t>of  </w:t>
      </w:r>
      <w:r>
        <w:rPr>
          <w:spacing w:val="13"/>
        </w:rPr>
        <w:t> </w:t>
      </w:r>
      <w:r>
        <w:rPr/>
        <w:t>groundwater,  </w:t>
      </w:r>
      <w:r>
        <w:rPr>
          <w:spacing w:val="13"/>
        </w:rPr>
        <w:t> </w:t>
      </w:r>
      <w:r>
        <w:rPr/>
        <w:t>damage  </w:t>
      </w:r>
      <w:r>
        <w:rPr>
          <w:spacing w:val="13"/>
        </w:rPr>
        <w:t> </w:t>
      </w:r>
      <w:r>
        <w:rPr/>
        <w:t>some  </w:t>
      </w:r>
      <w:r>
        <w:rPr>
          <w:spacing w:val="13"/>
        </w:rPr>
        <w:t> </w:t>
      </w:r>
      <w:r>
        <w:rPr/>
        <w:t>hydrocarbon  </w:t>
      </w:r>
      <w:r>
        <w:rPr>
          <w:spacing w:val="13"/>
        </w:rPr>
        <w:t> </w:t>
      </w:r>
      <w:r>
        <w:rPr/>
        <w:t>or  </w:t>
      </w:r>
      <w:r>
        <w:rPr>
          <w:spacing w:val="14"/>
        </w:rPr>
        <w:t> </w:t>
      </w:r>
      <w:r>
        <w:rPr/>
        <w:t>mineral</w:t>
      </w:r>
    </w:p>
    <w:p>
      <w:pPr>
        <w:pStyle w:val="BodyText"/>
        <w:spacing w:line="240" w:lineRule="exact" w:before="5"/>
        <w:ind w:left="241" w:right="133"/>
        <w:jc w:val="both"/>
      </w:pPr>
      <w:r>
        <w:rPr/>
        <w:t>resources,</w:t>
      </w:r>
      <w:r>
        <w:rPr>
          <w:spacing w:val="-16"/>
        </w:rPr>
        <w:t> </w:t>
      </w:r>
      <w:r>
        <w:rPr/>
        <w:t>and</w:t>
      </w:r>
      <w:r>
        <w:rPr>
          <w:spacing w:val="-15"/>
        </w:rPr>
        <w:t> </w:t>
      </w:r>
      <w:r>
        <w:rPr/>
        <w:t>have</w:t>
      </w:r>
      <w:r>
        <w:rPr>
          <w:spacing w:val="-15"/>
        </w:rPr>
        <w:t> </w:t>
      </w:r>
      <w:r>
        <w:rPr/>
        <w:t>lethal</w:t>
      </w:r>
      <w:r>
        <w:rPr>
          <w:spacing w:val="-15"/>
        </w:rPr>
        <w:t> </w:t>
      </w:r>
      <w:r>
        <w:rPr/>
        <w:t>effects</w:t>
      </w:r>
      <w:r>
        <w:rPr>
          <w:spacing w:val="-15"/>
        </w:rPr>
        <w:t> </w:t>
      </w:r>
      <w:r>
        <w:rPr/>
        <w:t>on</w:t>
      </w:r>
      <w:r>
        <w:rPr>
          <w:spacing w:val="-16"/>
        </w:rPr>
        <w:t> </w:t>
      </w:r>
      <w:r>
        <w:rPr/>
        <w:t>plants</w:t>
      </w:r>
      <w:r>
        <w:rPr>
          <w:spacing w:val="-15"/>
        </w:rPr>
        <w:t> </w:t>
      </w:r>
      <w:r>
        <w:rPr/>
        <w:t>and</w:t>
      </w:r>
      <w:r>
        <w:rPr>
          <w:spacing w:val="-15"/>
        </w:rPr>
        <w:t> </w:t>
      </w:r>
      <w:r>
        <w:rPr/>
        <w:t>sub-soil</w:t>
      </w:r>
      <w:r>
        <w:rPr>
          <w:spacing w:val="-15"/>
        </w:rPr>
        <w:t> </w:t>
      </w:r>
      <w:r>
        <w:rPr/>
        <w:t>animals. Release of CO</w:t>
      </w:r>
      <w:r>
        <w:rPr>
          <w:position w:val="-6"/>
          <w:sz w:val="11"/>
        </w:rPr>
        <w:t>2 </w:t>
      </w:r>
      <w:r>
        <w:rPr/>
        <w:t>back into the atmosphere could also </w:t>
      </w:r>
      <w:r>
        <w:rPr>
          <w:spacing w:val="-3"/>
        </w:rPr>
        <w:t>create </w:t>
      </w:r>
      <w:r>
        <w:rPr/>
        <w:t>local health and safety concerns. Avoiding or mitigating these impacts will require careful site selection, effective regulatory oversight, an appropriate monitoring programme that</w:t>
      </w:r>
      <w:r>
        <w:rPr>
          <w:spacing w:val="34"/>
        </w:rPr>
        <w:t> </w:t>
      </w:r>
      <w:r>
        <w:rPr/>
        <w:t>provides</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rPr>
          <w:sz w:val="25"/>
        </w:rPr>
      </w:pPr>
    </w:p>
    <w:p>
      <w:pPr>
        <w:pStyle w:val="BodyText"/>
        <w:ind w:left="206"/>
      </w:pPr>
      <w:r>
        <w:rPr/>
        <w:pict>
          <v:group style="width:514.15pt;height:306pt;mso-position-horizontal-relative:char;mso-position-vertical-relative:line" coordorigin="0,0" coordsize="10283,6120">
            <v:rect style="position:absolute;left:5;top:5;width:10263;height:6110" filled="true" fillcolor="#e6ecf5" stroked="false">
              <v:fill type="solid"/>
            </v:rect>
            <v:line style="position:absolute" from="12,1406" to="10281,1406" stroked="true" strokeweight=".25pt" strokecolor="#00aadf">
              <v:stroke dashstyle="dash"/>
            </v:line>
            <v:line style="position:absolute" from="2409,4668" to="10278,4668" stroked="true" strokeweight=".25pt" strokecolor="#00aadf">
              <v:stroke dashstyle="dash"/>
            </v:line>
            <v:line style="position:absolute" from="15,4668" to="91,4668" stroked="true" strokeweight=".25pt" strokecolor="#00aadf">
              <v:stroke dashstyle="dash"/>
            </v:line>
            <v:line style="position:absolute" from="12,3329" to="10281,3329" stroked="true" strokeweight=".25pt" strokecolor="#00aadf">
              <v:stroke dashstyle="dash"/>
            </v:line>
            <v:shape style="position:absolute;left:4391;top:6050;width:7;height:5" coordorigin="4392,6051" coordsize="7,5" path="m4392,6051l4392,6052,4393,6054,4395,6056,4398,6056,4398,6053,4398,6051,4395,6051,4392,6051xm4398,6051l4395,6051,4398,6051,4398,6051xe" filled="true" fillcolor="#f8b458" stroked="false">
              <v:path arrowok="t"/>
              <v:fill type="solid"/>
            </v:shape>
            <v:shape style="position:absolute;left:4391;top:6050;width:7;height:5" coordorigin="4392,6051" coordsize="7,5" path="m4395,6051l4398,6051,4398,6053,4398,6056,4395,6056,4393,6054,4392,6052,4392,6051,4395,6051e" filled="false" stroked="true" strokeweight=".5pt" strokecolor="#bcbdbe">
              <v:path arrowok="t"/>
              <v:stroke dashstyle="solid"/>
            </v:shape>
            <v:shape style="position:absolute;left:114;top:3990;width:2;height:2" coordorigin="114,3991" coordsize="1,2" path="m114,3991l114,3992,114,3991e" filled="false" stroked="true" strokeweight=".5pt" strokecolor="#bcbdbe">
              <v:path arrowok="t"/>
              <v:stroke dashstyle="solid"/>
            </v:shape>
            <v:shape style="position:absolute;left:9;top:23;width:10273;height:5995" type="#_x0000_t75" stroked="false">
              <v:imagedata r:id="rId7" o:title=""/>
            </v:shape>
            <v:shape style="position:absolute;left:4391;top:6050;width:7;height:5" coordorigin="4392,6051" coordsize="7,5" path="m4392,6051l4392,6052,4393,6054,4395,6056,4398,6056,4398,6053,4398,6051,4395,6051,4392,6051xm4398,6051l4395,6051,4398,6051,4398,6051xe" filled="true" fillcolor="#b9c499" stroked="false">
              <v:path arrowok="t"/>
              <v:fill type="solid"/>
            </v:shape>
            <v:rect style="position:absolute;left:5;top:5;width:10263;height:6110" filled="false" stroked="true" strokeweight=".5pt" strokecolor="#000000">
              <v:stroke dashstyle="solid"/>
            </v:rect>
            <v:line style="position:absolute" from="6140,1041" to="6226,954" stroked="true" strokeweight=".5pt" strokecolor="#000000">
              <v:stroke dashstyle="solid"/>
            </v:line>
          </v:group>
        </w:pict>
      </w:r>
      <w:r>
        <w:rPr/>
      </w:r>
    </w:p>
    <w:p>
      <w:pPr>
        <w:spacing w:before="74"/>
        <w:ind w:left="199" w:right="0" w:firstLine="0"/>
        <w:jc w:val="left"/>
        <w:rPr>
          <w:sz w:val="18"/>
        </w:rPr>
      </w:pPr>
      <w:bookmarkStart w:name="_bookmark0" w:id="4"/>
      <w:bookmarkEnd w:id="4"/>
      <w:r>
        <w:rPr/>
      </w:r>
      <w:r>
        <w:rPr>
          <w:b/>
          <w:sz w:val="18"/>
        </w:rPr>
        <w:t>Figure 5.1 </w:t>
      </w:r>
      <w:r>
        <w:rPr>
          <w:sz w:val="18"/>
        </w:rPr>
        <w:t>Location of sites where activities relevant to CO</w:t>
      </w:r>
      <w:r>
        <w:rPr>
          <w:position w:val="-5"/>
          <w:sz w:val="10"/>
        </w:rPr>
        <w:t>2 </w:t>
      </w:r>
      <w:r>
        <w:rPr>
          <w:sz w:val="18"/>
        </w:rPr>
        <w:t>storage are planned or under way.</w:t>
      </w:r>
    </w:p>
    <w:p>
      <w:pPr>
        <w:pStyle w:val="BodyText"/>
      </w:pPr>
    </w:p>
    <w:p>
      <w:pPr>
        <w:pStyle w:val="BodyText"/>
      </w:pPr>
    </w:p>
    <w:p>
      <w:pPr>
        <w:spacing w:after="0"/>
        <w:sectPr>
          <w:pgSz w:w="12240" w:h="15840"/>
          <w:pgMar w:header="567" w:footer="0" w:top="760" w:bottom="280" w:left="580" w:right="600"/>
        </w:sectPr>
      </w:pPr>
    </w:p>
    <w:p>
      <w:pPr>
        <w:pStyle w:val="BodyText"/>
        <w:spacing w:before="4"/>
      </w:pPr>
    </w:p>
    <w:p>
      <w:pPr>
        <w:pStyle w:val="BodyText"/>
        <w:spacing w:line="240" w:lineRule="exact"/>
        <w:ind w:left="157" w:right="38"/>
        <w:jc w:val="both"/>
      </w:pPr>
      <w:bookmarkStart w:name="_bookmark1" w:id="5"/>
      <w:bookmarkEnd w:id="5"/>
      <w:r>
        <w:rPr/>
      </w:r>
      <w:r>
        <w:rPr/>
        <w:t>early warning that the storage site is not functioning as anticipated and implementation of remediation methods to</w:t>
      </w:r>
      <w:r>
        <w:rPr>
          <w:spacing w:val="-25"/>
        </w:rPr>
        <w:t> </w:t>
      </w:r>
      <w:r>
        <w:rPr/>
        <w:t>stop or control CO</w:t>
      </w:r>
      <w:r>
        <w:rPr>
          <w:position w:val="-6"/>
          <w:sz w:val="11"/>
        </w:rPr>
        <w:t>2 </w:t>
      </w:r>
      <w:r>
        <w:rPr/>
        <w:t>releases. Methods to accomplish these are being developed and tested.</w:t>
      </w:r>
    </w:p>
    <w:p>
      <w:pPr>
        <w:pStyle w:val="BodyText"/>
        <w:spacing w:line="240" w:lineRule="exact"/>
        <w:ind w:left="157" w:right="39" w:firstLine="283"/>
        <w:jc w:val="both"/>
      </w:pPr>
      <w:r>
        <w:rPr/>
        <w:t>There are </w:t>
      </w:r>
      <w:r>
        <w:rPr>
          <w:spacing w:val="-4"/>
        </w:rPr>
        <w:t>few, </w:t>
      </w:r>
      <w:r>
        <w:rPr/>
        <w:t>if </w:t>
      </w:r>
      <w:r>
        <w:rPr>
          <w:spacing w:val="-4"/>
        </w:rPr>
        <w:t>any, </w:t>
      </w:r>
      <w:r>
        <w:rPr/>
        <w:t>national regulations specifically dealing with CO</w:t>
      </w:r>
      <w:r>
        <w:rPr>
          <w:position w:val="-6"/>
          <w:sz w:val="11"/>
        </w:rPr>
        <w:t>2 </w:t>
      </w:r>
      <w:r>
        <w:rPr/>
        <w:t>storage, but regulations dealing with oil and gas, groundwater and the underground injection of fluids can in many cases be readily adapted and/or adopted. However, there are no regulations relating specifically to long-term responsibility for storage. A number of international laws that predate</w:t>
      </w:r>
      <w:r>
        <w:rPr>
          <w:spacing w:val="-18"/>
        </w:rPr>
        <w:t> </w:t>
      </w:r>
      <w:r>
        <w:rPr/>
        <w:t>any</w:t>
      </w:r>
      <w:r>
        <w:rPr>
          <w:spacing w:val="-18"/>
        </w:rPr>
        <w:t> </w:t>
      </w:r>
      <w:r>
        <w:rPr/>
        <w:t>consideration</w:t>
      </w:r>
      <w:r>
        <w:rPr>
          <w:spacing w:val="-18"/>
        </w:rPr>
        <w:t> </w:t>
      </w:r>
      <w:r>
        <w:rPr/>
        <w:t>of</w:t>
      </w:r>
      <w:r>
        <w:rPr>
          <w:spacing w:val="-18"/>
        </w:rPr>
        <w:t> </w:t>
      </w:r>
      <w:r>
        <w:rPr/>
        <w:t>CO</w:t>
      </w:r>
      <w:r>
        <w:rPr>
          <w:position w:val="-6"/>
          <w:sz w:val="11"/>
        </w:rPr>
        <w:t>2</w:t>
      </w:r>
      <w:r>
        <w:rPr>
          <w:spacing w:val="4"/>
          <w:position w:val="-6"/>
          <w:sz w:val="11"/>
        </w:rPr>
        <w:t> </w:t>
      </w:r>
      <w:r>
        <w:rPr/>
        <w:t>storage</w:t>
      </w:r>
      <w:r>
        <w:rPr>
          <w:spacing w:val="-17"/>
        </w:rPr>
        <w:t> </w:t>
      </w:r>
      <w:r>
        <w:rPr/>
        <w:t>are</w:t>
      </w:r>
      <w:r>
        <w:rPr>
          <w:spacing w:val="-18"/>
        </w:rPr>
        <w:t> </w:t>
      </w:r>
      <w:r>
        <w:rPr/>
        <w:t>relevant</w:t>
      </w:r>
      <w:r>
        <w:rPr>
          <w:spacing w:val="-18"/>
        </w:rPr>
        <w:t> </w:t>
      </w:r>
      <w:r>
        <w:rPr/>
        <w:t>to</w:t>
      </w:r>
      <w:r>
        <w:rPr>
          <w:spacing w:val="-18"/>
        </w:rPr>
        <w:t> </w:t>
      </w:r>
      <w:r>
        <w:rPr/>
        <w:t>offshore geological storage; consideration of whether these laws do or do not permit offshore geological storage is under</w:t>
      </w:r>
      <w:r>
        <w:rPr>
          <w:spacing w:val="-5"/>
        </w:rPr>
        <w:t> </w:t>
      </w:r>
      <w:r>
        <w:rPr>
          <w:spacing w:val="-4"/>
        </w:rPr>
        <w:t>way.</w:t>
      </w:r>
    </w:p>
    <w:p>
      <w:pPr>
        <w:pStyle w:val="BodyText"/>
        <w:spacing w:line="249" w:lineRule="auto" w:before="5"/>
        <w:ind w:left="157" w:right="38" w:firstLine="283"/>
        <w:jc w:val="both"/>
      </w:pPr>
      <w:r>
        <w:rPr/>
        <w:t>There are gaps in our knowledge, such as regional storage- capacity</w:t>
      </w:r>
      <w:r>
        <w:rPr>
          <w:spacing w:val="-6"/>
        </w:rPr>
        <w:t> </w:t>
      </w:r>
      <w:r>
        <w:rPr/>
        <w:t>estimates</w:t>
      </w:r>
      <w:r>
        <w:rPr>
          <w:spacing w:val="-6"/>
        </w:rPr>
        <w:t> </w:t>
      </w:r>
      <w:r>
        <w:rPr/>
        <w:t>for</w:t>
      </w:r>
      <w:r>
        <w:rPr>
          <w:spacing w:val="-6"/>
        </w:rPr>
        <w:t> </w:t>
      </w:r>
      <w:r>
        <w:rPr/>
        <w:t>many</w:t>
      </w:r>
      <w:r>
        <w:rPr>
          <w:spacing w:val="-5"/>
        </w:rPr>
        <w:t> </w:t>
      </w:r>
      <w:r>
        <w:rPr/>
        <w:t>parts</w:t>
      </w:r>
      <w:r>
        <w:rPr>
          <w:spacing w:val="-6"/>
        </w:rPr>
        <w:t> </w:t>
      </w:r>
      <w:r>
        <w:rPr/>
        <w:t>of</w:t>
      </w:r>
      <w:r>
        <w:rPr>
          <w:spacing w:val="-6"/>
        </w:rPr>
        <w:t> </w:t>
      </w:r>
      <w:r>
        <w:rPr/>
        <w:t>the</w:t>
      </w:r>
      <w:r>
        <w:rPr>
          <w:spacing w:val="-5"/>
        </w:rPr>
        <w:t> </w:t>
      </w:r>
      <w:r>
        <w:rPr/>
        <w:t>world.</w:t>
      </w:r>
      <w:r>
        <w:rPr>
          <w:spacing w:val="-6"/>
        </w:rPr>
        <w:t> </w:t>
      </w:r>
      <w:r>
        <w:rPr>
          <w:spacing w:val="-3"/>
        </w:rPr>
        <w:t>Similarly,</w:t>
      </w:r>
      <w:r>
        <w:rPr>
          <w:spacing w:val="-6"/>
        </w:rPr>
        <w:t> </w:t>
      </w:r>
      <w:r>
        <w:rPr/>
        <w:t>better estimation</w:t>
      </w:r>
      <w:r>
        <w:rPr>
          <w:spacing w:val="-36"/>
        </w:rPr>
        <w:t> </w:t>
      </w:r>
      <w:r>
        <w:rPr/>
        <w:t>of</w:t>
      </w:r>
      <w:r>
        <w:rPr>
          <w:spacing w:val="-34"/>
        </w:rPr>
        <w:t> </w:t>
      </w:r>
      <w:r>
        <w:rPr/>
        <w:t>leakage</w:t>
      </w:r>
      <w:r>
        <w:rPr>
          <w:spacing w:val="-35"/>
        </w:rPr>
        <w:t> </w:t>
      </w:r>
      <w:r>
        <w:rPr/>
        <w:t>rates,</w:t>
      </w:r>
      <w:r>
        <w:rPr>
          <w:spacing w:val="-36"/>
        </w:rPr>
        <w:t> </w:t>
      </w:r>
      <w:r>
        <w:rPr/>
        <w:t>improvedcost</w:t>
      </w:r>
      <w:r>
        <w:rPr>
          <w:spacing w:val="-35"/>
        </w:rPr>
        <w:t> </w:t>
      </w:r>
      <w:r>
        <w:rPr/>
        <w:t>data,</w:t>
      </w:r>
      <w:r>
        <w:rPr>
          <w:spacing w:val="-35"/>
        </w:rPr>
        <w:t> </w:t>
      </w:r>
      <w:r>
        <w:rPr/>
        <w:t>better</w:t>
      </w:r>
      <w:r>
        <w:rPr>
          <w:spacing w:val="-36"/>
        </w:rPr>
        <w:t> </w:t>
      </w:r>
      <w:r>
        <w:rPr/>
        <w:t>intervention and</w:t>
      </w:r>
      <w:r>
        <w:rPr>
          <w:spacing w:val="-7"/>
        </w:rPr>
        <w:t> </w:t>
      </w:r>
      <w:r>
        <w:rPr/>
        <w:t>remediation</w:t>
      </w:r>
      <w:r>
        <w:rPr>
          <w:spacing w:val="-7"/>
        </w:rPr>
        <w:t> </w:t>
      </w:r>
      <w:r>
        <w:rPr/>
        <w:t>options,</w:t>
      </w:r>
      <w:r>
        <w:rPr>
          <w:spacing w:val="-7"/>
        </w:rPr>
        <w:t> </w:t>
      </w:r>
      <w:r>
        <w:rPr/>
        <w:t>more</w:t>
      </w:r>
      <w:r>
        <w:rPr>
          <w:spacing w:val="-7"/>
        </w:rPr>
        <w:t> </w:t>
      </w:r>
      <w:r>
        <w:rPr/>
        <w:t>pilot</w:t>
      </w:r>
      <w:r>
        <w:rPr>
          <w:spacing w:val="-7"/>
        </w:rPr>
        <w:t> </w:t>
      </w:r>
      <w:r>
        <w:rPr/>
        <w:t>and</w:t>
      </w:r>
      <w:r>
        <w:rPr>
          <w:spacing w:val="-7"/>
        </w:rPr>
        <w:t> </w:t>
      </w:r>
      <w:r>
        <w:rPr/>
        <w:t>demonstration</w:t>
      </w:r>
      <w:r>
        <w:rPr>
          <w:spacing w:val="-7"/>
        </w:rPr>
        <w:t> </w:t>
      </w:r>
      <w:r>
        <w:rPr/>
        <w:t>projects and clarity on the issue of long-term stewardship all require consideration. Despite the fact that more work is needed to improve technologies and decrease uncertainty, there appear </w:t>
      </w:r>
      <w:r>
        <w:rPr>
          <w:spacing w:val="-6"/>
        </w:rPr>
        <w:t>to </w:t>
      </w:r>
      <w:r>
        <w:rPr/>
        <w:t>be no insurmountable technical barriers to an increased uptake of geological storage as an effective mitigation</w:t>
      </w:r>
      <w:r>
        <w:rPr>
          <w:spacing w:val="-5"/>
        </w:rPr>
        <w:t> </w:t>
      </w:r>
      <w:r>
        <w:rPr/>
        <w:t>option.</w:t>
      </w:r>
    </w:p>
    <w:p>
      <w:pPr>
        <w:pStyle w:val="BodyText"/>
        <w:spacing w:before="1" w:after="39"/>
        <w:rPr>
          <w:sz w:val="22"/>
        </w:rPr>
      </w:pPr>
      <w:r>
        <w:rPr/>
        <w:br w:type="column"/>
      </w:r>
      <w:r>
        <w:rPr>
          <w:sz w:val="22"/>
        </w:rPr>
      </w:r>
    </w:p>
    <w:p>
      <w:pPr>
        <w:pStyle w:val="BodyText"/>
        <w:ind w:left="157"/>
      </w:pPr>
      <w:r>
        <w:rPr/>
        <w:pict>
          <v:group style="width:252.15pt;height:210.8pt;mso-position-horizontal-relative:char;mso-position-vertical-relative:line" coordorigin="0,0" coordsize="5043,4216">
            <v:line style="position:absolute" from="555,810" to="1135,810" stroked="true" strokeweight=".97pt" strokecolor="#60b9dd">
              <v:stroke dashstyle="dot"/>
            </v:line>
            <v:line style="position:absolute" from="548,1143" to="2393,1143" stroked="true" strokeweight=".97pt" strokecolor="#60b9dd">
              <v:stroke dashstyle="dot"/>
            </v:line>
            <v:shape style="position:absolute;left:2637;top:811;width:62;height:93" coordorigin="2637,811" coordsize="62,93" path="m2697,826l2673,826,2676,827,2680,831,2681,834,2681,842,2680,845,2678,849,2676,852,2671,857,2653,873,2647,881,2640,892,2638,898,2637,904,2699,904,2699,888,2664,888,2665,886,2666,884,2669,881,2673,878,2684,867,2688,863,2693,857,2695,853,2698,845,2699,842,2699,830,2697,826xm2679,811l2662,811,2655,814,2644,822,2640,829,2639,839,2657,840,2657,835,2658,832,2663,827,2666,826,2697,826,2696,824,2686,814,2679,811xe" filled="true" fillcolor="#0074a3" stroked="false">
              <v:path arrowok="t"/>
              <v:fill type="solid"/>
            </v:shape>
            <v:shape style="position:absolute;left:2710;top:811;width:60;height:95" coordorigin="2711,811" coordsize="60,95" path="m2750,811l2732,811,2725,815,2714,829,2711,840,2711,877,2713,888,2724,902,2732,906,2750,906,2757,902,2766,891,2739,891,2737,890,2733,888,2732,885,2731,881,2730,877,2730,876,2729,869,2729,848,2730,840,2732,832,2733,829,2737,827,2739,826,2766,826,2757,815,2750,811xm2766,826l2743,826,2745,827,2748,829,2749,832,2751,840,2752,841,2752,848,2752,869,2751,877,2749,885,2748,888,2745,890,2743,891,2766,891,2768,889,2770,877,2770,840,2768,829,2766,826xe" filled="true" fillcolor="#0074a3" stroked="false">
              <v:path arrowok="t"/>
              <v:fill type="solid"/>
            </v:shape>
            <v:line style="position:absolute" from="3115,1361" to="3171,1361" stroked="true" strokeweight=".97pt" strokecolor="#60b9dd">
              <v:stroke dashstyle="dot"/>
            </v:line>
            <v:line style="position:absolute" from="548,1361" to="2795,1361" stroked="true" strokeweight=".97pt" strokecolor="#60b9dd">
              <v:stroke dashstyle="dot"/>
            </v:line>
            <v:shape style="position:absolute;left:3301;top:1050;width:41;height:93" coordorigin="3301,1050" coordsize="41,93" path="m3342,1076l3324,1076,3324,1143,3342,1143,3342,1076xm3342,1050l3327,1050,3325,1056,3322,1061,3311,1069,3306,1072,3301,1074,3301,1090,3310,1087,3318,1082,3324,1076,3342,1076,3342,1050xe" filled="true" fillcolor="#0074a3" stroked="false">
              <v:path arrowok="t"/>
              <v:fill type="solid"/>
            </v:shape>
            <v:shape style="position:absolute;left:3365;top:1050;width:41;height:93" coordorigin="3366,1050" coordsize="41,93" path="m3406,1076l3388,1076,3388,1143,3406,1143,3406,1076xm3406,1050l3392,1050,3390,1056,3386,1061,3375,1069,3370,1072,3366,1074,3366,1090,3374,1087,3382,1082,3388,1076,3406,1076,3406,1050xe" filled="true" fillcolor="#0074a3" stroked="false">
              <v:path arrowok="t"/>
              <v:fill type="solid"/>
            </v:shape>
            <v:line style="position:absolute" from="3569,1594" to="3592,1594" stroked="true" strokeweight=".97pt" strokecolor="#60b9dd">
              <v:stroke dashstyle="dot"/>
            </v:line>
            <v:line style="position:absolute" from="533,1594" to="3350,1594" stroked="true" strokeweight=".97pt" strokecolor="#60b9dd">
              <v:stroke dashstyle="dot"/>
            </v:line>
            <v:shape style="position:absolute;left:3720;top:1373;width:62;height:95" coordorigin="3721,1373" coordsize="62,95" path="m3738,1439l3721,1442,3722,1449,3725,1456,3736,1465,3743,1468,3760,1468,3767,1465,3779,1453,3779,1453,3748,1453,3745,1452,3740,1447,3739,1444,3738,1439xm3776,1423l3755,1423,3758,1424,3763,1429,3764,1433,3764,1442,3763,1446,3758,1451,3755,1453,3779,1453,3782,1446,3782,1433,3780,1428,3776,1423xm3777,1388l3753,1388,3756,1389,3759,1393,3760,1395,3760,1402,3759,1405,3754,1409,3750,1410,3746,1410,3744,1424,3747,1423,3749,1423,3776,1423,3774,1420,3770,1418,3765,1416,3773,1412,3774,1410,3750,1410,3746,1410,3775,1410,3778,1405,3778,1391,3777,1388xm3759,1373l3746,1373,3741,1374,3733,1378,3730,1381,3725,1387,3723,1392,3722,1398,3739,1400,3739,1396,3740,1393,3745,1389,3747,1388,3777,1388,3776,1386,3766,1376,3759,1373xe" filled="true" fillcolor="#0074a3" stroked="false">
              <v:path arrowok="t"/>
              <v:fill type="solid"/>
            </v:shape>
            <v:rect style="position:absolute;left:3796;top:1448;width:18;height:18" filled="true" fillcolor="#0074a3" stroked="false">
              <v:fill type="solid"/>
            </v:rect>
            <v:shape style="position:absolute;left:3828;top:1373;width:61;height:95" coordorigin="3828,1373" coordsize="61,95" path="m3867,1373l3849,1373,3843,1376,3833,1385,3831,1390,3831,1401,3832,1405,3836,1412,3839,1414,3844,1416,3838,1418,3835,1422,3830,1430,3828,1434,3828,1449,3832,1456,3844,1465,3851,1468,3868,1468,3875,1465,3881,1460,3886,1454,3886,1454,3855,1454,3852,1452,3847,1447,3846,1443,3846,1434,3847,1431,3851,1425,3854,1424,3884,1424,3882,1421,3878,1418,3873,1416,3877,1414,3880,1412,3882,1410,3855,1410,3852,1409,3848,1405,3848,1405,3847,1402,3847,1395,3848,1392,3852,1388,3855,1387,3884,1387,3883,1385,3874,1376,3867,1373xm3884,1424l3862,1424,3865,1425,3870,1430,3871,1434,3871,1443,3870,1447,3865,1452,3862,1454,3886,1454,3889,1447,3889,1434,3887,1429,3884,1424xm3884,1387l3862,1387,3864,1388,3868,1392,3869,1395,3869,1402,3868,1405,3864,1409,3862,1410,3882,1410,3885,1405,3886,1402,3886,1390,3884,1387xe" filled="true" fillcolor="#0074a3" stroked="false">
              <v:path arrowok="t"/>
              <v:fill type="solid"/>
            </v:shape>
            <v:shape style="position:absolute;left:4076;top:1653;width:62;height:95" coordorigin="4077,1654" coordsize="62,95" path="m4094,1720l4077,1722,4078,1730,4081,1736,4092,1746,4099,1748,4116,1748,4123,1745,4135,1734,4135,1733,4103,1733,4101,1732,4096,1728,4094,1724,4094,1720xm4132,1703l4111,1703,4114,1705,4119,1710,4120,1713,4120,1723,4118,1726,4113,1732,4110,1733,4135,1733,4138,1727,4138,1713,4136,1708,4132,1703xm4132,1668l4109,1668,4111,1669,4115,1673,4116,1676,4116,1682,4115,1685,4110,1690,4106,1691,4101,1691,4099,1705,4103,1704,4105,1703,4132,1703,4130,1700,4126,1698,4120,1697,4129,1692,4130,1691,4106,1691,4101,1690,4130,1690,4134,1686,4134,1672,4132,1668xm4115,1654l4101,1654,4097,1655,4089,1659,4085,1661,4081,1668,4079,1672,4078,1678,4094,1681,4095,1677,4096,1674,4100,1669,4103,1668,4132,1668,4132,1667,4122,1657,4115,1654xe" filled="true" fillcolor="#0074a3" stroked="false">
              <v:path arrowok="t"/>
              <v:fill type="solid"/>
            </v:shape>
            <v:rect style="position:absolute;left:4152;top:1728;width:18;height:18" filled="true" fillcolor="#0074a3" stroked="false">
              <v:fill type="solid"/>
            </v:rect>
            <v:shape style="position:absolute;left:4182;top:1653;width:62;height:93" coordorigin="4182,1654" coordsize="62,93" path="m4242,1668l4218,1668,4221,1669,4225,1674,4226,1677,4226,1684,4225,1688,4221,1694,4216,1699,4198,1716,4192,1723,4185,1734,4183,1740,4182,1746,4244,1746,4244,1730,4209,1730,4210,1728,4211,1727,4214,1723,4217,1720,4229,1710,4232,1706,4238,1699,4240,1695,4243,1688,4244,1684,4244,1672,4242,1668xm4224,1654l4206,1654,4199,1656,4188,1664,4185,1671,4184,1681,4202,1683,4202,1678,4203,1674,4208,1670,4211,1668,4242,1668,4241,1666,4231,1656,4224,1654xe" filled="true" fillcolor="#0074a3" stroked="false">
              <v:path arrowok="t"/>
              <v:fill type="solid"/>
            </v:shape>
            <v:shape style="position:absolute;left:4285;top:2207;width:62;height:93" coordorigin="4286,2207" coordsize="62,93" path="m4346,2222l4321,2222,4324,2223,4328,2227,4329,2230,4329,2238,4328,2241,4324,2248,4319,2253,4301,2269,4295,2277,4288,2288,4286,2294,4286,2300,4347,2300,4347,2283,4312,2283,4313,2282,4314,2280,4317,2277,4321,2273,4332,2263,4336,2259,4341,2253,4343,2249,4346,2241,4347,2238,4347,2226,4346,2222xm4327,2207l4310,2207,4303,2210,4292,2218,4288,2225,4287,2235,4305,2236,4305,2231,4307,2228,4311,2223,4314,2222,4346,2222,4345,2220,4334,2210,4327,2207xe" filled="true" fillcolor="#0074a3" stroked="false">
              <v:path arrowok="t"/>
              <v:fill type="solid"/>
            </v:shape>
            <v:rect style="position:absolute;left:4362;top:2282;width:18;height:18" filled="true" fillcolor="#0074a3" stroked="false">
              <v:fill type="solid"/>
            </v:rect>
            <v:shape style="position:absolute;left:4394;top:2207;width:61;height:95" coordorigin="4395,2207" coordsize="61,95" path="m4433,2207l4415,2207,4409,2210,4399,2219,4397,2224,4397,2235,4398,2239,4402,2246,4405,2248,4410,2250,4405,2252,4401,2256,4396,2264,4395,2268,4395,2283,4398,2290,4410,2299,4417,2302,4434,2302,4441,2299,4452,2288,4452,2288,4421,2288,4418,2286,4413,2281,4412,2277,4412,2268,4413,2265,4417,2259,4420,2258,4450,2258,4448,2255,4444,2252,4439,2250,4443,2248,4446,2246,4448,2244,4421,2244,4418,2243,4414,2239,4413,2236,4413,2229,4414,2226,4418,2222,4421,2221,4451,2221,4449,2219,4440,2210,4433,2207xm4450,2258l4428,2258,4431,2259,4436,2264,4437,2268,4437,2277,4436,2281,4431,2286,4428,2288,4452,2288,4455,2281,4455,2268,4453,2263,4450,2258xm4451,2221l4428,2221,4430,2222,4434,2226,4435,2229,4435,2236,4434,2239,4430,2243,4428,2244,4448,2244,4451,2239,4452,2236,4452,2224,4451,2221xe" filled="true" fillcolor="#0074a3" stroked="false">
              <v:path arrowok="t"/>
              <v:fill type="solid"/>
            </v:shape>
            <v:line style="position:absolute" from="553,691" to="4814,691" stroked="true" strokeweight=".116pt" strokecolor="#000000">
              <v:stroke dashstyle="solid"/>
            </v:line>
            <v:line style="position:absolute" from="3115,1251" to="4814,1251" stroked="true" strokeweight=".776pt" strokecolor="#878889">
              <v:stroke dashstyle="solid"/>
            </v:line>
            <v:line style="position:absolute" from="3115,1252" to="4822,1252" stroked="true" strokeweight=".842pt" strokecolor="#878889">
              <v:stroke dashstyle="solid"/>
            </v:line>
            <v:line style="position:absolute" from="553,1251" to="2795,1251" stroked="true" strokeweight=".776pt" strokecolor="#878889">
              <v:stroke dashstyle="solid"/>
            </v:line>
            <v:line style="position:absolute" from="545,1252" to="2795,1252" stroked="true" strokeweight=".842pt" strokecolor="#878889">
              <v:stroke dashstyle="solid"/>
            </v:line>
            <v:line style="position:absolute" from="4814,3490" to="4814,3451" stroked="true" strokeweight=".776pt" strokecolor="#878889">
              <v:stroke dashstyle="solid"/>
            </v:line>
            <v:line style="position:absolute" from="3962,3490" to="3962,3451" stroked="true" strokeweight=".776pt" strokecolor="#878889">
              <v:stroke dashstyle="solid"/>
            </v:line>
            <v:line style="position:absolute" from="3110,3490" to="3110,3451" stroked="true" strokeweight=".776pt" strokecolor="#878889">
              <v:stroke dashstyle="solid"/>
            </v:line>
            <v:line style="position:absolute" from="2257,3490" to="2257,3451" stroked="true" strokeweight=".776pt" strokecolor="#878889">
              <v:stroke dashstyle="solid"/>
            </v:line>
            <v:line style="position:absolute" from="1405,3490" to="1405,3451" stroked="true" strokeweight=".776pt" strokecolor="#878889">
              <v:stroke dashstyle="solid"/>
            </v:line>
            <v:line style="position:absolute" from="553,3490" to="553,3451" stroked="true" strokeweight=".776pt" strokecolor="#878889">
              <v:stroke dashstyle="solid"/>
            </v:line>
            <v:shape style="position:absolute;left:514;top:691;width:4300;height:2799" coordorigin="515,691" coordsize="4300,2799" path="m515,3490l4814,3490,4814,691,553,691,553,3490e" filled="false" stroked="true" strokeweight=".776pt" strokecolor="#878889">
              <v:path arrowok="t"/>
              <v:stroke dashstyle="solid"/>
            </v:shape>
            <v:line style="position:absolute" from="4331,2929" to="4808,2929" stroked="true" strokeweight=".776pt" strokecolor="#878889">
              <v:stroke dashstyle="solid"/>
            </v:line>
            <v:rect style="position:absolute;left:3092;top:2919;width:1040;height:20" filled="true" fillcolor="#60b9dd" stroked="false">
              <v:fill type="solid"/>
            </v:rect>
            <v:rect style="position:absolute;left:514;top:2919;width:140;height:20" filled="true" fillcolor="#60b9dd" stroked="false">
              <v:fill type="solid"/>
            </v:rect>
            <v:rect style="position:absolute;left:3092;top:2919;width:1040;height:20" filled="true" fillcolor="#929395" stroked="false">
              <v:fill type="solid"/>
            </v:rect>
            <v:rect style="position:absolute;left:514;top:2919;width:140;height:20" filled="true" fillcolor="#929395" stroked="false">
              <v:fill type="solid"/>
            </v:rect>
            <v:line style="position:absolute" from="4164,2371" to="4808,2371" stroked="true" strokeweight=".776pt" strokecolor="#878889">
              <v:stroke dashstyle="solid"/>
            </v:line>
            <v:rect style="position:absolute;left:514;top:2360;width:3449;height:20" filled="true" fillcolor="#009dd3" stroked="false">
              <v:fill type="solid"/>
            </v:rect>
            <v:rect style="position:absolute;left:514;top:2360;width:3449;height:20" filled="true" fillcolor="#929395" stroked="false">
              <v:fill type="solid"/>
            </v:rect>
            <v:line style="position:absolute" from="515,1251" to="553,1251" stroked="true" strokeweight=".776pt" strokecolor="#878889">
              <v:stroke dashstyle="solid"/>
            </v:line>
            <v:line style="position:absolute" from="515,691" to="553,691" stroked="true" strokeweight=".776pt" strokecolor="#878889">
              <v:stroke dashstyle="solid"/>
            </v:line>
            <v:shape style="position:absolute;left:392;top:640;width:59;height:92" coordorigin="393,641" coordsize="59,92" path="m427,641l416,641,410,642,402,649,398,654,394,667,393,676,393,703,396,716,402,723,407,729,414,732,429,732,434,731,443,724,443,723,417,723,413,721,406,711,404,701,404,672,406,662,410,656,413,652,417,650,443,650,442,648,439,645,431,642,427,641xm443,650l427,650,432,652,438,662,440,671,440,701,438,711,432,721,427,723,443,723,446,719,450,706,452,697,451,676,451,671,448,660,446,656,443,650xe" filled="true" fillcolor="#000000" stroked="false">
              <v:path arrowok="t"/>
              <v:fill type="solid"/>
            </v:shape>
            <v:shape style="position:absolute;left:288;top:1200;width:59;height:92" coordorigin="288,1201" coordsize="59,92" path="m323,1201l311,1201,306,1203,297,1209,294,1214,290,1227,288,1236,288,1264,291,1276,297,1284,302,1290,309,1293,324,1293,330,1291,338,1284,339,1284,313,1284,308,1281,302,1271,300,1262,300,1232,302,1222,305,1216,309,1212,313,1210,338,1210,337,1208,334,1206,327,1202,323,1201xm338,1210l323,1210,327,1212,334,1222,336,1231,336,1262,334,1271,327,1281,323,1284,339,1284,342,1279,346,1266,347,1257,347,1236,346,1231,344,1220,342,1216,338,1210xe" filled="true" fillcolor="#000000" stroked="false">
              <v:path arrowok="t"/>
              <v:fill type="solid"/>
            </v:shape>
            <v:rect style="position:absolute;left:364;top:1278;width:13;height:13" filled="true" fillcolor="#000000" stroked="false">
              <v:fill type="solid"/>
            </v:rect>
            <v:shape style="position:absolute;left:393;top:1202;width:60;height:91" coordorigin="393,1202" coordsize="60,91" path="m405,1267l393,1268,394,1275,397,1281,407,1290,414,1293,432,1293,440,1289,444,1284,418,1284,414,1282,408,1276,406,1272,405,1267xm446,1241l428,1241,432,1243,440,1250,441,1255,441,1269,439,1274,432,1282,428,1284,444,1284,451,1276,453,1269,453,1252,450,1245,446,1241xm449,1202l404,1202,395,1249,405,1250,407,1248,409,1245,415,1242,418,1241,446,1241,442,1237,408,1237,413,1213,449,1213,449,1202xm433,1231l419,1231,413,1233,408,1237,442,1237,439,1234,433,1231xe" filled="true" fillcolor="#000000" stroked="false">
              <v:path arrowok="t"/>
              <v:fill type="solid"/>
            </v:shape>
            <v:shape style="position:absolute;left:401;top:1759;width:34;height:91" coordorigin="401,1760" coordsize="34,91" path="m434,1780l423,1780,423,1850,434,1850,434,1780xm434,1760l427,1760,425,1764,422,1768,413,1776,407,1779,401,1782,401,1793,405,1792,409,1790,417,1785,421,1782,423,1780,434,1780,434,1760xe" filled="true" fillcolor="#000000" stroked="false">
              <v:path arrowok="t"/>
              <v:fill type="solid"/>
            </v:shape>
            <v:shape style="position:absolute;left:296;top:2319;width:34;height:91" coordorigin="297,2320" coordsize="34,91" path="m330,2340l319,2340,319,2410,330,2410,330,2340xm330,2320l323,2320,321,2324,318,2328,308,2336,303,2340,297,2342,297,2353,300,2352,304,2350,313,2345,316,2342,319,2340,330,2340,330,2320xe" filled="true" fillcolor="#000000" stroked="false">
              <v:path arrowok="t"/>
              <v:fill type="solid"/>
            </v:shape>
            <v:rect style="position:absolute;left:364;top:2397;width:13;height:13" filled="true" fillcolor="#000000" stroked="false">
              <v:fill type="solid"/>
            </v:rect>
            <v:shape style="position:absolute;left:393;top:2321;width:60;height:91" coordorigin="393,2321" coordsize="60,91" path="m405,2386l393,2387,394,2394,397,2400,407,2409,414,2412,432,2412,440,2408,444,2403,418,2403,414,2401,408,2396,406,2391,405,2386xm446,2360l428,2360,432,2362,440,2369,441,2374,441,2388,439,2393,432,2401,428,2403,444,2403,451,2395,453,2388,453,2371,450,2364,446,2360xm449,2321l404,2321,395,2368,405,2369,407,2367,409,2364,415,2361,418,2360,446,2360,442,2356,408,2356,413,2332,449,2332,449,2321xm433,2351l419,2351,413,2352,408,2356,442,2356,439,2353,433,2351xe" filled="true" fillcolor="#000000" stroked="false">
              <v:path arrowok="t"/>
              <v:fill type="solid"/>
            </v:shape>
            <v:shape style="position:absolute;left:391;top:2878;width:60;height:91" coordorigin="391,2879" coordsize="60,91" path="m445,2888l428,2888,432,2889,438,2895,440,2899,440,2908,438,2912,431,2921,424,2928,408,2941,403,2946,397,2953,394,2957,392,2964,391,2966,391,2969,451,2969,451,2958,407,2958,408,2956,410,2954,413,2951,418,2947,424,2941,432,2934,438,2929,445,2921,447,2918,450,2911,451,2908,451,2896,448,2891,445,2888xm431,2879l414,2879,407,2881,397,2890,394,2896,393,2905,405,2906,405,2900,406,2896,413,2890,417,2888,445,2888,438,2881,431,2879xe" filled="true" fillcolor="#000000" stroked="false">
              <v:path arrowok="t"/>
              <v:fill type="solid"/>
            </v:shape>
            <v:shape style="position:absolute;left:286;top:3439;width:60;height:91" coordorigin="287,3439" coordsize="60,91" path="m341,3448l323,3448,327,3450,334,3456,335,3459,335,3468,333,3472,326,3482,320,3488,304,3501,299,3506,292,3514,290,3518,288,3522,287,3524,287,3527,287,3529,347,3529,347,3519,302,3519,304,3517,305,3515,309,3511,313,3507,328,3495,334,3489,340,3482,343,3478,346,3471,346,3468,346,3457,344,3451,341,3448xm327,3439l310,3439,303,3441,293,3450,290,3457,289,3465,300,3466,300,3461,302,3456,308,3450,313,3448,341,3448,334,3441,327,3439xe" filled="true" fillcolor="#000000" stroked="false">
              <v:path arrowok="t"/>
              <v:fill type="solid"/>
            </v:shape>
            <v:rect style="position:absolute;left:364;top:3516;width:13;height:13" filled="true" fillcolor="#000000" stroked="false">
              <v:fill type="solid"/>
            </v:rect>
            <v:shape style="position:absolute;left:393;top:3440;width:60;height:91" coordorigin="393,3441" coordsize="60,91" path="m405,3505l393,3506,394,3513,397,3519,407,3529,414,3531,432,3531,440,3527,444,3522,418,3522,414,3520,411,3518,408,3515,406,3511,405,3505xm446,3479l428,3479,432,3481,440,3489,441,3494,441,3507,439,3512,432,3520,428,3522,444,3522,451,3514,453,3507,453,3490,450,3483,446,3479xm449,3441l404,3441,395,3487,405,3488,407,3486,409,3484,415,3480,418,3479,446,3479,442,3475,408,3475,413,3451,449,3451,449,3441xm433,3470l419,3470,413,3472,408,3475,442,3475,439,3472,433,3470xe" filled="true" fillcolor="#000000" stroked="false">
              <v:path arrowok="t"/>
              <v:fill type="solid"/>
            </v:shape>
            <v:line style="position:absolute" from="3952,1809" to="4806,1809" stroked="true" strokeweight=".776pt" strokecolor="#878889">
              <v:stroke dashstyle="solid"/>
            </v:line>
            <v:rect style="position:absolute;left:556;top:1799;width:3187;height:20" filled="true" fillcolor="#60b9dd" stroked="false">
              <v:fill type="solid"/>
            </v:rect>
            <v:rect style="position:absolute;left:556;top:1799;width:3187;height:20" filled="true" fillcolor="#929395" stroked="false">
              <v:fill type="solid"/>
            </v:rect>
            <v:shape style="position:absolute;left:517;top:3561;width:59;height:92" coordorigin="517,3561" coordsize="59,92" path="m552,3561l540,3561,535,3563,526,3570,523,3575,519,3588,517,3596,517,3624,520,3636,526,3644,531,3650,538,3653,553,3653,559,3651,567,3644,568,3644,542,3644,537,3641,531,3632,529,3622,529,3592,531,3582,534,3577,537,3572,542,3570,567,3570,566,3569,563,3566,556,3562,552,3561xm567,3570l552,3570,556,3573,563,3582,565,3592,565,3622,563,3632,556,3641,552,3644,568,3644,571,3639,575,3626,576,3618,576,3596,575,3591,573,3580,571,3576,567,3570xe" filled="true" fillcolor="#000000" stroked="false">
              <v:path arrowok="t"/>
              <v:fill type="solid"/>
            </v:shape>
            <v:shape style="position:absolute;left:1295;top:3561;width:60;height:91" coordorigin="1295,3561" coordsize="60,91" path="m1349,3570l1331,3570,1336,3572,1342,3578,1343,3581,1343,3590,1342,3594,1335,3604,1328,3610,1312,3623,1307,3628,1301,3636,1298,3640,1296,3646,1295,3649,1295,3651,1355,3651,1355,3641,1311,3641,1312,3639,1313,3637,1317,3633,1322,3629,1328,3623,1336,3617,1342,3611,1349,3604,1351,3600,1354,3593,1355,3590,1355,3579,1352,3573,1349,3570xm1335,3561l1318,3561,1311,3563,1301,3572,1298,3579,1297,3587,1309,3588,1309,3583,1310,3578,1317,3572,1321,3570,1349,3570,1342,3563,1335,3561xe" filled="true" fillcolor="#000000" stroked="false">
              <v:path arrowok="t"/>
              <v:fill type="solid"/>
            </v:shape>
            <v:shape style="position:absolute;left:1366;top:3561;width:59;height:92" coordorigin="1367,3561" coordsize="59,92" path="m1401,3561l1389,3561,1384,3563,1375,3570,1372,3575,1368,3588,1367,3596,1367,3624,1370,3636,1376,3644,1380,3650,1387,3653,1403,3653,1408,3651,1417,3644,1417,3644,1391,3644,1387,3641,1380,3632,1378,3622,1378,3592,1380,3582,1384,3577,1387,3572,1391,3570,1416,3570,1415,3569,1412,3566,1405,3562,1401,3561xm1416,3570l1401,3570,1405,3573,1412,3582,1414,3591,1414,3622,1412,3632,1405,3641,1401,3644,1417,3644,1420,3639,1424,3626,1425,3618,1425,3596,1425,3591,1422,3580,1420,3576,1416,3570xe" filled="true" fillcolor="#000000" stroked="false">
              <v:path arrowok="t"/>
              <v:fill type="solid"/>
            </v:shape>
            <v:shape style="position:absolute;left:1436;top:3561;width:59;height:92" coordorigin="1436,3561" coordsize="59,92" path="m1471,3561l1459,3561,1454,3563,1445,3570,1442,3575,1438,3588,1436,3596,1436,3624,1439,3636,1445,3644,1450,3650,1457,3653,1472,3653,1478,3651,1486,3644,1487,3644,1461,3644,1456,3641,1450,3632,1448,3622,1448,3592,1450,3582,1453,3577,1457,3572,1461,3570,1486,3570,1485,3569,1482,3566,1475,3562,1471,3561xm1486,3570l1471,3570,1475,3573,1482,3582,1484,3591,1484,3622,1482,3632,1475,3641,1471,3644,1487,3644,1490,3639,1494,3626,1495,3618,1495,3596,1494,3591,1492,3580,1490,3576,1486,3570xe" filled="true" fillcolor="#000000" stroked="false">
              <v:path arrowok="t"/>
              <v:fill type="solid"/>
            </v:shape>
            <v:shape style="position:absolute;left:2154;top:3561;width:63;height:90" coordorigin="2155,3561" coordsize="63,90" path="m2205,3630l2194,3630,2194,3651,2205,3651,2205,3630xm2205,3561l2196,3561,2155,3620,2155,3630,2217,3630,2217,3620,2166,3620,2194,3579,2205,3579,2205,3561xm2205,3579l2194,3579,2194,3620,2205,3620,2205,3579xe" filled="true" fillcolor="#000000" stroked="false">
              <v:path arrowok="t"/>
              <v:fill type="solid"/>
            </v:shape>
            <v:shape style="position:absolute;left:2228;top:3561;width:59;height:92" coordorigin="2228,3561" coordsize="59,92" path="m2262,3561l2251,3561,2246,3563,2237,3570,2234,3575,2229,3588,2228,3596,2228,3624,2231,3636,2237,3644,2242,3650,2249,3653,2264,3653,2270,3651,2278,3644,2278,3644,2252,3644,2248,3641,2241,3632,2240,3622,2240,3592,2241,3582,2245,3577,2248,3572,2252,3570,2278,3570,2277,3569,2274,3566,2267,3562,2262,3561xm2278,3570l2263,3570,2267,3573,2274,3582,2276,3592,2276,3622,2274,3632,2267,3641,2263,3644,2278,3644,2281,3639,2286,3626,2287,3618,2287,3596,2286,3591,2284,3580,2282,3576,2278,3570xe" filled="true" fillcolor="#000000" stroked="false">
              <v:path arrowok="t"/>
              <v:fill type="solid"/>
            </v:shape>
            <v:shape style="position:absolute;left:2298;top:3561;width:59;height:92" coordorigin="2298,3561" coordsize="59,92" path="m2332,3561l2321,3561,2315,3563,2307,3570,2304,3575,2299,3588,2298,3596,2298,3624,2301,3636,2307,3644,2312,3650,2319,3653,2334,3653,2339,3651,2348,3644,2348,3644,2322,3644,2318,3641,2311,3632,2309,3622,2309,3592,2311,3582,2315,3577,2318,3572,2322,3570,2348,3570,2347,3569,2344,3566,2336,3562,2332,3561xm2348,3570l2332,3570,2337,3573,2344,3582,2345,3591,2345,3622,2344,3632,2337,3641,2332,3644,2348,3644,2351,3639,2356,3626,2357,3618,2357,3596,2356,3591,2353,3580,2351,3576,2348,3570xe" filled="true" fillcolor="#000000" stroked="false">
              <v:path arrowok="t"/>
              <v:fill type="solid"/>
            </v:shape>
            <v:shape style="position:absolute;left:2996;top:3561;width:60;height:92" coordorigin="2997,3561" coordsize="60,92" path="m3036,3561l3020,3561,3012,3564,3000,3579,2997,3592,2997,3625,3000,3636,3012,3650,3019,3653,3034,3653,3038,3652,3047,3646,3049,3644,3025,3644,3022,3643,3016,3639,3014,3637,3010,3630,3010,3626,3010,3616,3011,3612,3018,3605,3008,3605,3008,3596,3009,3589,3013,3579,3016,3576,3019,3573,3022,3571,3025,3570,3050,3570,3042,3563,3036,3561xm3050,3603l3033,3603,3037,3605,3043,3612,3045,3616,3045,3630,3043,3634,3037,3642,3033,3644,3049,3644,3050,3643,3055,3633,3056,3628,3056,3614,3054,3607,3050,3603xm3037,3593l3026,3593,3022,3594,3014,3598,3011,3601,3008,3605,3018,3605,3018,3605,3023,3603,3050,3603,3044,3596,3037,3593xm3050,3570l3033,3570,3037,3572,3040,3575,3042,3577,3043,3580,3044,3584,3055,3583,3054,3576,3051,3571,3050,3570xe" filled="true" fillcolor="#000000" stroked="false">
              <v:path arrowok="t"/>
              <v:fill type="solid"/>
            </v:shape>
            <v:shape style="position:absolute;left:3067;top:3561;width:59;height:92" coordorigin="3067,3561" coordsize="59,92" path="m3101,3561l3090,3561,3085,3563,3076,3570,3073,3575,3068,3588,3067,3596,3067,3624,3070,3636,3076,3644,3081,3650,3088,3653,3103,3653,3109,3651,3117,3644,3117,3644,3092,3644,3087,3641,3080,3632,3079,3622,3079,3592,3081,3582,3084,3577,3087,3572,3091,3570,3117,3570,3116,3569,3113,3566,3106,3562,3101,3561xm3117,3570l3102,3570,3106,3573,3113,3582,3114,3591,3115,3622,3113,3632,3106,3641,3102,3644,3117,3644,3121,3639,3125,3626,3126,3618,3126,3596,3125,3591,3124,3586,3123,3580,3121,3576,3117,3570xe" filled="true" fillcolor="#000000" stroked="false">
              <v:path arrowok="t"/>
              <v:fill type="solid"/>
            </v:shape>
            <v:shape style="position:absolute;left:3137;top:3561;width:59;height:92" coordorigin="3137,3561" coordsize="59,92" path="m3171,3561l3160,3561,3154,3563,3146,3570,3143,3575,3138,3588,3137,3596,3137,3624,3140,3636,3146,3644,3151,3650,3158,3653,3173,3653,3178,3651,3187,3644,3187,3644,3161,3644,3157,3641,3150,3632,3148,3622,3148,3592,3150,3582,3154,3577,3157,3572,3161,3570,3187,3570,3186,3569,3183,3566,3176,3562,3171,3561xm3187,3570l3171,3570,3176,3573,3183,3582,3184,3591,3184,3622,3183,3632,3176,3641,3171,3644,3187,3644,3190,3639,3195,3626,3196,3618,3196,3596,3195,3591,3192,3580,3191,3576,3187,3570xe" filled="true" fillcolor="#000000" stroked="false">
              <v:path arrowok="t"/>
              <v:fill type="solid"/>
            </v:shape>
            <v:shape style="position:absolute;left:3847;top:3561;width:60;height:92" coordorigin="3848,3561" coordsize="60,92" path="m3885,3561l3869,3561,3863,3563,3854,3572,3851,3578,3851,3589,3853,3592,3857,3599,3860,3601,3865,3603,3859,3604,3855,3607,3849,3615,3848,3620,3848,3633,3850,3640,3861,3650,3868,3653,3886,3653,3893,3650,3900,3644,3874,3644,3871,3643,3865,3640,3863,3637,3860,3632,3859,3629,3859,3620,3861,3616,3868,3609,3872,3607,3900,3607,3896,3604,3890,3603,3895,3601,3898,3599,3898,3598,3873,3598,3870,3597,3864,3592,3863,3588,3863,3580,3864,3577,3870,3572,3873,3570,3899,3570,3891,3563,3885,3561xm3900,3607l3882,3607,3887,3609,3894,3616,3895,3620,3896,3631,3894,3635,3887,3642,3883,3644,3900,3644,3904,3640,3907,3633,3907,3620,3906,3615,3900,3607xm3899,3570l3882,3570,3885,3572,3891,3577,3892,3580,3892,3589,3891,3592,3885,3597,3882,3598,3898,3598,3902,3592,3903,3589,3903,3578,3901,3572,3899,3570xe" filled="true" fillcolor="#000000" stroked="false">
              <v:path arrowok="t"/>
              <v:fill type="solid"/>
            </v:shape>
            <v:shape style="position:absolute;left:3917;top:3561;width:59;height:92" coordorigin="3918,3561" coordsize="59,92" path="m3952,3561l3940,3561,3935,3563,3926,3570,3923,3575,3919,3588,3918,3596,3918,3624,3921,3636,3927,3644,3931,3650,3938,3653,3954,3653,3959,3651,3968,3644,3968,3644,3942,3644,3938,3641,3931,3632,3929,3622,3929,3592,3931,3582,3935,3577,3938,3572,3942,3570,3967,3570,3966,3569,3963,3566,3956,3562,3952,3561xm3967,3570l3952,3570,3956,3573,3963,3582,3965,3591,3965,3622,3963,3632,3956,3641,3952,3644,3968,3644,3971,3639,3975,3626,3976,3618,3976,3596,3976,3591,3973,3580,3971,3576,3967,3570xe" filled="true" fillcolor="#000000" stroked="false">
              <v:path arrowok="t"/>
              <v:fill type="solid"/>
            </v:shape>
            <v:shape style="position:absolute;left:3987;top:3561;width:59;height:92" coordorigin="3987,3561" coordsize="59,92" path="m4022,3561l4010,3561,4005,3563,3996,3570,3993,3575,3988,3588,3987,3596,3987,3624,3990,3636,3996,3644,4001,3650,4008,3653,4023,3653,4029,3651,4037,3644,4038,3644,4012,3644,4007,3641,4000,3632,3999,3622,3999,3592,4001,3582,4004,3577,4007,3572,4012,3570,4037,3570,4036,3569,4033,3566,4026,3562,4022,3561xm4037,3570l4022,3570,4026,3573,4033,3582,4034,3591,4035,3622,4033,3632,4026,3641,4022,3644,4038,3644,4041,3639,4045,3626,4046,3618,4046,3596,4045,3591,4043,3580,4041,3576,4037,3570xe" filled="true" fillcolor="#000000" stroked="false">
              <v:path arrowok="t"/>
              <v:fill type="solid"/>
            </v:shape>
            <v:shape style="position:absolute;left:4643;top:3561;width:34;height:91" coordorigin="4643,3561" coordsize="34,91" path="m4676,3581l4665,3581,4665,3651,4676,3651,4676,3581xm4676,3561l4669,3561,4667,3565,4664,3569,4655,3577,4650,3581,4643,3584,4643,3594,4647,3593,4651,3591,4659,3586,4663,3584,4665,3581,4676,3581,4676,3561xe" filled="true" fillcolor="#000000" stroked="false">
              <v:path arrowok="t"/>
              <v:fill type="solid"/>
            </v:shape>
            <v:shape style="position:absolute;left:4704;top:3561;width:59;height:92" coordorigin="4705,3561" coordsize="59,92" path="m4739,3561l4728,3561,4722,3563,4714,3570,4710,3575,4706,3588,4705,3596,4705,3624,4708,3636,4714,3644,4719,3650,4726,3653,4741,3653,4746,3651,4755,3644,4755,3644,4729,3644,4725,3641,4718,3632,4716,3622,4716,3592,4718,3582,4722,3577,4725,3572,4729,3570,4755,3570,4754,3569,4751,3566,4743,3562,4739,3561xm4755,3570l4739,3570,4744,3573,4747,3577,4750,3582,4752,3591,4752,3622,4750,3632,4744,3641,4739,3644,4755,3644,4758,3639,4762,3626,4764,3618,4763,3596,4763,3591,4760,3580,4758,3576,4755,3570xe" filled="true" fillcolor="#000000" stroked="false">
              <v:path arrowok="t"/>
              <v:fill type="solid"/>
            </v:shape>
            <v:shape style="position:absolute;left:4774;top:3561;width:59;height:92" coordorigin="4775,3561" coordsize="59,92" path="m4809,3561l4797,3561,4792,3563,4783,3570,4780,3575,4776,3588,4775,3596,4775,3624,4778,3636,4784,3644,4788,3650,4795,3653,4811,3653,4816,3651,4825,3644,4825,3644,4799,3644,4795,3641,4788,3632,4786,3622,4786,3592,4788,3582,4792,3577,4795,3572,4799,3570,4824,3570,4823,3569,4820,3566,4813,3562,4809,3561xm4824,3570l4809,3570,4813,3573,4820,3582,4822,3591,4822,3622,4820,3632,4813,3641,4809,3644,4825,3644,4828,3639,4832,3626,4833,3618,4833,3596,4833,3591,4830,3580,4828,3576,4824,3570xe" filled="true" fillcolor="#000000" stroked="false">
              <v:path arrowok="t"/>
              <v:fill type="solid"/>
            </v:shape>
            <v:shape style="position:absolute;left:4844;top:3561;width:59;height:92" coordorigin="4844,3561" coordsize="59,92" path="m4879,3561l4867,3561,4862,3563,4853,3570,4850,3575,4846,3588,4844,3596,4844,3624,4847,3636,4853,3644,4858,3650,4865,3653,4880,3653,4886,3651,4894,3644,4895,3644,4869,3644,4864,3641,4858,3632,4856,3622,4856,3592,4858,3582,4861,3577,4865,3572,4869,3570,4894,3570,4893,3569,4890,3566,4883,3562,4879,3561xm4894,3570l4879,3570,4883,3573,4890,3582,4892,3591,4892,3622,4890,3632,4883,3641,4879,3644,4895,3644,4898,3639,4902,3626,4903,3618,4903,3596,4902,3591,4900,3580,4898,3576,4894,3570xe" filled="true" fillcolor="#000000" stroked="false">
              <v:path arrowok="t"/>
              <v:fill type="solid"/>
            </v:shape>
            <v:line style="position:absolute" from="555,691" to="517,691" stroked="true" strokeweight=".581pt" strokecolor="#000000">
              <v:stroke dashstyle="solid"/>
            </v:line>
            <v:line style="position:absolute" from="555,803" to="517,803" stroked="true" strokeweight=".581pt" strokecolor="#000000">
              <v:stroke dashstyle="solid"/>
            </v:line>
            <v:line style="position:absolute" from="555,915" to="517,915" stroked="true" strokeweight=".581pt" strokecolor="#000000">
              <v:stroke dashstyle="solid"/>
            </v:line>
            <v:line style="position:absolute" from="555,1139" to="517,1139" stroked="true" strokeweight=".581pt" strokecolor="#000000">
              <v:stroke dashstyle="solid"/>
            </v:line>
            <v:line style="position:absolute" from="555,1250" to="517,1250" stroked="true" strokeweight=".581pt" strokecolor="#000000">
              <v:stroke dashstyle="solid"/>
            </v:line>
            <v:line style="position:absolute" from="555,1362" to="517,1362" stroked="true" strokeweight=".581pt" strokecolor="#000000">
              <v:stroke dashstyle="solid"/>
            </v:line>
            <v:line style="position:absolute" from="555,1474" to="517,1474" stroked="true" strokeweight=".581pt" strokecolor="#000000">
              <v:stroke dashstyle="solid"/>
            </v:line>
            <v:line style="position:absolute" from="555,1586" to="517,1586" stroked="true" strokeweight=".581pt" strokecolor="#000000">
              <v:stroke dashstyle="solid"/>
            </v:line>
            <v:line style="position:absolute" from="555,1698" to="517,1698" stroked="true" strokeweight=".581pt" strokecolor="#000000">
              <v:stroke dashstyle="solid"/>
            </v:line>
            <v:line style="position:absolute" from="555,1809" to="517,1809" stroked="true" strokeweight=".581pt" strokecolor="#000000">
              <v:stroke dashstyle="solid"/>
            </v:line>
            <v:line style="position:absolute" from="555,1921" to="517,1921" stroked="true" strokeweight=".581pt" strokecolor="#000000">
              <v:stroke dashstyle="solid"/>
            </v:line>
            <v:line style="position:absolute" from="555,2033" to="517,2033" stroked="true" strokeweight=".581pt" strokecolor="#000000">
              <v:stroke dashstyle="solid"/>
            </v:line>
            <v:line style="position:absolute" from="555,2145" to="517,2145" stroked="true" strokeweight=".581pt" strokecolor="#000000">
              <v:stroke dashstyle="solid"/>
            </v:line>
            <v:line style="position:absolute" from="555,2257" to="517,2257" stroked="true" strokeweight=".581pt" strokecolor="#000000">
              <v:stroke dashstyle="solid"/>
            </v:line>
            <v:line style="position:absolute" from="555,2369" to="517,2369" stroked="true" strokeweight=".581pt" strokecolor="#000000">
              <v:stroke dashstyle="solid"/>
            </v:line>
            <v:line style="position:absolute" from="555,2480" to="517,2480" stroked="true" strokeweight=".581pt" strokecolor="#000000">
              <v:stroke dashstyle="solid"/>
            </v:line>
            <v:line style="position:absolute" from="555,2592" to="517,2592" stroked="true" strokeweight=".581pt" strokecolor="#000000">
              <v:stroke dashstyle="solid"/>
            </v:line>
            <v:line style="position:absolute" from="555,2704" to="517,2704" stroked="true" strokeweight=".581pt" strokecolor="#000000">
              <v:stroke dashstyle="solid"/>
            </v:line>
            <v:line style="position:absolute" from="555,2816" to="517,2816" stroked="true" strokeweight=".581pt" strokecolor="#000000">
              <v:stroke dashstyle="solid"/>
            </v:line>
            <v:line style="position:absolute" from="555,2928" to="517,2928" stroked="true" strokeweight=".581pt" strokecolor="#000000">
              <v:stroke dashstyle="solid"/>
            </v:line>
            <v:line style="position:absolute" from="555,3040" to="517,3040" stroked="true" strokeweight=".581pt" strokecolor="#000000">
              <v:stroke dashstyle="solid"/>
            </v:line>
            <v:line style="position:absolute" from="555,3151" to="517,3151" stroked="true" strokeweight=".581pt" strokecolor="#000000">
              <v:stroke dashstyle="solid"/>
            </v:line>
            <v:line style="position:absolute" from="555,3263" to="517,3263" stroked="true" strokeweight=".581pt" strokecolor="#000000">
              <v:stroke dashstyle="solid"/>
            </v:line>
            <v:line style="position:absolute" from="555,3375" to="517,3375" stroked="true" strokeweight=".581pt" strokecolor="#000000">
              <v:stroke dashstyle="solid"/>
            </v:line>
            <v:line style="position:absolute" from="555,3487" to="517,3487" stroked="true" strokeweight=".581pt" strokecolor="#000000">
              <v:stroke dashstyle="solid"/>
            </v:line>
            <v:line style="position:absolute" from="555,1027" to="517,1027" stroked="true" strokeweight=".581pt" strokecolor="#000000">
              <v:stroke dashstyle="solid"/>
            </v:line>
            <v:shape style="position:absolute;left:4129;top:3271;width:490;height:304" type="#_x0000_t75" stroked="false">
              <v:imagedata r:id="rId8" o:title=""/>
            </v:shape>
            <v:shape style="position:absolute;left:4129;top:2718;width:490;height:316" type="#_x0000_t75" stroked="false">
              <v:imagedata r:id="rId9" o:title=""/>
            </v:shape>
            <v:shape style="position:absolute;left:3961;top:2223;width:295;height:271" type="#_x0000_t75" stroked="false">
              <v:imagedata r:id="rId10" o:title=""/>
            </v:shape>
            <v:shape style="position:absolute;left:1934;top:221;width:41;height:93" coordorigin="1934,222" coordsize="41,93" path="m1975,247l1957,247,1957,314,1975,314,1975,247xm1975,222l1960,222,1958,227,1955,232,1944,240,1939,243,1934,245,1934,261,1943,258,1951,253,1957,247,1975,247,1975,222xe" filled="true" fillcolor="#0074a3" stroked="false">
              <v:path arrowok="t"/>
              <v:fill type="solid"/>
            </v:shape>
            <v:shape style="position:absolute;left:2000;top:221;width:60;height:95" coordorigin="2001,222" coordsize="60,95" path="m2040,222l2022,222,2015,225,2004,239,2001,250,2001,287,2003,298,2014,312,2022,316,2040,316,2047,313,2056,301,2029,301,2027,300,2023,298,2022,295,2020,287,2020,286,2019,279,2019,258,2020,250,2022,242,2023,240,2027,237,2029,236,2056,236,2047,225,2040,222xm2056,236l2033,236,2035,237,2038,240,2039,242,2041,250,2042,251,2042,258,2042,279,2041,287,2039,295,2038,298,2035,300,2033,301,2056,301,2058,299,2061,286,2060,250,2058,239,2056,236xe" filled="true" fillcolor="#0074a3" stroked="false">
              <v:path arrowok="t"/>
              <v:fill type="solid"/>
            </v:shape>
            <v:shape style="position:absolute;left:2072;top:221;width:60;height:95" coordorigin="2072,222" coordsize="60,95" path="m2111,222l2093,222,2086,225,2075,239,2072,250,2072,287,2075,298,2086,312,2093,316,2111,316,2118,313,2127,301,2100,301,2098,300,2095,298,2093,295,2092,291,2091,287,2091,286,2091,279,2091,258,2091,250,2093,242,2095,240,2098,237,2100,236,2127,236,2118,225,2111,222xm2127,236l2104,236,2106,237,2109,240,2111,242,2113,250,2113,251,2113,258,2113,279,2113,287,2111,295,2109,298,2106,300,2104,301,2127,301,2129,299,2132,286,2132,250,2129,239,2127,236xe" filled="true" fillcolor="#0074a3" stroked="false">
              <v:path arrowok="t"/>
              <v:fill type="solid"/>
            </v:shape>
            <v:shape style="position:absolute;left:609;top:157;width:3439;height:3357" type="#_x0000_t75" stroked="false">
              <v:imagedata r:id="rId11" o:title=""/>
            </v:shape>
            <v:shape style="position:absolute;left:1877;top:3804;width:1630;height:188" type="#_x0000_t75" stroked="false">
              <v:imagedata r:id="rId12" o:title=""/>
            </v:shape>
            <v:shape style="position:absolute;left:49;top:1998;width:162;height:441" type="#_x0000_t75" stroked="false">
              <v:imagedata r:id="rId13" o:title=""/>
            </v:shape>
            <v:shape style="position:absolute;left:47;top:1601;width:163;height:325" type="#_x0000_t75" stroked="false">
              <v:imagedata r:id="rId14" o:title=""/>
            </v:shape>
            <v:rect style="position:absolute;left:5;top:5;width:5033;height:4206" filled="false" stroked="true" strokeweight=".5pt" strokecolor="#000000">
              <v:stroke dashstyle="solid"/>
            </v:rect>
          </v:group>
        </w:pict>
      </w:r>
      <w:r>
        <w:rPr/>
      </w:r>
    </w:p>
    <w:p>
      <w:pPr>
        <w:spacing w:line="220" w:lineRule="exact" w:before="113"/>
        <w:ind w:left="157" w:right="531" w:firstLine="0"/>
        <w:jc w:val="both"/>
        <w:rPr>
          <w:sz w:val="18"/>
        </w:rPr>
      </w:pPr>
      <w:r>
        <w:rPr>
          <w:b/>
          <w:sz w:val="18"/>
        </w:rPr>
        <w:t>Figure 5.2 </w:t>
      </w:r>
      <w:r>
        <w:rPr>
          <w:spacing w:val="-3"/>
          <w:sz w:val="18"/>
        </w:rPr>
        <w:t>Variation </w:t>
      </w:r>
      <w:r>
        <w:rPr>
          <w:sz w:val="18"/>
        </w:rPr>
        <w:t>of CO</w:t>
      </w:r>
      <w:r>
        <w:rPr>
          <w:position w:val="-5"/>
          <w:sz w:val="10"/>
        </w:rPr>
        <w:t>2 </w:t>
      </w:r>
      <w:r>
        <w:rPr>
          <w:sz w:val="18"/>
        </w:rPr>
        <w:t>density with depth, assuming hydrostatic pressure and a geothermal gradient of 25°C km</w:t>
      </w:r>
      <w:r>
        <w:rPr>
          <w:position w:val="6"/>
          <w:sz w:val="10"/>
        </w:rPr>
        <w:t>–1 </w:t>
      </w:r>
      <w:r>
        <w:rPr>
          <w:sz w:val="18"/>
        </w:rPr>
        <w:t>from 15°C at </w:t>
      </w:r>
      <w:r>
        <w:rPr>
          <w:spacing w:val="-4"/>
          <w:sz w:val="18"/>
        </w:rPr>
        <w:t>the </w:t>
      </w:r>
      <w:r>
        <w:rPr>
          <w:sz w:val="18"/>
        </w:rPr>
        <w:t>surface (based on the density data of Angus </w:t>
      </w:r>
      <w:r>
        <w:rPr>
          <w:i/>
          <w:sz w:val="18"/>
        </w:rPr>
        <w:t>et al.</w:t>
      </w:r>
      <w:r>
        <w:rPr>
          <w:sz w:val="18"/>
        </w:rPr>
        <w:t>, 1973). Carbon dioxide density increases rapidly at approximately 800 m depth,</w:t>
      </w:r>
      <w:r>
        <w:rPr>
          <w:spacing w:val="-13"/>
          <w:sz w:val="18"/>
        </w:rPr>
        <w:t> </w:t>
      </w:r>
      <w:r>
        <w:rPr>
          <w:sz w:val="18"/>
        </w:rPr>
        <w:t>when the CO</w:t>
      </w:r>
      <w:r>
        <w:rPr>
          <w:position w:val="-5"/>
          <w:sz w:val="10"/>
        </w:rPr>
        <w:t>2 </w:t>
      </w:r>
      <w:r>
        <w:rPr>
          <w:sz w:val="18"/>
        </w:rPr>
        <w:t>reaches a supercritical state. Cubes represent the relative volume occupied by the CO</w:t>
      </w:r>
      <w:r>
        <w:rPr>
          <w:position w:val="-5"/>
          <w:sz w:val="10"/>
        </w:rPr>
        <w:t>2 </w:t>
      </w:r>
      <w:r>
        <w:rPr>
          <w:sz w:val="18"/>
        </w:rPr>
        <w:t>and down to 800 m, this volume can </w:t>
      </w:r>
      <w:r>
        <w:rPr>
          <w:spacing w:val="-7"/>
          <w:sz w:val="18"/>
        </w:rPr>
        <w:t>be</w:t>
      </w:r>
      <w:r>
        <w:rPr>
          <w:spacing w:val="31"/>
          <w:sz w:val="18"/>
        </w:rPr>
        <w:t> </w:t>
      </w:r>
      <w:r>
        <w:rPr>
          <w:sz w:val="18"/>
        </w:rPr>
        <w:t>seen to dramatically decrease with depth. At depths below 1.5 km,</w:t>
      </w:r>
      <w:r>
        <w:rPr>
          <w:spacing w:val="-17"/>
          <w:sz w:val="18"/>
        </w:rPr>
        <w:t> </w:t>
      </w:r>
      <w:r>
        <w:rPr>
          <w:sz w:val="18"/>
        </w:rPr>
        <w:t>the density and specific volume become nearly</w:t>
      </w:r>
      <w:r>
        <w:rPr>
          <w:spacing w:val="-4"/>
          <w:sz w:val="18"/>
        </w:rPr>
        <w:t> </w:t>
      </w:r>
      <w:r>
        <w:rPr>
          <w:sz w:val="18"/>
        </w:rPr>
        <w:t>constant.</w:t>
      </w:r>
    </w:p>
    <w:p>
      <w:pPr>
        <w:spacing w:after="0" w:line="220" w:lineRule="exact"/>
        <w:jc w:val="both"/>
        <w:rPr>
          <w:sz w:val="18"/>
        </w:rPr>
        <w:sectPr>
          <w:type w:val="continuous"/>
          <w:pgSz w:w="12240" w:h="15840"/>
          <w:pgMar w:top="400" w:bottom="280" w:left="580" w:right="600"/>
          <w:cols w:num="2" w:equalWidth="0">
            <w:col w:w="5242" w:space="84"/>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Heading1"/>
        <w:numPr>
          <w:ilvl w:val="1"/>
          <w:numId w:val="1"/>
        </w:numPr>
        <w:tabs>
          <w:tab w:pos="1262" w:val="left" w:leader="none"/>
          <w:tab w:pos="1263" w:val="left" w:leader="none"/>
        </w:tabs>
        <w:spacing w:line="240" w:lineRule="auto" w:before="63" w:after="0"/>
        <w:ind w:left="1262" w:right="0" w:hanging="710"/>
        <w:jc w:val="left"/>
      </w:pPr>
      <w:bookmarkStart w:name="5.1 introduction" w:id="6"/>
      <w:bookmarkEnd w:id="6"/>
      <w:r>
        <w:rPr>
          <w:b w:val="0"/>
        </w:rPr>
      </w:r>
      <w:bookmarkStart w:name="5.1.1 What is geological storage?" w:id="7"/>
      <w:bookmarkEnd w:id="7"/>
      <w:r>
        <w:rPr>
          <w:b w:val="0"/>
        </w:rPr>
      </w:r>
      <w:bookmarkStart w:name="5.1.1 What is geological storage?" w:id="8"/>
      <w:bookmarkEnd w:id="8"/>
      <w:r>
        <w:rPr>
          <w:w w:val="105"/>
        </w:rPr>
        <w:t>i</w:t>
      </w:r>
      <w:r>
        <w:rPr>
          <w:w w:val="105"/>
        </w:rPr>
        <w:t>ntroduction</w:t>
      </w:r>
    </w:p>
    <w:p>
      <w:pPr>
        <w:pStyle w:val="BodyText"/>
        <w:spacing w:before="8"/>
        <w:rPr>
          <w:b/>
          <w:sz w:val="21"/>
        </w:rPr>
      </w:pPr>
    </w:p>
    <w:p>
      <w:pPr>
        <w:pStyle w:val="Heading2"/>
        <w:numPr>
          <w:ilvl w:val="2"/>
          <w:numId w:val="1"/>
        </w:numPr>
        <w:tabs>
          <w:tab w:pos="1373" w:val="left" w:leader="none"/>
          <w:tab w:pos="1374" w:val="left" w:leader="none"/>
        </w:tabs>
        <w:spacing w:line="240" w:lineRule="auto" w:before="1" w:after="0"/>
        <w:ind w:left="1373" w:right="0" w:hanging="821"/>
        <w:jc w:val="left"/>
        <w:rPr>
          <w:i/>
        </w:rPr>
      </w:pPr>
      <w:r>
        <w:rPr>
          <w:i/>
        </w:rPr>
        <w:t>What is geological</w:t>
      </w:r>
      <w:r>
        <w:rPr>
          <w:i/>
          <w:spacing w:val="-2"/>
        </w:rPr>
        <w:t> </w:t>
      </w:r>
      <w:r>
        <w:rPr>
          <w:i/>
        </w:rPr>
        <w:t>storage?</w:t>
      </w:r>
    </w:p>
    <w:p>
      <w:pPr>
        <w:pStyle w:val="BodyText"/>
        <w:spacing w:before="3"/>
        <w:rPr>
          <w:b/>
          <w:i/>
          <w:sz w:val="21"/>
        </w:rPr>
      </w:pPr>
    </w:p>
    <w:p>
      <w:pPr>
        <w:pStyle w:val="BodyText"/>
        <w:spacing w:line="240" w:lineRule="exact"/>
        <w:ind w:left="553"/>
        <w:jc w:val="both"/>
      </w:pPr>
      <w:r>
        <w:rPr/>
        <w:t>Capture and geological storage of CO</w:t>
      </w:r>
      <w:r>
        <w:rPr>
          <w:position w:val="-6"/>
          <w:sz w:val="11"/>
        </w:rPr>
        <w:t>2 </w:t>
      </w:r>
      <w:r>
        <w:rPr/>
        <w:t>provide a way to avoid emitting CO</w:t>
      </w:r>
      <w:r>
        <w:rPr>
          <w:position w:val="-6"/>
          <w:sz w:val="11"/>
        </w:rPr>
        <w:t>2 </w:t>
      </w:r>
      <w:r>
        <w:rPr/>
        <w:t>into the atmosphere, by capturing CO</w:t>
      </w:r>
      <w:r>
        <w:rPr>
          <w:position w:val="-6"/>
          <w:sz w:val="11"/>
        </w:rPr>
        <w:t>2 </w:t>
      </w:r>
      <w:r>
        <w:rPr>
          <w:spacing w:val="-4"/>
        </w:rPr>
        <w:t>from </w:t>
      </w:r>
      <w:r>
        <w:rPr/>
        <w:t>major stationary sources (Chapter 3), transporting it usually  by pipeline (Chapter 4) and injecting it into suitable deep rock formations. This chapter explores the nature of geological storage and considers its potential as a mitigation</w:t>
      </w:r>
      <w:r>
        <w:rPr>
          <w:spacing w:val="-4"/>
        </w:rPr>
        <w:t> </w:t>
      </w:r>
      <w:r>
        <w:rPr/>
        <w:t>option.</w:t>
      </w:r>
    </w:p>
    <w:p>
      <w:pPr>
        <w:pStyle w:val="BodyText"/>
        <w:spacing w:line="240" w:lineRule="exact"/>
        <w:ind w:left="553" w:firstLine="283"/>
        <w:jc w:val="both"/>
      </w:pPr>
      <w:r>
        <w:rPr/>
        <w:t>The</w:t>
      </w:r>
      <w:r>
        <w:rPr>
          <w:spacing w:val="-14"/>
        </w:rPr>
        <w:t> </w:t>
      </w:r>
      <w:r>
        <w:rPr/>
        <w:t>subsurface</w:t>
      </w:r>
      <w:r>
        <w:rPr>
          <w:spacing w:val="-13"/>
        </w:rPr>
        <w:t> </w:t>
      </w:r>
      <w:r>
        <w:rPr/>
        <w:t>is</w:t>
      </w:r>
      <w:r>
        <w:rPr>
          <w:spacing w:val="-13"/>
        </w:rPr>
        <w:t> </w:t>
      </w:r>
      <w:r>
        <w:rPr/>
        <w:t>the</w:t>
      </w:r>
      <w:r>
        <w:rPr>
          <w:spacing w:val="-14"/>
        </w:rPr>
        <w:t> </w:t>
      </w:r>
      <w:r>
        <w:rPr/>
        <w:t>Earth’s</w:t>
      </w:r>
      <w:r>
        <w:rPr>
          <w:spacing w:val="-13"/>
        </w:rPr>
        <w:t> </w:t>
      </w:r>
      <w:r>
        <w:rPr/>
        <w:t>largest</w:t>
      </w:r>
      <w:r>
        <w:rPr>
          <w:spacing w:val="-13"/>
        </w:rPr>
        <w:t> </w:t>
      </w:r>
      <w:r>
        <w:rPr/>
        <w:t>carbon</w:t>
      </w:r>
      <w:r>
        <w:rPr>
          <w:spacing w:val="-14"/>
        </w:rPr>
        <w:t> </w:t>
      </w:r>
      <w:r>
        <w:rPr/>
        <w:t>reservoir,</w:t>
      </w:r>
      <w:r>
        <w:rPr>
          <w:spacing w:val="-13"/>
        </w:rPr>
        <w:t> </w:t>
      </w:r>
      <w:r>
        <w:rPr/>
        <w:t>where the vast majority of the </w:t>
      </w:r>
      <w:r>
        <w:rPr>
          <w:spacing w:val="-3"/>
        </w:rPr>
        <w:t>world’s </w:t>
      </w:r>
      <w:r>
        <w:rPr/>
        <w:t>carbon is held in coals, oil, gas organic-rich shales and carbonate rocks. Geological storage of CO</w:t>
      </w:r>
      <w:r>
        <w:rPr>
          <w:position w:val="-6"/>
          <w:sz w:val="11"/>
        </w:rPr>
        <w:t>2 </w:t>
      </w:r>
      <w:r>
        <w:rPr/>
        <w:t>has been a natural process in the Earth’s upper crust </w:t>
      </w:r>
      <w:r>
        <w:rPr>
          <w:spacing w:val="-5"/>
        </w:rPr>
        <w:t>for </w:t>
      </w:r>
      <w:r>
        <w:rPr/>
        <w:t>hundreds of millions of years. Carbon dioxide derived </w:t>
      </w:r>
      <w:r>
        <w:rPr>
          <w:spacing w:val="-4"/>
        </w:rPr>
        <w:t>from </w:t>
      </w:r>
      <w:r>
        <w:rPr/>
        <w:t>biological activity, igneous activity and chemical reactions between rocks and fluids accumulates in the natural subsurface environment as carbonate minerals, in solution or in a gaseous or supercritical form, either as a gas mixture or as pure CO</w:t>
      </w:r>
      <w:r>
        <w:rPr>
          <w:position w:val="-6"/>
          <w:sz w:val="11"/>
        </w:rPr>
        <w:t>2</w:t>
      </w:r>
      <w:r>
        <w:rPr/>
        <w:t>. The engineered injection of CO</w:t>
      </w:r>
      <w:r>
        <w:rPr>
          <w:position w:val="-6"/>
          <w:sz w:val="11"/>
        </w:rPr>
        <w:t>2 </w:t>
      </w:r>
      <w:r>
        <w:rPr/>
        <w:t>into subsurface geological formations was first undertaken in </w:t>
      </w:r>
      <w:r>
        <w:rPr>
          <w:spacing w:val="-3"/>
        </w:rPr>
        <w:t>Texas, </w:t>
      </w:r>
      <w:r>
        <w:rPr/>
        <w:t>USA, in the early 1970s, as part of enhanced oil recovery (EOR) projects and</w:t>
      </w:r>
      <w:r>
        <w:rPr>
          <w:spacing w:val="-20"/>
        </w:rPr>
        <w:t> </w:t>
      </w:r>
      <w:r>
        <w:rPr>
          <w:spacing w:val="-5"/>
        </w:rPr>
        <w:t>has </w:t>
      </w:r>
      <w:r>
        <w:rPr/>
        <w:t>been ongoing there and at many other locations ever</w:t>
      </w:r>
      <w:r>
        <w:rPr>
          <w:spacing w:val="-4"/>
        </w:rPr>
        <w:t> </w:t>
      </w:r>
      <w:r>
        <w:rPr/>
        <w:t>since.</w:t>
      </w:r>
    </w:p>
    <w:p>
      <w:pPr>
        <w:pStyle w:val="BodyText"/>
        <w:spacing w:before="5"/>
        <w:ind w:left="837"/>
        <w:jc w:val="both"/>
      </w:pPr>
      <w:r>
        <w:rPr/>
        <w:t>Geological storage of anthropogenic CO</w:t>
      </w:r>
      <w:bookmarkStart w:name="_bookmark2" w:id="9"/>
      <w:bookmarkEnd w:id="9"/>
      <w:r>
        <w:rPr/>
      </w:r>
      <w:bookmarkStart w:name="_bookmark3" w:id="10"/>
      <w:bookmarkEnd w:id="10"/>
      <w:r>
        <w:rPr/>
      </w:r>
      <w:r>
        <w:rPr>
          <w:position w:val="-6"/>
          <w:sz w:val="11"/>
        </w:rPr>
        <w:t>2 </w:t>
      </w:r>
      <w:r>
        <w:rPr/>
        <w:t>as a greenhouse</w:t>
      </w:r>
    </w:p>
    <w:p>
      <w:pPr>
        <w:pStyle w:val="BodyText"/>
        <w:spacing w:line="240" w:lineRule="exact" w:before="58"/>
        <w:ind w:left="241" w:right="133"/>
        <w:jc w:val="both"/>
      </w:pPr>
      <w:r>
        <w:rPr/>
        <w:br w:type="column"/>
      </w:r>
      <w:r>
        <w:rPr/>
        <w:t>gas mitigation option was first proposed in the 1970s, but little research was done until the early 1990s, when the idea gained credibility through the work of individuals and research</w:t>
      </w:r>
      <w:r>
        <w:rPr>
          <w:spacing w:val="-19"/>
        </w:rPr>
        <w:t> </w:t>
      </w:r>
      <w:r>
        <w:rPr/>
        <w:t>groups (Marchetti,</w:t>
      </w:r>
      <w:r>
        <w:rPr>
          <w:spacing w:val="-18"/>
        </w:rPr>
        <w:t> </w:t>
      </w:r>
      <w:r>
        <w:rPr/>
        <w:t>1977;</w:t>
      </w:r>
      <w:r>
        <w:rPr>
          <w:spacing w:val="-17"/>
        </w:rPr>
        <w:t> </w:t>
      </w:r>
      <w:r>
        <w:rPr/>
        <w:t>Baes</w:t>
      </w:r>
      <w:r>
        <w:rPr>
          <w:spacing w:val="-17"/>
        </w:rPr>
        <w:t> </w:t>
      </w:r>
      <w:r>
        <w:rPr>
          <w:i/>
        </w:rPr>
        <w:t>et</w:t>
      </w:r>
      <w:r>
        <w:rPr>
          <w:i/>
          <w:spacing w:val="-18"/>
        </w:rPr>
        <w:t> </w:t>
      </w:r>
      <w:r>
        <w:rPr>
          <w:i/>
        </w:rPr>
        <w:t>al.</w:t>
      </w:r>
      <w:r>
        <w:rPr/>
        <w:t>,</w:t>
      </w:r>
      <w:r>
        <w:rPr>
          <w:spacing w:val="-17"/>
        </w:rPr>
        <w:t> </w:t>
      </w:r>
      <w:r>
        <w:rPr/>
        <w:t>1980;</w:t>
      </w:r>
      <w:r>
        <w:rPr>
          <w:spacing w:val="-17"/>
        </w:rPr>
        <w:t> </w:t>
      </w:r>
      <w:r>
        <w:rPr/>
        <w:t>Kaarstad,</w:t>
      </w:r>
      <w:r>
        <w:rPr>
          <w:spacing w:val="-18"/>
        </w:rPr>
        <w:t> </w:t>
      </w:r>
      <w:r>
        <w:rPr/>
        <w:t>1992;</w:t>
      </w:r>
      <w:r>
        <w:rPr>
          <w:spacing w:val="-17"/>
        </w:rPr>
        <w:t> </w:t>
      </w:r>
      <w:r>
        <w:rPr/>
        <w:t>Koide</w:t>
      </w:r>
      <w:r>
        <w:rPr>
          <w:spacing w:val="-16"/>
        </w:rPr>
        <w:t> </w:t>
      </w:r>
      <w:r>
        <w:rPr>
          <w:i/>
        </w:rPr>
        <w:t>et</w:t>
      </w:r>
      <w:r>
        <w:rPr>
          <w:i/>
          <w:spacing w:val="-18"/>
        </w:rPr>
        <w:t> </w:t>
      </w:r>
      <w:r>
        <w:rPr>
          <w:i/>
        </w:rPr>
        <w:t>al.</w:t>
      </w:r>
      <w:r>
        <w:rPr/>
        <w:t>, 1992; van der </w:t>
      </w:r>
      <w:r>
        <w:rPr>
          <w:spacing w:val="-3"/>
        </w:rPr>
        <w:t>Meer, </w:t>
      </w:r>
      <w:r>
        <w:rPr/>
        <w:t>1992; Gunter </w:t>
      </w:r>
      <w:r>
        <w:rPr>
          <w:i/>
        </w:rPr>
        <w:t>et al.</w:t>
      </w:r>
      <w:r>
        <w:rPr/>
        <w:t>, 1993; Holloway and Savage, 1993; Bachu </w:t>
      </w:r>
      <w:r>
        <w:rPr>
          <w:i/>
        </w:rPr>
        <w:t>et al.</w:t>
      </w:r>
      <w:r>
        <w:rPr/>
        <w:t>, 1994; Korbol and Kaddour, 1994). The subsurface disposal of acid gas (a by-product of</w:t>
      </w:r>
      <w:r>
        <w:rPr>
          <w:spacing w:val="-18"/>
        </w:rPr>
        <w:t> </w:t>
      </w:r>
      <w:r>
        <w:rPr/>
        <w:t>petroleum production with a CO</w:t>
      </w:r>
      <w:r>
        <w:rPr>
          <w:position w:val="-6"/>
          <w:sz w:val="11"/>
        </w:rPr>
        <w:t>2 </w:t>
      </w:r>
      <w:r>
        <w:rPr/>
        <w:t>content of up to 98%) in the Alberta Basin of Canada and in the United States provides additional useful experience. In 1996, the </w:t>
      </w:r>
      <w:r>
        <w:rPr>
          <w:spacing w:val="-3"/>
        </w:rPr>
        <w:t>world’s </w:t>
      </w:r>
      <w:r>
        <w:rPr/>
        <w:t>first large-scale storage project was initiated by Statoil and its partners at the Sleipner Gas Field in the North</w:t>
      </w:r>
      <w:r>
        <w:rPr>
          <w:spacing w:val="-5"/>
        </w:rPr>
        <w:t> </w:t>
      </w:r>
      <w:r>
        <w:rPr/>
        <w:t>Sea.</w:t>
      </w:r>
    </w:p>
    <w:p>
      <w:pPr>
        <w:pStyle w:val="BodyText"/>
        <w:spacing w:line="240" w:lineRule="exact"/>
        <w:ind w:left="241" w:right="133" w:firstLine="283"/>
        <w:jc w:val="both"/>
      </w:pPr>
      <w:r>
        <w:rPr/>
        <w:t>By the late 1990s, a number of publicly and privately funded research programmes were under way in the United States, Canada, Japan, Europe and Australia. Throughout this time, though less publicly, a number of oil companies became increasingly interested in geological storage as a mitigation option, particularly for gas fields with a high natural CO</w:t>
      </w:r>
      <w:r>
        <w:rPr>
          <w:position w:val="-6"/>
          <w:sz w:val="11"/>
        </w:rPr>
        <w:t>2 </w:t>
      </w:r>
      <w:r>
        <w:rPr/>
        <w:t>content such as Natuna in Indonesia, In Salah in Algeria and Gorgon in Australia. More recently, coal mining companies and</w:t>
      </w:r>
      <w:r>
        <w:rPr>
          <w:spacing w:val="-9"/>
        </w:rPr>
        <w:t> </w:t>
      </w:r>
      <w:r>
        <w:rPr/>
        <w:t>electricity-generation</w:t>
      </w:r>
      <w:r>
        <w:rPr>
          <w:spacing w:val="-9"/>
        </w:rPr>
        <w:t> </w:t>
      </w:r>
      <w:r>
        <w:rPr/>
        <w:t>companies</w:t>
      </w:r>
      <w:r>
        <w:rPr>
          <w:spacing w:val="-9"/>
        </w:rPr>
        <w:t> </w:t>
      </w:r>
      <w:r>
        <w:rPr/>
        <w:t>have</w:t>
      </w:r>
      <w:r>
        <w:rPr>
          <w:spacing w:val="-9"/>
        </w:rPr>
        <w:t> </w:t>
      </w:r>
      <w:r>
        <w:rPr/>
        <w:t>started</w:t>
      </w:r>
      <w:r>
        <w:rPr>
          <w:spacing w:val="-9"/>
        </w:rPr>
        <w:t> </w:t>
      </w:r>
      <w:r>
        <w:rPr/>
        <w:t>to</w:t>
      </w:r>
      <w:r>
        <w:rPr>
          <w:spacing w:val="-9"/>
        </w:rPr>
        <w:t> </w:t>
      </w:r>
      <w:r>
        <w:rPr/>
        <w:t>investigate geological storage as a mitigation option of relevance to their industry.</w:t>
      </w:r>
    </w:p>
    <w:p>
      <w:pPr>
        <w:pStyle w:val="BodyText"/>
        <w:spacing w:before="5"/>
        <w:ind w:left="525"/>
      </w:pPr>
      <w:r>
        <w:rPr/>
        <w:t>In a little over a decade, geological storage of CO</w:t>
      </w:r>
      <w:r>
        <w:rPr>
          <w:position w:val="-6"/>
          <w:sz w:val="11"/>
        </w:rPr>
        <w:t>2 </w:t>
      </w:r>
      <w:r>
        <w:rPr/>
        <w:t>has</w:t>
      </w:r>
    </w:p>
    <w:p>
      <w:pPr>
        <w:spacing w:after="0"/>
        <w:sectPr>
          <w:type w:val="continuous"/>
          <w:pgSz w:w="12240" w:h="15840"/>
          <w:pgMar w:top="400" w:bottom="280" w:left="580" w:right="600"/>
          <w:cols w:num="2" w:equalWidth="0">
            <w:col w:w="5599" w:space="40"/>
            <w:col w:w="5421"/>
          </w:cols>
        </w:sectPr>
      </w:pPr>
    </w:p>
    <w:p>
      <w:pPr>
        <w:pStyle w:val="BodyText"/>
        <w:spacing w:before="1"/>
        <w:rPr>
          <w:sz w:val="16"/>
        </w:rPr>
      </w:pPr>
    </w:p>
    <w:p>
      <w:pPr>
        <w:pStyle w:val="BodyText"/>
        <w:ind w:left="731"/>
      </w:pPr>
      <w:r>
        <w:rPr/>
        <w:drawing>
          <wp:inline distT="0" distB="0" distL="0" distR="0">
            <wp:extent cx="6361252" cy="4526280"/>
            <wp:effectExtent l="0" t="0" r="0" b="0"/>
            <wp:docPr id="1" name="image9.jpeg"/>
            <wp:cNvGraphicFramePr>
              <a:graphicFrameLocks noChangeAspect="1"/>
            </wp:cNvGraphicFramePr>
            <a:graphic>
              <a:graphicData uri="http://schemas.openxmlformats.org/drawingml/2006/picture">
                <pic:pic>
                  <pic:nvPicPr>
                    <pic:cNvPr id="2" name="image9.jpeg"/>
                    <pic:cNvPicPr/>
                  </pic:nvPicPr>
                  <pic:blipFill>
                    <a:blip r:embed="rId15" cstate="print"/>
                    <a:stretch>
                      <a:fillRect/>
                    </a:stretch>
                  </pic:blipFill>
                  <pic:spPr>
                    <a:xfrm>
                      <a:off x="0" y="0"/>
                      <a:ext cx="6361252" cy="4526280"/>
                    </a:xfrm>
                    <a:prstGeom prst="rect">
                      <a:avLst/>
                    </a:prstGeom>
                  </pic:spPr>
                </pic:pic>
              </a:graphicData>
            </a:graphic>
          </wp:inline>
        </w:drawing>
      </w:r>
      <w:r>
        <w:rPr/>
      </w:r>
    </w:p>
    <w:p>
      <w:pPr>
        <w:spacing w:before="93"/>
        <w:ind w:left="553" w:right="0" w:firstLine="0"/>
        <w:jc w:val="left"/>
        <w:rPr>
          <w:sz w:val="18"/>
        </w:rPr>
      </w:pPr>
      <w:r>
        <w:rPr>
          <w:b/>
          <w:sz w:val="18"/>
        </w:rPr>
        <w:t>Figure 5.3 </w:t>
      </w:r>
      <w:r>
        <w:rPr>
          <w:sz w:val="18"/>
        </w:rPr>
        <w:t>Options for storing CO</w:t>
      </w:r>
      <w:r>
        <w:rPr>
          <w:position w:val="-5"/>
          <w:sz w:val="10"/>
        </w:rPr>
        <w:t>2 </w:t>
      </w:r>
      <w:r>
        <w:rPr>
          <w:sz w:val="18"/>
        </w:rPr>
        <w:t>in deep underground geological formations (after Cook, 1999).</w:t>
      </w:r>
    </w:p>
    <w:p>
      <w:pPr>
        <w:spacing w:after="0"/>
        <w:jc w:val="left"/>
        <w:rPr>
          <w:sz w:val="18"/>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jc w:val="both"/>
      </w:pPr>
      <w:r>
        <w:rPr/>
        <w:t>grown from a concept of limited interest to one that is quite widely regarded as a potentially important mitigation option </w:t>
      </w:r>
      <w:hyperlink w:history="true" w:anchor="_bookmark0">
        <w:r>
          <w:rPr/>
          <w:t>(Figure</w:t>
        </w:r>
        <w:r>
          <w:rPr>
            <w:spacing w:val="-13"/>
          </w:rPr>
          <w:t> </w:t>
        </w:r>
      </w:hyperlink>
      <w:r>
        <w:rPr/>
        <w:t>5.1).</w:t>
      </w:r>
      <w:r>
        <w:rPr>
          <w:spacing w:val="-16"/>
        </w:rPr>
        <w:t> </w:t>
      </w:r>
      <w:r>
        <w:rPr/>
        <w:t>There</w:t>
      </w:r>
      <w:r>
        <w:rPr>
          <w:spacing w:val="-12"/>
        </w:rPr>
        <w:t> </w:t>
      </w:r>
      <w:r>
        <w:rPr/>
        <w:t>are</w:t>
      </w:r>
      <w:r>
        <w:rPr>
          <w:spacing w:val="-12"/>
        </w:rPr>
        <w:t> </w:t>
      </w:r>
      <w:r>
        <w:rPr/>
        <w:t>several</w:t>
      </w:r>
      <w:r>
        <w:rPr>
          <w:spacing w:val="-12"/>
        </w:rPr>
        <w:t> </w:t>
      </w:r>
      <w:r>
        <w:rPr/>
        <w:t>reasons</w:t>
      </w:r>
      <w:r>
        <w:rPr>
          <w:spacing w:val="-12"/>
        </w:rPr>
        <w:t> </w:t>
      </w:r>
      <w:r>
        <w:rPr/>
        <w:t>for</w:t>
      </w:r>
      <w:r>
        <w:rPr>
          <w:spacing w:val="-12"/>
        </w:rPr>
        <w:t> </w:t>
      </w:r>
      <w:r>
        <w:rPr/>
        <w:t>this.</w:t>
      </w:r>
      <w:r>
        <w:rPr>
          <w:spacing w:val="-12"/>
        </w:rPr>
        <w:t> </w:t>
      </w:r>
      <w:r>
        <w:rPr/>
        <w:t>First,</w:t>
      </w:r>
      <w:r>
        <w:rPr>
          <w:spacing w:val="-12"/>
        </w:rPr>
        <w:t> </w:t>
      </w:r>
      <w:r>
        <w:rPr/>
        <w:t>as</w:t>
      </w:r>
      <w:r>
        <w:rPr>
          <w:spacing w:val="-12"/>
        </w:rPr>
        <w:t> </w:t>
      </w:r>
      <w:r>
        <w:rPr/>
        <w:t>research</w:t>
      </w:r>
      <w:bookmarkStart w:name="5.1.2 Existing and planned CO2 projects" w:id="11"/>
      <w:bookmarkEnd w:id="11"/>
      <w:r>
        <w:rPr/>
      </w:r>
      <w:r>
        <w:rPr/>
        <w:t> has progressed and as demonstration and commercial projects have been successfully undertaken,  the  level  of</w:t>
      </w:r>
      <w:r>
        <w:rPr>
          <w:spacing w:val="28"/>
        </w:rPr>
        <w:t> </w:t>
      </w:r>
      <w:r>
        <w:rPr/>
        <w:t>confidence in the technology has increased. Second, there is consensus that a broad portfolio of mitigation options is needed. Third, geological</w:t>
      </w:r>
      <w:r>
        <w:rPr>
          <w:spacing w:val="-10"/>
        </w:rPr>
        <w:t> </w:t>
      </w:r>
      <w:r>
        <w:rPr/>
        <w:t>storage</w:t>
      </w:r>
      <w:r>
        <w:rPr>
          <w:spacing w:val="-10"/>
        </w:rPr>
        <w:t> </w:t>
      </w:r>
      <w:r>
        <w:rPr/>
        <w:t>(in</w:t>
      </w:r>
      <w:r>
        <w:rPr>
          <w:spacing w:val="-10"/>
        </w:rPr>
        <w:t> </w:t>
      </w:r>
      <w:r>
        <w:rPr/>
        <w:t>conjunction</w:t>
      </w:r>
      <w:r>
        <w:rPr>
          <w:spacing w:val="-9"/>
        </w:rPr>
        <w:t> </w:t>
      </w:r>
      <w:r>
        <w:rPr/>
        <w:t>with</w:t>
      </w:r>
      <w:r>
        <w:rPr>
          <w:spacing w:val="-10"/>
        </w:rPr>
        <w:t> </w:t>
      </w:r>
      <w:r>
        <w:rPr/>
        <w:t>CO</w:t>
      </w:r>
      <w:r>
        <w:rPr>
          <w:position w:val="-6"/>
          <w:sz w:val="11"/>
        </w:rPr>
        <w:t>2</w:t>
      </w:r>
      <w:r>
        <w:rPr>
          <w:spacing w:val="12"/>
          <w:position w:val="-6"/>
          <w:sz w:val="11"/>
        </w:rPr>
        <w:t> </w:t>
      </w:r>
      <w:r>
        <w:rPr/>
        <w:t>capture)</w:t>
      </w:r>
      <w:r>
        <w:rPr>
          <w:spacing w:val="-9"/>
        </w:rPr>
        <w:t> </w:t>
      </w:r>
      <w:r>
        <w:rPr/>
        <w:t>could</w:t>
      </w:r>
      <w:r>
        <w:rPr>
          <w:spacing w:val="-10"/>
        </w:rPr>
        <w:t> </w:t>
      </w:r>
      <w:r>
        <w:rPr/>
        <w:t>help to make deep cuts to atmospheric CO</w:t>
      </w:r>
      <w:r>
        <w:rPr>
          <w:position w:val="-6"/>
          <w:sz w:val="11"/>
        </w:rPr>
        <w:t>2  </w:t>
      </w:r>
      <w:r>
        <w:rPr/>
        <w:t>emissions. However,   if that potential is to be realized, the technique must be safe, environmentally sustainable, cost-effective and capable of being broadly applied. This chapter explores these</w:t>
      </w:r>
      <w:r>
        <w:rPr>
          <w:spacing w:val="-4"/>
        </w:rPr>
        <w:t> </w:t>
      </w:r>
      <w:r>
        <w:rPr/>
        <w:t>issues.</w:t>
      </w:r>
    </w:p>
    <w:p>
      <w:pPr>
        <w:pStyle w:val="BodyText"/>
        <w:spacing w:line="240" w:lineRule="exact"/>
        <w:ind w:left="157" w:right="38" w:firstLine="283"/>
        <w:jc w:val="both"/>
      </w:pPr>
      <w:r>
        <w:rPr>
          <w:spacing w:val="-7"/>
        </w:rPr>
        <w:t>To </w:t>
      </w:r>
      <w:r>
        <w:rPr/>
        <w:t>geologically store CO</w:t>
      </w:r>
      <w:r>
        <w:rPr>
          <w:position w:val="-6"/>
          <w:sz w:val="11"/>
        </w:rPr>
        <w:t>2</w:t>
      </w:r>
      <w:r>
        <w:rPr/>
        <w:t>, it must first be compressed, usually to a dense fluid state known as ‘supercritical’ (see Glossary). Depending on the rate that temperature increases with depth (the geothermal gradient), the density of CO</w:t>
      </w:r>
      <w:r>
        <w:rPr>
          <w:position w:val="-6"/>
          <w:sz w:val="11"/>
        </w:rPr>
        <w:t>2 </w:t>
      </w:r>
      <w:r>
        <w:rPr/>
        <w:t>will increase</w:t>
      </w:r>
      <w:r>
        <w:rPr>
          <w:spacing w:val="-8"/>
        </w:rPr>
        <w:t> </w:t>
      </w:r>
      <w:r>
        <w:rPr/>
        <w:t>with</w:t>
      </w:r>
      <w:r>
        <w:rPr>
          <w:spacing w:val="-8"/>
        </w:rPr>
        <w:t> </w:t>
      </w:r>
      <w:r>
        <w:rPr/>
        <w:t>depth,</w:t>
      </w:r>
      <w:r>
        <w:rPr>
          <w:spacing w:val="-8"/>
        </w:rPr>
        <w:t> </w:t>
      </w:r>
      <w:r>
        <w:rPr/>
        <w:t>until</w:t>
      </w:r>
      <w:r>
        <w:rPr>
          <w:spacing w:val="-8"/>
        </w:rPr>
        <w:t> </w:t>
      </w:r>
      <w:r>
        <w:rPr/>
        <w:t>at</w:t>
      </w:r>
      <w:r>
        <w:rPr>
          <w:spacing w:val="-8"/>
        </w:rPr>
        <w:t> </w:t>
      </w:r>
      <w:r>
        <w:rPr/>
        <w:t>about</w:t>
      </w:r>
      <w:r>
        <w:rPr>
          <w:spacing w:val="-8"/>
        </w:rPr>
        <w:t> </w:t>
      </w:r>
      <w:r>
        <w:rPr/>
        <w:t>800</w:t>
      </w:r>
      <w:r>
        <w:rPr>
          <w:spacing w:val="-8"/>
        </w:rPr>
        <w:t> </w:t>
      </w:r>
      <w:r>
        <w:rPr/>
        <w:t>m</w:t>
      </w:r>
      <w:r>
        <w:rPr>
          <w:spacing w:val="-8"/>
        </w:rPr>
        <w:t> </w:t>
      </w:r>
      <w:r>
        <w:rPr/>
        <w:t>or</w:t>
      </w:r>
      <w:r>
        <w:rPr>
          <w:spacing w:val="-8"/>
        </w:rPr>
        <w:t> </w:t>
      </w:r>
      <w:r>
        <w:rPr/>
        <w:t>greater,</w:t>
      </w:r>
      <w:r>
        <w:rPr>
          <w:spacing w:val="-8"/>
        </w:rPr>
        <w:t> </w:t>
      </w:r>
      <w:r>
        <w:rPr/>
        <w:t>the</w:t>
      </w:r>
      <w:r>
        <w:rPr>
          <w:spacing w:val="-8"/>
        </w:rPr>
        <w:t> </w:t>
      </w:r>
      <w:r>
        <w:rPr/>
        <w:t>injected CO</w:t>
      </w:r>
      <w:r>
        <w:rPr>
          <w:position w:val="-6"/>
          <w:sz w:val="11"/>
        </w:rPr>
        <w:t>2 </w:t>
      </w:r>
      <w:r>
        <w:rPr/>
        <w:t>will be in a dense supercritical state </w:t>
      </w:r>
      <w:hyperlink w:history="true" w:anchor="_bookmark1">
        <w:r>
          <w:rPr/>
          <w:t>(Figure</w:t>
        </w:r>
      </w:hyperlink>
      <w:r>
        <w:rPr>
          <w:spacing w:val="-14"/>
        </w:rPr>
        <w:t> </w:t>
      </w:r>
      <w:r>
        <w:rPr/>
        <w:t>5.2).</w:t>
      </w:r>
    </w:p>
    <w:p>
      <w:pPr>
        <w:pStyle w:val="BodyText"/>
        <w:spacing w:line="240" w:lineRule="exact"/>
        <w:ind w:left="157" w:right="41" w:firstLine="283"/>
        <w:jc w:val="both"/>
      </w:pPr>
      <w:r>
        <w:rPr/>
        <w:t>Geological storage of CO</w:t>
      </w:r>
      <w:r>
        <w:rPr>
          <w:position w:val="-6"/>
          <w:sz w:val="11"/>
        </w:rPr>
        <w:t>2 </w:t>
      </w:r>
      <w:r>
        <w:rPr/>
        <w:t>can be undertaken in a variety  of geological settings in sedimentary basins. Within these basins,</w:t>
      </w:r>
      <w:r>
        <w:rPr>
          <w:spacing w:val="-14"/>
        </w:rPr>
        <w:t> </w:t>
      </w:r>
      <w:r>
        <w:rPr/>
        <w:t>oil</w:t>
      </w:r>
      <w:r>
        <w:rPr>
          <w:spacing w:val="-13"/>
        </w:rPr>
        <w:t> </w:t>
      </w:r>
      <w:r>
        <w:rPr/>
        <w:t>fields,</w:t>
      </w:r>
      <w:r>
        <w:rPr>
          <w:spacing w:val="-13"/>
        </w:rPr>
        <w:t> </w:t>
      </w:r>
      <w:r>
        <w:rPr/>
        <w:t>depleted</w:t>
      </w:r>
      <w:r>
        <w:rPr>
          <w:spacing w:val="-13"/>
        </w:rPr>
        <w:t> </w:t>
      </w:r>
      <w:r>
        <w:rPr/>
        <w:t>gas</w:t>
      </w:r>
      <w:r>
        <w:rPr>
          <w:spacing w:val="-13"/>
        </w:rPr>
        <w:t> </w:t>
      </w:r>
      <w:r>
        <w:rPr/>
        <w:t>fields,</w:t>
      </w:r>
      <w:r>
        <w:rPr>
          <w:spacing w:val="-13"/>
        </w:rPr>
        <w:t> </w:t>
      </w:r>
      <w:r>
        <w:rPr/>
        <w:t>deep</w:t>
      </w:r>
      <w:r>
        <w:rPr>
          <w:spacing w:val="-13"/>
        </w:rPr>
        <w:t> </w:t>
      </w:r>
      <w:r>
        <w:rPr/>
        <w:t>coal</w:t>
      </w:r>
      <w:r>
        <w:rPr>
          <w:spacing w:val="-13"/>
        </w:rPr>
        <w:t> </w:t>
      </w:r>
      <w:r>
        <w:rPr/>
        <w:t>seams</w:t>
      </w:r>
      <w:r>
        <w:rPr>
          <w:spacing w:val="-13"/>
        </w:rPr>
        <w:t> </w:t>
      </w:r>
      <w:r>
        <w:rPr/>
        <w:t>and</w:t>
      </w:r>
      <w:r>
        <w:rPr>
          <w:spacing w:val="-13"/>
        </w:rPr>
        <w:t> </w:t>
      </w:r>
      <w:r>
        <w:rPr/>
        <w:t>saline formations are all possible storage </w:t>
      </w:r>
      <w:hyperlink w:history="true" w:anchor="_bookmark2">
        <w:r>
          <w:rPr/>
          <w:t>formations (Figure</w:t>
        </w:r>
      </w:hyperlink>
      <w:r>
        <w:rPr>
          <w:spacing w:val="-5"/>
        </w:rPr>
        <w:t> </w:t>
      </w:r>
      <w:r>
        <w:rPr/>
        <w:t>5.3).</w:t>
      </w:r>
    </w:p>
    <w:p>
      <w:pPr>
        <w:pStyle w:val="BodyText"/>
        <w:spacing w:line="249" w:lineRule="auto" w:before="5"/>
        <w:ind w:left="157" w:right="38" w:firstLine="283"/>
        <w:jc w:val="both"/>
      </w:pPr>
      <w:r>
        <w:rPr/>
        <w:t>Subsurface geological storage is possible both onshore  and offshore, with offshore sites accessed through pipelines from the shore or from offshore platforms. The continental shelf and some adjacent deep-marine sedimentary basins are potential offshore storage sites, but the majority of sediments of the abyssal deep ocean floor are too thin and impermeable to be suitable for geological storage (Cook and Carleton, 2000). In addition to storage in sedimentary formations, some consideration has been given to storage in caverns, basalt and organic-rich shales (Section</w:t>
      </w:r>
      <w:r>
        <w:rPr>
          <w:spacing w:val="-2"/>
        </w:rPr>
        <w:t> </w:t>
      </w:r>
      <w:r>
        <w:rPr/>
        <w:t>5.3.5).</w:t>
      </w:r>
    </w:p>
    <w:p>
      <w:pPr>
        <w:pStyle w:val="BodyText"/>
        <w:spacing w:line="240" w:lineRule="exact" w:before="3"/>
        <w:ind w:left="157" w:right="38" w:firstLine="283"/>
        <w:jc w:val="both"/>
      </w:pPr>
      <w:r>
        <w:rPr/>
        <w:t>Fluids have been injected on a massive scale into the deep subsurface for many years to dispose of unwanted chemicals, pollutants or by-products of petroleum production, to </w:t>
      </w:r>
      <w:r>
        <w:rPr>
          <w:spacing w:val="-3"/>
        </w:rPr>
        <w:t>enhance </w:t>
      </w:r>
      <w:r>
        <w:rPr/>
        <w:t>the</w:t>
      </w:r>
      <w:r>
        <w:rPr>
          <w:spacing w:val="-7"/>
        </w:rPr>
        <w:t> </w:t>
      </w:r>
      <w:r>
        <w:rPr/>
        <w:t>production</w:t>
      </w:r>
      <w:r>
        <w:rPr>
          <w:spacing w:val="-6"/>
        </w:rPr>
        <w:t> </w:t>
      </w:r>
      <w:r>
        <w:rPr/>
        <w:t>of</w:t>
      </w:r>
      <w:r>
        <w:rPr>
          <w:spacing w:val="-7"/>
        </w:rPr>
        <w:t> </w:t>
      </w:r>
      <w:r>
        <w:rPr/>
        <w:t>oil</w:t>
      </w:r>
      <w:r>
        <w:rPr>
          <w:spacing w:val="-6"/>
        </w:rPr>
        <w:t> </w:t>
      </w:r>
      <w:r>
        <w:rPr/>
        <w:t>and</w:t>
      </w:r>
      <w:r>
        <w:rPr>
          <w:spacing w:val="-6"/>
        </w:rPr>
        <w:t> </w:t>
      </w:r>
      <w:r>
        <w:rPr/>
        <w:t>gas</w:t>
      </w:r>
      <w:r>
        <w:rPr>
          <w:spacing w:val="-7"/>
        </w:rPr>
        <w:t> </w:t>
      </w:r>
      <w:r>
        <w:rPr/>
        <w:t>or</w:t>
      </w:r>
      <w:r>
        <w:rPr>
          <w:spacing w:val="-6"/>
        </w:rPr>
        <w:t> </w:t>
      </w:r>
      <w:r>
        <w:rPr/>
        <w:t>to</w:t>
      </w:r>
      <w:r>
        <w:rPr>
          <w:spacing w:val="-7"/>
        </w:rPr>
        <w:t> </w:t>
      </w:r>
      <w:r>
        <w:rPr/>
        <w:t>recharge</w:t>
      </w:r>
      <w:r>
        <w:rPr>
          <w:spacing w:val="-6"/>
        </w:rPr>
        <w:t> </w:t>
      </w:r>
      <w:r>
        <w:rPr/>
        <w:t>depleted</w:t>
      </w:r>
      <w:r>
        <w:rPr>
          <w:spacing w:val="-6"/>
        </w:rPr>
        <w:t> </w:t>
      </w:r>
      <w:r>
        <w:rPr/>
        <w:t>formations (Wilson </w:t>
      </w:r>
      <w:r>
        <w:rPr>
          <w:i/>
        </w:rPr>
        <w:t>et al.</w:t>
      </w:r>
      <w:r>
        <w:rPr/>
        <w:t>, 2003). The principles involved in such</w:t>
      </w:r>
      <w:r>
        <w:rPr>
          <w:spacing w:val="-21"/>
        </w:rPr>
        <w:t> </w:t>
      </w:r>
      <w:r>
        <w:rPr/>
        <w:t>activities are well established and in most countries there are regulations governing these activities. Natural gas has also been injected and</w:t>
      </w:r>
      <w:r>
        <w:rPr>
          <w:spacing w:val="-12"/>
        </w:rPr>
        <w:t> </w:t>
      </w:r>
      <w:r>
        <w:rPr/>
        <w:t>stored</w:t>
      </w:r>
      <w:r>
        <w:rPr>
          <w:spacing w:val="-12"/>
        </w:rPr>
        <w:t> </w:t>
      </w:r>
      <w:r>
        <w:rPr/>
        <w:t>in</w:t>
      </w:r>
      <w:r>
        <w:rPr>
          <w:spacing w:val="-11"/>
        </w:rPr>
        <w:t> </w:t>
      </w:r>
      <w:r>
        <w:rPr/>
        <w:t>the</w:t>
      </w:r>
      <w:r>
        <w:rPr>
          <w:spacing w:val="-12"/>
        </w:rPr>
        <w:t> </w:t>
      </w:r>
      <w:r>
        <w:rPr/>
        <w:t>subsurface</w:t>
      </w:r>
      <w:r>
        <w:rPr>
          <w:spacing w:val="-12"/>
        </w:rPr>
        <w:t> </w:t>
      </w:r>
      <w:r>
        <w:rPr/>
        <w:t>on</w:t>
      </w:r>
      <w:r>
        <w:rPr>
          <w:spacing w:val="-11"/>
        </w:rPr>
        <w:t> </w:t>
      </w:r>
      <w:r>
        <w:rPr/>
        <w:t>a</w:t>
      </w:r>
      <w:r>
        <w:rPr>
          <w:spacing w:val="-12"/>
        </w:rPr>
        <w:t> </w:t>
      </w:r>
      <w:r>
        <w:rPr/>
        <w:t>large</w:t>
      </w:r>
      <w:r>
        <w:rPr>
          <w:spacing w:val="-11"/>
        </w:rPr>
        <w:t> </w:t>
      </w:r>
      <w:r>
        <w:rPr/>
        <w:t>scale</w:t>
      </w:r>
      <w:r>
        <w:rPr>
          <w:spacing w:val="-12"/>
        </w:rPr>
        <w:t> </w:t>
      </w:r>
      <w:r>
        <w:rPr/>
        <w:t>in</w:t>
      </w:r>
      <w:r>
        <w:rPr>
          <w:spacing w:val="-12"/>
        </w:rPr>
        <w:t> </w:t>
      </w:r>
      <w:r>
        <w:rPr/>
        <w:t>many</w:t>
      </w:r>
      <w:r>
        <w:rPr>
          <w:spacing w:val="-11"/>
        </w:rPr>
        <w:t> </w:t>
      </w:r>
      <w:r>
        <w:rPr/>
        <w:t>parts</w:t>
      </w:r>
      <w:r>
        <w:rPr>
          <w:spacing w:val="-12"/>
        </w:rPr>
        <w:t> </w:t>
      </w:r>
      <w:r>
        <w:rPr/>
        <w:t>of</w:t>
      </w:r>
      <w:r>
        <w:rPr>
          <w:spacing w:val="-11"/>
        </w:rPr>
        <w:t> </w:t>
      </w:r>
      <w:r>
        <w:rPr/>
        <w:t>the world</w:t>
      </w:r>
      <w:r>
        <w:rPr>
          <w:spacing w:val="-6"/>
        </w:rPr>
        <w:t> </w:t>
      </w:r>
      <w:r>
        <w:rPr/>
        <w:t>for</w:t>
      </w:r>
      <w:r>
        <w:rPr>
          <w:spacing w:val="-5"/>
        </w:rPr>
        <w:t> </w:t>
      </w:r>
      <w:r>
        <w:rPr/>
        <w:t>many</w:t>
      </w:r>
      <w:r>
        <w:rPr>
          <w:spacing w:val="-5"/>
        </w:rPr>
        <w:t> </w:t>
      </w:r>
      <w:r>
        <w:rPr/>
        <w:t>years.</w:t>
      </w:r>
      <w:r>
        <w:rPr>
          <w:spacing w:val="-5"/>
        </w:rPr>
        <w:t> </w:t>
      </w:r>
      <w:r>
        <w:rPr/>
        <w:t>Injection</w:t>
      </w:r>
      <w:r>
        <w:rPr>
          <w:spacing w:val="-5"/>
        </w:rPr>
        <w:t> </w:t>
      </w:r>
      <w:r>
        <w:rPr/>
        <w:t>of</w:t>
      </w:r>
      <w:r>
        <w:rPr>
          <w:spacing w:val="-5"/>
        </w:rPr>
        <w:t> </w:t>
      </w:r>
      <w:r>
        <w:rPr/>
        <w:t>CO</w:t>
      </w:r>
      <w:r>
        <w:rPr>
          <w:position w:val="-6"/>
          <w:sz w:val="11"/>
        </w:rPr>
        <w:t>2</w:t>
      </w:r>
      <w:r>
        <w:rPr>
          <w:spacing w:val="18"/>
          <w:position w:val="-6"/>
          <w:sz w:val="11"/>
        </w:rPr>
        <w:t> </w:t>
      </w:r>
      <w:r>
        <w:rPr/>
        <w:t>to</w:t>
      </w:r>
      <w:r>
        <w:rPr>
          <w:spacing w:val="-5"/>
        </w:rPr>
        <w:t> </w:t>
      </w:r>
      <w:r>
        <w:rPr/>
        <w:t>date</w:t>
      </w:r>
      <w:r>
        <w:rPr>
          <w:spacing w:val="-6"/>
        </w:rPr>
        <w:t> </w:t>
      </w:r>
      <w:r>
        <w:rPr/>
        <w:t>has</w:t>
      </w:r>
      <w:r>
        <w:rPr>
          <w:spacing w:val="-5"/>
        </w:rPr>
        <w:t> </w:t>
      </w:r>
      <w:r>
        <w:rPr/>
        <w:t>been</w:t>
      </w:r>
      <w:r>
        <w:rPr>
          <w:spacing w:val="-5"/>
        </w:rPr>
        <w:t> </w:t>
      </w:r>
      <w:r>
        <w:rPr/>
        <w:t>done</w:t>
      </w:r>
      <w:r>
        <w:rPr>
          <w:spacing w:val="-5"/>
        </w:rPr>
        <w:t> </w:t>
      </w:r>
      <w:r>
        <w:rPr/>
        <w:t>at a</w:t>
      </w:r>
      <w:r>
        <w:rPr>
          <w:spacing w:val="-5"/>
        </w:rPr>
        <w:t> </w:t>
      </w:r>
      <w:r>
        <w:rPr/>
        <w:t>relatively</w:t>
      </w:r>
      <w:r>
        <w:rPr>
          <w:spacing w:val="-5"/>
        </w:rPr>
        <w:t> </w:t>
      </w:r>
      <w:r>
        <w:rPr/>
        <w:t>small</w:t>
      </w:r>
      <w:r>
        <w:rPr>
          <w:spacing w:val="-5"/>
        </w:rPr>
        <w:t> </w:t>
      </w:r>
      <w:r>
        <w:rPr/>
        <w:t>scale,</w:t>
      </w:r>
      <w:r>
        <w:rPr>
          <w:spacing w:val="-5"/>
        </w:rPr>
        <w:t> </w:t>
      </w:r>
      <w:r>
        <w:rPr/>
        <w:t>but</w:t>
      </w:r>
      <w:r>
        <w:rPr>
          <w:spacing w:val="-5"/>
        </w:rPr>
        <w:t> </w:t>
      </w:r>
      <w:r>
        <w:rPr/>
        <w:t>if</w:t>
      </w:r>
      <w:r>
        <w:rPr>
          <w:spacing w:val="-4"/>
        </w:rPr>
        <w:t> </w:t>
      </w:r>
      <w:r>
        <w:rPr/>
        <w:t>it</w:t>
      </w:r>
      <w:r>
        <w:rPr>
          <w:spacing w:val="-5"/>
        </w:rPr>
        <w:t> </w:t>
      </w:r>
      <w:r>
        <w:rPr/>
        <w:t>were</w:t>
      </w:r>
      <w:r>
        <w:rPr>
          <w:spacing w:val="-5"/>
        </w:rPr>
        <w:t> </w:t>
      </w:r>
      <w:r>
        <w:rPr/>
        <w:t>to</w:t>
      </w:r>
      <w:r>
        <w:rPr>
          <w:spacing w:val="-5"/>
        </w:rPr>
        <w:t> </w:t>
      </w:r>
      <w:r>
        <w:rPr/>
        <w:t>be</w:t>
      </w:r>
      <w:r>
        <w:rPr>
          <w:spacing w:val="-5"/>
        </w:rPr>
        <w:t> </w:t>
      </w:r>
      <w:r>
        <w:rPr/>
        <w:t>used</w:t>
      </w:r>
      <w:r>
        <w:rPr>
          <w:spacing w:val="-4"/>
        </w:rPr>
        <w:t> </w:t>
      </w:r>
      <w:r>
        <w:rPr/>
        <w:t>to</w:t>
      </w:r>
      <w:r>
        <w:rPr>
          <w:spacing w:val="-5"/>
        </w:rPr>
        <w:t> </w:t>
      </w:r>
      <w:r>
        <w:rPr/>
        <w:t>significantly decrease emissions from existing stationary sources, then the injection rates would have to be at a scale similar to other injection operations under way at</w:t>
      </w:r>
      <w:r>
        <w:rPr>
          <w:spacing w:val="-2"/>
        </w:rPr>
        <w:t> </w:t>
      </w:r>
      <w:r>
        <w:rPr/>
        <w:t>present.</w:t>
      </w:r>
    </w:p>
    <w:p>
      <w:pPr>
        <w:pStyle w:val="BodyText"/>
        <w:spacing w:line="240" w:lineRule="exact"/>
        <w:ind w:left="157" w:right="38" w:firstLine="283"/>
        <w:jc w:val="both"/>
      </w:pPr>
      <w:r>
        <w:rPr/>
        <w:t>But what is the </w:t>
      </w:r>
      <w:r>
        <w:rPr>
          <w:spacing w:val="-3"/>
        </w:rPr>
        <w:t>world’s </w:t>
      </w:r>
      <w:r>
        <w:rPr/>
        <w:t>geological storage capacity and does it occur where we need it? These questions were first raised in Chapter 2, but Section 5.3.8 of this chapter considers geographical matching of CO</w:t>
      </w:r>
      <w:r>
        <w:rPr>
          <w:position w:val="-6"/>
          <w:sz w:val="11"/>
        </w:rPr>
        <w:t>2 </w:t>
      </w:r>
      <w:r>
        <w:rPr/>
        <w:t>sources to geological storage sites in detail. Not all sedimentary basins are suitable for CO</w:t>
      </w:r>
      <w:r>
        <w:rPr>
          <w:position w:val="-6"/>
          <w:sz w:val="11"/>
        </w:rPr>
        <w:t>2 </w:t>
      </w:r>
      <w:r>
        <w:rPr/>
        <w:t>storage; some are too shallow and others are dominated by rocks with low permeability or poor confining characteristics. Basins suitable for CO</w:t>
      </w:r>
      <w:r>
        <w:rPr>
          <w:position w:val="-6"/>
          <w:sz w:val="11"/>
        </w:rPr>
        <w:t>2 </w:t>
      </w:r>
      <w:r>
        <w:rPr/>
        <w:t>storage have characteristics such as thick accumulations of sediments, permeable rock formations saturated</w:t>
      </w:r>
      <w:r>
        <w:rPr>
          <w:spacing w:val="-16"/>
        </w:rPr>
        <w:t> </w:t>
      </w:r>
      <w:r>
        <w:rPr/>
        <w:t>with</w:t>
      </w:r>
      <w:r>
        <w:rPr>
          <w:spacing w:val="-16"/>
        </w:rPr>
        <w:t> </w:t>
      </w:r>
      <w:r>
        <w:rPr/>
        <w:t>saline</w:t>
      </w:r>
      <w:r>
        <w:rPr>
          <w:spacing w:val="-15"/>
        </w:rPr>
        <w:t> </w:t>
      </w:r>
      <w:r>
        <w:rPr/>
        <w:t>water</w:t>
      </w:r>
      <w:r>
        <w:rPr>
          <w:spacing w:val="-16"/>
        </w:rPr>
        <w:t> </w:t>
      </w:r>
      <w:r>
        <w:rPr/>
        <w:t>(saline</w:t>
      </w:r>
      <w:r>
        <w:rPr>
          <w:spacing w:val="-15"/>
        </w:rPr>
        <w:t> </w:t>
      </w:r>
      <w:r>
        <w:rPr/>
        <w:t>formations),</w:t>
      </w:r>
      <w:r>
        <w:rPr>
          <w:spacing w:val="-16"/>
        </w:rPr>
        <w:t> </w:t>
      </w:r>
      <w:r>
        <w:rPr/>
        <w:t>extensive</w:t>
      </w:r>
      <w:r>
        <w:rPr>
          <w:spacing w:val="-16"/>
        </w:rPr>
        <w:t> </w:t>
      </w:r>
      <w:r>
        <w:rPr/>
        <w:t>covers of low porosity rocks (acting as seals) and structural</w:t>
      </w:r>
      <w:r>
        <w:rPr>
          <w:spacing w:val="-31"/>
        </w:rPr>
        <w:t> </w:t>
      </w:r>
      <w:r>
        <w:rPr>
          <w:spacing w:val="-3"/>
        </w:rPr>
        <w:t>simplicity.</w:t>
      </w:r>
    </w:p>
    <w:p>
      <w:pPr>
        <w:pStyle w:val="BodyText"/>
        <w:spacing w:before="63"/>
        <w:ind w:left="157"/>
        <w:jc w:val="both"/>
      </w:pPr>
      <w:r>
        <w:rPr/>
        <w:br w:type="column"/>
      </w:r>
      <w:r>
        <w:rPr/>
        <w:t>While many basins show such features, many others do not.</w:t>
      </w:r>
    </w:p>
    <w:p>
      <w:pPr>
        <w:pStyle w:val="BodyText"/>
        <w:spacing w:line="240" w:lineRule="exact" w:before="5"/>
        <w:ind w:left="157" w:right="529" w:firstLine="283"/>
        <w:jc w:val="both"/>
      </w:pPr>
      <w:r>
        <w:rPr/>
        <w:t>Is there likely to be sufficient storage capacity to meet the </w:t>
      </w:r>
      <w:r>
        <w:rPr>
          <w:spacing w:val="-3"/>
        </w:rPr>
        <w:t>world’s</w:t>
      </w:r>
      <w:r>
        <w:rPr>
          <w:spacing w:val="-29"/>
        </w:rPr>
        <w:t> </w:t>
      </w:r>
      <w:r>
        <w:rPr/>
        <w:t>needs</w:t>
      </w:r>
      <w:r>
        <w:rPr>
          <w:spacing w:val="-29"/>
        </w:rPr>
        <w:t> </w:t>
      </w:r>
      <w:r>
        <w:rPr/>
        <w:t>in</w:t>
      </w:r>
      <w:r>
        <w:rPr>
          <w:spacing w:val="-29"/>
        </w:rPr>
        <w:t> </w:t>
      </w:r>
      <w:r>
        <w:rPr/>
        <w:t>the</w:t>
      </w:r>
      <w:r>
        <w:rPr>
          <w:spacing w:val="-28"/>
        </w:rPr>
        <w:t> </w:t>
      </w:r>
      <w:r>
        <w:rPr/>
        <w:t>years</w:t>
      </w:r>
      <w:r>
        <w:rPr>
          <w:spacing w:val="-29"/>
        </w:rPr>
        <w:t> </w:t>
      </w:r>
      <w:r>
        <w:rPr/>
        <w:t>ahead?</w:t>
      </w:r>
      <w:r>
        <w:rPr>
          <w:spacing w:val="-33"/>
        </w:rPr>
        <w:t> </w:t>
      </w:r>
      <w:r>
        <w:rPr>
          <w:spacing w:val="-7"/>
        </w:rPr>
        <w:t>To</w:t>
      </w:r>
      <w:r>
        <w:rPr>
          <w:spacing w:val="-28"/>
        </w:rPr>
        <w:t> </w:t>
      </w:r>
      <w:r>
        <w:rPr/>
        <w:t>consider</w:t>
      </w:r>
      <w:r>
        <w:rPr>
          <w:spacing w:val="-29"/>
        </w:rPr>
        <w:t> </w:t>
      </w:r>
      <w:r>
        <w:rPr/>
        <w:t>this</w:t>
      </w:r>
      <w:r>
        <w:rPr>
          <w:spacing w:val="-29"/>
        </w:rPr>
        <w:t> </w:t>
      </w:r>
      <w:r>
        <w:rPr/>
        <w:t>issue,</w:t>
      </w:r>
      <w:r>
        <w:rPr>
          <w:spacing w:val="-28"/>
        </w:rPr>
        <w:t> </w:t>
      </w:r>
      <w:r>
        <w:rPr/>
        <w:t>it</w:t>
      </w:r>
      <w:r>
        <w:rPr>
          <w:spacing w:val="-29"/>
        </w:rPr>
        <w:t> </w:t>
      </w:r>
      <w:r>
        <w:rPr/>
        <w:t>is</w:t>
      </w:r>
      <w:r>
        <w:rPr>
          <w:spacing w:val="-29"/>
        </w:rPr>
        <w:t> </w:t>
      </w:r>
      <w:r>
        <w:rPr/>
        <w:t>useful to draw parallels with the terms ‘resources’ and ‘reserves’</w:t>
      </w:r>
      <w:r>
        <w:rPr>
          <w:spacing w:val="-24"/>
        </w:rPr>
        <w:t> </w:t>
      </w:r>
      <w:r>
        <w:rPr/>
        <w:t>used for</w:t>
      </w:r>
      <w:r>
        <w:rPr>
          <w:spacing w:val="-9"/>
        </w:rPr>
        <w:t> </w:t>
      </w:r>
      <w:r>
        <w:rPr/>
        <w:t>mineral</w:t>
      </w:r>
      <w:r>
        <w:rPr>
          <w:spacing w:val="-8"/>
        </w:rPr>
        <w:t> </w:t>
      </w:r>
      <w:r>
        <w:rPr/>
        <w:t>deposits</w:t>
      </w:r>
      <w:r>
        <w:rPr>
          <w:spacing w:val="-9"/>
        </w:rPr>
        <w:t> </w:t>
      </w:r>
      <w:r>
        <w:rPr/>
        <w:t>(McKelvey,</w:t>
      </w:r>
      <w:r>
        <w:rPr>
          <w:spacing w:val="-8"/>
        </w:rPr>
        <w:t> </w:t>
      </w:r>
      <w:r>
        <w:rPr/>
        <w:t>1972).</w:t>
      </w:r>
      <w:r>
        <w:rPr>
          <w:spacing w:val="-8"/>
        </w:rPr>
        <w:t> </w:t>
      </w:r>
      <w:r>
        <w:rPr/>
        <w:t>Deposits</w:t>
      </w:r>
      <w:r>
        <w:rPr>
          <w:spacing w:val="-9"/>
        </w:rPr>
        <w:t> </w:t>
      </w:r>
      <w:r>
        <w:rPr/>
        <w:t>of</w:t>
      </w:r>
      <w:r>
        <w:rPr>
          <w:spacing w:val="-8"/>
        </w:rPr>
        <w:t> </w:t>
      </w:r>
      <w:r>
        <w:rPr/>
        <w:t>minerals</w:t>
      </w:r>
      <w:r>
        <w:rPr>
          <w:spacing w:val="-9"/>
        </w:rPr>
        <w:t> </w:t>
      </w:r>
      <w:r>
        <w:rPr/>
        <w:t>or fossil fuels are often cited with very large resource figures, but the ‘proven’ reserve is only some fraction of the resource. The resource</w:t>
      </w:r>
      <w:r>
        <w:rPr>
          <w:spacing w:val="-16"/>
        </w:rPr>
        <w:t> </w:t>
      </w:r>
      <w:r>
        <w:rPr/>
        <w:t>figures</w:t>
      </w:r>
      <w:r>
        <w:rPr>
          <w:spacing w:val="-15"/>
        </w:rPr>
        <w:t> </w:t>
      </w:r>
      <w:r>
        <w:rPr/>
        <w:t>are</w:t>
      </w:r>
      <w:r>
        <w:rPr>
          <w:spacing w:val="-16"/>
        </w:rPr>
        <w:t> </w:t>
      </w:r>
      <w:r>
        <w:rPr/>
        <w:t>based</w:t>
      </w:r>
      <w:r>
        <w:rPr>
          <w:spacing w:val="-15"/>
        </w:rPr>
        <w:t> </w:t>
      </w:r>
      <w:r>
        <w:rPr/>
        <w:t>on</w:t>
      </w:r>
      <w:r>
        <w:rPr>
          <w:spacing w:val="-16"/>
        </w:rPr>
        <w:t> </w:t>
      </w:r>
      <w:r>
        <w:rPr/>
        <w:t>the</w:t>
      </w:r>
      <w:r>
        <w:rPr>
          <w:spacing w:val="-15"/>
        </w:rPr>
        <w:t> </w:t>
      </w:r>
      <w:r>
        <w:rPr/>
        <w:t>selling</w:t>
      </w:r>
      <w:r>
        <w:rPr>
          <w:spacing w:val="-16"/>
        </w:rPr>
        <w:t> </w:t>
      </w:r>
      <w:r>
        <w:rPr/>
        <w:t>price</w:t>
      </w:r>
      <w:r>
        <w:rPr>
          <w:spacing w:val="-15"/>
        </w:rPr>
        <w:t> </w:t>
      </w:r>
      <w:r>
        <w:rPr/>
        <w:t>of</w:t>
      </w:r>
      <w:r>
        <w:rPr>
          <w:spacing w:val="-16"/>
        </w:rPr>
        <w:t> </w:t>
      </w:r>
      <w:r>
        <w:rPr/>
        <w:t>the</w:t>
      </w:r>
      <w:r>
        <w:rPr>
          <w:spacing w:val="-15"/>
        </w:rPr>
        <w:t> </w:t>
      </w:r>
      <w:r>
        <w:rPr/>
        <w:t>commodity, the cost of exploiting the commodity, the availability </w:t>
      </w:r>
      <w:r>
        <w:rPr>
          <w:spacing w:val="-6"/>
        </w:rPr>
        <w:t>of </w:t>
      </w:r>
      <w:r>
        <w:rPr/>
        <w:t>appropriate technologies, proof that the  commodity  </w:t>
      </w:r>
      <w:r>
        <w:rPr>
          <w:spacing w:val="-3"/>
        </w:rPr>
        <w:t>exists  </w:t>
      </w:r>
      <w:r>
        <w:rPr/>
        <w:t>and whether the environmental or social impact of exploiting the commodity is acceptable to the community. </w:t>
      </w:r>
      <w:r>
        <w:rPr>
          <w:spacing w:val="-3"/>
        </w:rPr>
        <w:t>Similarly, </w:t>
      </w:r>
      <w:r>
        <w:rPr/>
        <w:t>to turn technical geological storage capacity into economical storage capacity, the storage project must be economically viable, technically feasible, safe, environmentally and socially sustainable and acceptable to the community. Given these constraints, it is inevitable that the storage capacity that will actually be used will be significantly less than the technical potential. Section 5.3 explores this issue. It is likely that usable storage capacity will exist in many areas where people live</w:t>
      </w:r>
      <w:r>
        <w:rPr>
          <w:spacing w:val="-33"/>
        </w:rPr>
        <w:t> </w:t>
      </w:r>
      <w:r>
        <w:rPr/>
        <w:t>and where CO</w:t>
      </w:r>
      <w:r>
        <w:rPr>
          <w:position w:val="-6"/>
          <w:sz w:val="11"/>
        </w:rPr>
        <w:t>2 </w:t>
      </w:r>
      <w:r>
        <w:rPr/>
        <w:t>is generated from large stationary sources. This geographical congruence of storage-need and storage-capacity should not come as a surprise, because much of the </w:t>
      </w:r>
      <w:r>
        <w:rPr>
          <w:spacing w:val="-3"/>
        </w:rPr>
        <w:t>world’s  </w:t>
      </w:r>
      <w:r>
        <w:rPr/>
        <w:t>population is concentrated in regions underlain by sedimentary basins (Gunter </w:t>
      </w:r>
      <w:r>
        <w:rPr>
          <w:i/>
        </w:rPr>
        <w:t>et al.</w:t>
      </w:r>
      <w:r>
        <w:rPr/>
        <w:t>,</w:t>
      </w:r>
      <w:r>
        <w:rPr>
          <w:spacing w:val="-1"/>
        </w:rPr>
        <w:t> </w:t>
      </w:r>
      <w:r>
        <w:rPr/>
        <w:t>2004).</w:t>
      </w:r>
    </w:p>
    <w:p>
      <w:pPr>
        <w:pStyle w:val="BodyText"/>
        <w:spacing w:line="240" w:lineRule="exact"/>
        <w:ind w:left="157" w:right="531" w:firstLine="283"/>
        <w:jc w:val="both"/>
      </w:pPr>
      <w:r>
        <w:rPr/>
        <w:t>It is also important to know how securely and for how long stored</w:t>
      </w:r>
      <w:r>
        <w:rPr>
          <w:spacing w:val="-15"/>
        </w:rPr>
        <w:t> </w:t>
      </w:r>
      <w:r>
        <w:rPr/>
        <w:t>CO</w:t>
      </w:r>
      <w:r>
        <w:rPr>
          <w:position w:val="-6"/>
          <w:sz w:val="11"/>
        </w:rPr>
        <w:t>2</w:t>
      </w:r>
      <w:r>
        <w:rPr>
          <w:spacing w:val="8"/>
          <w:position w:val="-6"/>
          <w:sz w:val="11"/>
        </w:rPr>
        <w:t> </w:t>
      </w:r>
      <w:r>
        <w:rPr/>
        <w:t>will</w:t>
      </w:r>
      <w:r>
        <w:rPr>
          <w:spacing w:val="-15"/>
        </w:rPr>
        <w:t> </w:t>
      </w:r>
      <w:r>
        <w:rPr/>
        <w:t>be</w:t>
      </w:r>
      <w:r>
        <w:rPr>
          <w:spacing w:val="-14"/>
        </w:rPr>
        <w:t> </w:t>
      </w:r>
      <w:r>
        <w:rPr/>
        <w:t>retained</w:t>
      </w:r>
      <w:r>
        <w:rPr>
          <w:spacing w:val="-15"/>
        </w:rPr>
        <w:t> </w:t>
      </w:r>
      <w:r>
        <w:rPr/>
        <w:t>–</w:t>
      </w:r>
      <w:r>
        <w:rPr>
          <w:spacing w:val="-14"/>
        </w:rPr>
        <w:t> </w:t>
      </w:r>
      <w:r>
        <w:rPr/>
        <w:t>for</w:t>
      </w:r>
      <w:r>
        <w:rPr>
          <w:spacing w:val="-15"/>
        </w:rPr>
        <w:t> </w:t>
      </w:r>
      <w:r>
        <w:rPr/>
        <w:t>decades,</w:t>
      </w:r>
      <w:r>
        <w:rPr>
          <w:spacing w:val="-14"/>
        </w:rPr>
        <w:t> </w:t>
      </w:r>
      <w:r>
        <w:rPr/>
        <w:t>centuries,</w:t>
      </w:r>
      <w:r>
        <w:rPr>
          <w:spacing w:val="-15"/>
        </w:rPr>
        <w:t> </w:t>
      </w:r>
      <w:r>
        <w:rPr/>
        <w:t>millennia</w:t>
      </w:r>
      <w:r>
        <w:rPr>
          <w:spacing w:val="-14"/>
        </w:rPr>
        <w:t> </w:t>
      </w:r>
      <w:r>
        <w:rPr/>
        <w:t>or for geological time? </w:t>
      </w:r>
      <w:r>
        <w:rPr>
          <w:spacing w:val="-7"/>
        </w:rPr>
        <w:t>To </w:t>
      </w:r>
      <w:r>
        <w:rPr/>
        <w:t>assure public </w:t>
      </w:r>
      <w:r>
        <w:rPr>
          <w:spacing w:val="-3"/>
        </w:rPr>
        <w:t>safety, </w:t>
      </w:r>
      <w:r>
        <w:rPr/>
        <w:t>storage sites must be</w:t>
      </w:r>
      <w:r>
        <w:rPr>
          <w:spacing w:val="-12"/>
        </w:rPr>
        <w:t> </w:t>
      </w:r>
      <w:r>
        <w:rPr/>
        <w:t>designed</w:t>
      </w:r>
      <w:r>
        <w:rPr>
          <w:spacing w:val="-12"/>
        </w:rPr>
        <w:t> </w:t>
      </w:r>
      <w:r>
        <w:rPr/>
        <w:t>and</w:t>
      </w:r>
      <w:r>
        <w:rPr>
          <w:spacing w:val="-12"/>
        </w:rPr>
        <w:t> </w:t>
      </w:r>
      <w:r>
        <w:rPr/>
        <w:t>operated</w:t>
      </w:r>
      <w:r>
        <w:rPr>
          <w:spacing w:val="-12"/>
        </w:rPr>
        <w:t> </w:t>
      </w:r>
      <w:r>
        <w:rPr/>
        <w:t>to</w:t>
      </w:r>
      <w:r>
        <w:rPr>
          <w:spacing w:val="-12"/>
        </w:rPr>
        <w:t> </w:t>
      </w:r>
      <w:r>
        <w:rPr/>
        <w:t>minimize</w:t>
      </w:r>
      <w:r>
        <w:rPr>
          <w:spacing w:val="-12"/>
        </w:rPr>
        <w:t> </w:t>
      </w:r>
      <w:r>
        <w:rPr/>
        <w:t>the</w:t>
      </w:r>
      <w:r>
        <w:rPr>
          <w:spacing w:val="-12"/>
        </w:rPr>
        <w:t> </w:t>
      </w:r>
      <w:r>
        <w:rPr/>
        <w:t>possibility</w:t>
      </w:r>
      <w:r>
        <w:rPr>
          <w:spacing w:val="-12"/>
        </w:rPr>
        <w:t> </w:t>
      </w:r>
      <w:r>
        <w:rPr/>
        <w:t>of</w:t>
      </w:r>
      <w:r>
        <w:rPr>
          <w:spacing w:val="-12"/>
        </w:rPr>
        <w:t> </w:t>
      </w:r>
      <w:r>
        <w:rPr/>
        <w:t>leakage. Consequently, potential leakage pathways must be identified and procedures must be established, to set appropriate design and operational standards as well as monitoring, measurement and</w:t>
      </w:r>
      <w:r>
        <w:rPr>
          <w:spacing w:val="-15"/>
        </w:rPr>
        <w:t> </w:t>
      </w:r>
      <w:r>
        <w:rPr/>
        <w:t>verification</w:t>
      </w:r>
      <w:r>
        <w:rPr>
          <w:spacing w:val="-14"/>
        </w:rPr>
        <w:t> </w:t>
      </w:r>
      <w:r>
        <w:rPr/>
        <w:t>requirements.</w:t>
      </w:r>
      <w:r>
        <w:rPr>
          <w:spacing w:val="-14"/>
        </w:rPr>
        <w:t> </w:t>
      </w:r>
      <w:r>
        <w:rPr/>
        <w:t>Sections</w:t>
      </w:r>
      <w:r>
        <w:rPr>
          <w:spacing w:val="-15"/>
        </w:rPr>
        <w:t> </w:t>
      </w:r>
      <w:r>
        <w:rPr/>
        <w:t>5.4,</w:t>
      </w:r>
      <w:r>
        <w:rPr>
          <w:spacing w:val="-14"/>
        </w:rPr>
        <w:t> </w:t>
      </w:r>
      <w:r>
        <w:rPr/>
        <w:t>5.6</w:t>
      </w:r>
      <w:r>
        <w:rPr>
          <w:spacing w:val="-14"/>
        </w:rPr>
        <w:t> </w:t>
      </w:r>
      <w:r>
        <w:rPr/>
        <w:t>and</w:t>
      </w:r>
      <w:r>
        <w:rPr>
          <w:spacing w:val="-15"/>
        </w:rPr>
        <w:t> </w:t>
      </w:r>
      <w:r>
        <w:rPr/>
        <w:t>5.7</w:t>
      </w:r>
      <w:r>
        <w:rPr>
          <w:spacing w:val="-14"/>
        </w:rPr>
        <w:t> </w:t>
      </w:r>
      <w:r>
        <w:rPr/>
        <w:t>consider these issues.</w:t>
      </w:r>
    </w:p>
    <w:p>
      <w:pPr>
        <w:pStyle w:val="BodyText"/>
        <w:spacing w:line="240" w:lineRule="exact"/>
        <w:ind w:left="157" w:right="529" w:firstLine="283"/>
        <w:jc w:val="both"/>
      </w:pPr>
      <w:r>
        <w:rPr/>
        <w:t>In this chapter,  we  primarily  consider  storage  of  pure  or nearly pure, CO</w:t>
      </w:r>
      <w:r>
        <w:rPr>
          <w:position w:val="-6"/>
          <w:sz w:val="11"/>
        </w:rPr>
        <w:t>2</w:t>
      </w:r>
      <w:r>
        <w:rPr/>
        <w:t>. It has been suggested that it may</w:t>
      </w:r>
      <w:r>
        <w:rPr>
          <w:spacing w:val="23"/>
        </w:rPr>
        <w:t> </w:t>
      </w:r>
      <w:r>
        <w:rPr/>
        <w:t>be economically favourable to co-store CO</w:t>
      </w:r>
      <w:r>
        <w:rPr>
          <w:position w:val="-6"/>
          <w:sz w:val="11"/>
        </w:rPr>
        <w:t>2 </w:t>
      </w:r>
      <w:r>
        <w:rPr/>
        <w:t>along with H</w:t>
      </w:r>
      <w:r>
        <w:rPr>
          <w:position w:val="-6"/>
          <w:sz w:val="11"/>
        </w:rPr>
        <w:t>2</w:t>
      </w:r>
      <w:r>
        <w:rPr/>
        <w:t>S, SO</w:t>
      </w:r>
      <w:r>
        <w:rPr>
          <w:position w:val="-6"/>
          <w:sz w:val="11"/>
        </w:rPr>
        <w:t>2 </w:t>
      </w:r>
      <w:r>
        <w:rPr/>
        <w:t>or NO</w:t>
      </w:r>
      <w:r>
        <w:rPr>
          <w:position w:val="-6"/>
          <w:sz w:val="11"/>
        </w:rPr>
        <w:t>2</w:t>
      </w:r>
      <w:r>
        <w:rPr/>
        <w:t>. Since only a few scientific studies have evaluated the impacts of these added constituents on storage performance or risks, they are not addressed comprehensively here. Moreover, the limited information gained from practical experience with acid</w:t>
      </w:r>
      <w:r>
        <w:rPr>
          <w:spacing w:val="-9"/>
        </w:rPr>
        <w:t> </w:t>
      </w:r>
      <w:r>
        <w:rPr/>
        <w:t>gas</w:t>
      </w:r>
      <w:r>
        <w:rPr>
          <w:spacing w:val="-8"/>
        </w:rPr>
        <w:t> </w:t>
      </w:r>
      <w:r>
        <w:rPr/>
        <w:t>injection</w:t>
      </w:r>
      <w:r>
        <w:rPr>
          <w:spacing w:val="-8"/>
        </w:rPr>
        <w:t> </w:t>
      </w:r>
      <w:r>
        <w:rPr/>
        <w:t>in</w:t>
      </w:r>
      <w:r>
        <w:rPr>
          <w:spacing w:val="-8"/>
        </w:rPr>
        <w:t> </w:t>
      </w:r>
      <w:r>
        <w:rPr/>
        <w:t>Canada</w:t>
      </w:r>
      <w:r>
        <w:rPr>
          <w:spacing w:val="-8"/>
        </w:rPr>
        <w:t> </w:t>
      </w:r>
      <w:r>
        <w:rPr/>
        <w:t>is</w:t>
      </w:r>
      <w:r>
        <w:rPr>
          <w:spacing w:val="-8"/>
        </w:rPr>
        <w:t> </w:t>
      </w:r>
      <w:r>
        <w:rPr/>
        <w:t>insufficient</w:t>
      </w:r>
      <w:r>
        <w:rPr>
          <w:spacing w:val="-8"/>
        </w:rPr>
        <w:t> </w:t>
      </w:r>
      <w:r>
        <w:rPr/>
        <w:t>to</w:t>
      </w:r>
      <w:r>
        <w:rPr>
          <w:spacing w:val="-8"/>
        </w:rPr>
        <w:t> </w:t>
      </w:r>
      <w:r>
        <w:rPr/>
        <w:t>assess</w:t>
      </w:r>
      <w:r>
        <w:rPr>
          <w:spacing w:val="-9"/>
        </w:rPr>
        <w:t> </w:t>
      </w:r>
      <w:r>
        <w:rPr/>
        <w:t>the</w:t>
      </w:r>
      <w:r>
        <w:rPr>
          <w:spacing w:val="-8"/>
        </w:rPr>
        <w:t> </w:t>
      </w:r>
      <w:r>
        <w:rPr/>
        <w:t>impacts of the added components on storage</w:t>
      </w:r>
      <w:r>
        <w:rPr>
          <w:spacing w:val="-1"/>
        </w:rPr>
        <w:t> </w:t>
      </w:r>
      <w:r>
        <w:rPr>
          <w:spacing w:val="-3"/>
        </w:rPr>
        <w:t>security.</w:t>
      </w:r>
    </w:p>
    <w:p>
      <w:pPr>
        <w:pStyle w:val="BodyText"/>
        <w:spacing w:before="3"/>
        <w:rPr>
          <w:sz w:val="21"/>
        </w:rPr>
      </w:pPr>
    </w:p>
    <w:p>
      <w:pPr>
        <w:pStyle w:val="Heading2"/>
        <w:numPr>
          <w:ilvl w:val="2"/>
          <w:numId w:val="1"/>
        </w:numPr>
        <w:tabs>
          <w:tab w:pos="976" w:val="left" w:leader="none"/>
          <w:tab w:pos="977" w:val="left" w:leader="none"/>
        </w:tabs>
        <w:spacing w:line="240" w:lineRule="auto" w:before="1" w:after="0"/>
        <w:ind w:left="977" w:right="0" w:hanging="820"/>
        <w:jc w:val="left"/>
        <w:rPr>
          <w:i/>
        </w:rPr>
      </w:pPr>
      <w:r>
        <w:rPr>
          <w:i/>
        </w:rPr>
        <w:t>Existing and planned CO</w:t>
      </w:r>
      <w:r>
        <w:rPr>
          <w:i/>
          <w:position w:val="-6"/>
          <w:sz w:val="11"/>
        </w:rPr>
        <w:t>2</w:t>
      </w:r>
      <w:r>
        <w:rPr>
          <w:i/>
          <w:spacing w:val="25"/>
          <w:position w:val="-6"/>
          <w:sz w:val="11"/>
        </w:rPr>
        <w:t> </w:t>
      </w:r>
      <w:r>
        <w:rPr>
          <w:i/>
        </w:rPr>
        <w:t>projects</w:t>
      </w:r>
    </w:p>
    <w:p>
      <w:pPr>
        <w:pStyle w:val="BodyText"/>
        <w:spacing w:line="240" w:lineRule="exact" w:before="194"/>
        <w:ind w:left="157" w:right="531"/>
        <w:jc w:val="both"/>
      </w:pPr>
      <w:r>
        <w:rPr/>
        <w:t>A</w:t>
      </w:r>
      <w:r>
        <w:rPr>
          <w:spacing w:val="-34"/>
        </w:rPr>
        <w:t> </w:t>
      </w:r>
      <w:r>
        <w:rPr/>
        <w:t>number</w:t>
      </w:r>
      <w:r>
        <w:rPr>
          <w:spacing w:val="-22"/>
        </w:rPr>
        <w:t> </w:t>
      </w:r>
      <w:r>
        <w:rPr/>
        <w:t>of</w:t>
      </w:r>
      <w:r>
        <w:rPr>
          <w:spacing w:val="-22"/>
        </w:rPr>
        <w:t> </w:t>
      </w:r>
      <w:r>
        <w:rPr/>
        <w:t>pilot</w:t>
      </w:r>
      <w:r>
        <w:rPr>
          <w:spacing w:val="-23"/>
        </w:rPr>
        <w:t> </w:t>
      </w:r>
      <w:r>
        <w:rPr/>
        <w:t>and</w:t>
      </w:r>
      <w:r>
        <w:rPr>
          <w:spacing w:val="-22"/>
        </w:rPr>
        <w:t> </w:t>
      </w:r>
      <w:r>
        <w:rPr/>
        <w:t>commercial</w:t>
      </w:r>
      <w:r>
        <w:rPr>
          <w:spacing w:val="-23"/>
        </w:rPr>
        <w:t> </w:t>
      </w:r>
      <w:r>
        <w:rPr/>
        <w:t>CO</w:t>
      </w:r>
      <w:r>
        <w:rPr>
          <w:position w:val="-6"/>
          <w:sz w:val="11"/>
        </w:rPr>
        <w:t>2</w:t>
      </w:r>
      <w:r>
        <w:rPr>
          <w:spacing w:val="1"/>
          <w:position w:val="-6"/>
          <w:sz w:val="11"/>
        </w:rPr>
        <w:t> </w:t>
      </w:r>
      <w:r>
        <w:rPr/>
        <w:t>storage</w:t>
      </w:r>
      <w:r>
        <w:rPr>
          <w:spacing w:val="-22"/>
        </w:rPr>
        <w:t> </w:t>
      </w:r>
      <w:r>
        <w:rPr/>
        <w:t>projects</w:t>
      </w:r>
      <w:r>
        <w:rPr>
          <w:spacing w:val="-23"/>
        </w:rPr>
        <w:t> </w:t>
      </w:r>
      <w:r>
        <w:rPr/>
        <w:t>are</w:t>
      </w:r>
      <w:r>
        <w:rPr>
          <w:spacing w:val="-22"/>
        </w:rPr>
        <w:t> </w:t>
      </w:r>
      <w:r>
        <w:rPr/>
        <w:t>under way or proposed </w:t>
      </w:r>
      <w:hyperlink w:history="true" w:anchor="_bookmark0">
        <w:r>
          <w:rPr/>
          <w:t>(Figure 5.1). </w:t>
        </w:r>
      </w:hyperlink>
      <w:r>
        <w:rPr>
          <w:spacing w:val="-7"/>
        </w:rPr>
        <w:t>To </w:t>
      </w:r>
      <w:r>
        <w:rPr/>
        <w:t>date, most actual or planned commercial projects are associated with major gas production facilities that have gas streams containing CO</w:t>
      </w:r>
      <w:r>
        <w:rPr>
          <w:position w:val="-6"/>
          <w:sz w:val="11"/>
        </w:rPr>
        <w:t>2 </w:t>
      </w:r>
      <w:r>
        <w:rPr/>
        <w:t>in the range of 10–15% by volume, such as Sleipner in the North Sea, Snohvit in the Barents Sea, In Salah in Algeria and Gorgon in</w:t>
      </w:r>
      <w:r>
        <w:rPr>
          <w:spacing w:val="-38"/>
        </w:rPr>
        <w:t> </w:t>
      </w:r>
      <w:r>
        <w:rPr/>
        <w:t>Australia </w:t>
      </w:r>
      <w:hyperlink w:history="true" w:anchor="_bookmark0">
        <w:r>
          <w:rPr/>
          <w:t>(Figure</w:t>
        </w:r>
        <w:r>
          <w:rPr>
            <w:spacing w:val="-8"/>
          </w:rPr>
          <w:t> </w:t>
        </w:r>
      </w:hyperlink>
      <w:r>
        <w:rPr/>
        <w:t>5.1),</w:t>
      </w:r>
      <w:r>
        <w:rPr>
          <w:spacing w:val="-7"/>
        </w:rPr>
        <w:t> </w:t>
      </w:r>
      <w:r>
        <w:rPr/>
        <w:t>as</w:t>
      </w:r>
      <w:r>
        <w:rPr>
          <w:spacing w:val="-7"/>
        </w:rPr>
        <w:t> </w:t>
      </w:r>
      <w:r>
        <w:rPr/>
        <w:t>well</w:t>
      </w:r>
      <w:r>
        <w:rPr>
          <w:spacing w:val="-8"/>
        </w:rPr>
        <w:t> </w:t>
      </w:r>
      <w:r>
        <w:rPr/>
        <w:t>as</w:t>
      </w:r>
      <w:r>
        <w:rPr>
          <w:spacing w:val="-7"/>
        </w:rPr>
        <w:t> </w:t>
      </w:r>
      <w:r>
        <w:rPr/>
        <w:t>the</w:t>
      </w:r>
      <w:r>
        <w:rPr>
          <w:spacing w:val="-7"/>
        </w:rPr>
        <w:t> </w:t>
      </w:r>
      <w:r>
        <w:rPr/>
        <w:t>acid</w:t>
      </w:r>
      <w:r>
        <w:rPr>
          <w:spacing w:val="-7"/>
        </w:rPr>
        <w:t> </w:t>
      </w:r>
      <w:r>
        <w:rPr/>
        <w:t>gas</w:t>
      </w:r>
      <w:r>
        <w:rPr>
          <w:spacing w:val="-8"/>
        </w:rPr>
        <w:t> </w:t>
      </w:r>
      <w:r>
        <w:rPr/>
        <w:t>injection</w:t>
      </w:r>
      <w:r>
        <w:rPr>
          <w:spacing w:val="-7"/>
        </w:rPr>
        <w:t> </w:t>
      </w:r>
      <w:r>
        <w:rPr/>
        <w:t>projects</w:t>
      </w:r>
      <w:r>
        <w:rPr>
          <w:spacing w:val="-7"/>
        </w:rPr>
        <w:t> </w:t>
      </w:r>
      <w:r>
        <w:rPr/>
        <w:t>in</w:t>
      </w:r>
      <w:r>
        <w:rPr>
          <w:spacing w:val="-7"/>
        </w:rPr>
        <w:t> </w:t>
      </w:r>
      <w:r>
        <w:rPr/>
        <w:t>Canada and the United States. At the Sleipner Project, operated by Statoil, more than 7 MtCO</w:t>
      </w:r>
      <w:r>
        <w:rPr>
          <w:position w:val="-6"/>
          <w:sz w:val="11"/>
        </w:rPr>
        <w:t>2 </w:t>
      </w:r>
      <w:r>
        <w:rPr/>
        <w:t>has been injected into a deep sub- sea</w:t>
      </w:r>
      <w:r>
        <w:rPr>
          <w:spacing w:val="-12"/>
        </w:rPr>
        <w:t> </w:t>
      </w:r>
      <w:r>
        <w:rPr/>
        <w:t>saline</w:t>
      </w:r>
      <w:r>
        <w:rPr>
          <w:spacing w:val="-11"/>
        </w:rPr>
        <w:t> </w:t>
      </w:r>
      <w:r>
        <w:rPr/>
        <w:t>formation</w:t>
      </w:r>
      <w:r>
        <w:rPr>
          <w:spacing w:val="-11"/>
        </w:rPr>
        <w:t> </w:t>
      </w:r>
      <w:r>
        <w:rPr/>
        <w:t>since</w:t>
      </w:r>
      <w:r>
        <w:rPr>
          <w:spacing w:val="-11"/>
        </w:rPr>
        <w:t> </w:t>
      </w:r>
      <w:r>
        <w:rPr/>
        <w:t>1996</w:t>
      </w:r>
      <w:r>
        <w:rPr>
          <w:spacing w:val="-12"/>
        </w:rPr>
        <w:t> </w:t>
      </w:r>
      <w:hyperlink w:history="true" w:anchor="_bookmark5">
        <w:r>
          <w:rPr/>
          <w:t>(Box</w:t>
        </w:r>
        <w:r>
          <w:rPr>
            <w:spacing w:val="-11"/>
          </w:rPr>
          <w:t> </w:t>
        </w:r>
      </w:hyperlink>
      <w:r>
        <w:rPr/>
        <w:t>5.1).</w:t>
      </w:r>
      <w:r>
        <w:rPr>
          <w:spacing w:val="-11"/>
        </w:rPr>
        <w:t> </w:t>
      </w:r>
      <w:r>
        <w:rPr/>
        <w:t>Existing</w:t>
      </w:r>
      <w:r>
        <w:rPr>
          <w:spacing w:val="-11"/>
        </w:rPr>
        <w:t> </w:t>
      </w:r>
      <w:r>
        <w:rPr/>
        <w:t>and</w:t>
      </w:r>
      <w:r>
        <w:rPr>
          <w:spacing w:val="-11"/>
        </w:rPr>
        <w:t> </w:t>
      </w:r>
      <w:r>
        <w:rPr/>
        <w:t>planned</w:t>
      </w:r>
    </w:p>
    <w:p>
      <w:pPr>
        <w:spacing w:after="0" w:line="240" w:lineRule="exact"/>
        <w:jc w:val="both"/>
        <w:sectPr>
          <w:type w:val="continuous"/>
          <w:pgSz w:w="12240" w:h="15840"/>
          <w:pgMar w:top="400" w:bottom="280" w:left="580" w:right="600"/>
          <w:cols w:num="2" w:equalWidth="0">
            <w:col w:w="5242" w:space="84"/>
            <w:col w:w="5734"/>
          </w:cols>
        </w:sectPr>
      </w:pPr>
    </w:p>
    <w:p>
      <w:pPr>
        <w:pStyle w:val="BodyText"/>
      </w:pPr>
    </w:p>
    <w:p>
      <w:pPr>
        <w:pStyle w:val="BodyText"/>
        <w:spacing w:before="4"/>
        <w:rPr>
          <w:sz w:val="16"/>
        </w:rPr>
      </w:pPr>
    </w:p>
    <w:p>
      <w:pPr>
        <w:spacing w:before="67" w:after="41"/>
        <w:ind w:left="553" w:right="0" w:firstLine="0"/>
        <w:jc w:val="left"/>
        <w:rPr>
          <w:sz w:val="18"/>
        </w:rPr>
      </w:pPr>
      <w:bookmarkStart w:name="_bookmark4" w:id="12"/>
      <w:bookmarkEnd w:id="12"/>
      <w:r>
        <w:rPr/>
      </w:r>
      <w:r>
        <w:rPr>
          <w:b/>
          <w:spacing w:val="-17"/>
          <w:w w:val="202"/>
          <w:sz w:val="18"/>
        </w:rPr>
        <w:t>t</w:t>
      </w:r>
      <w:r>
        <w:rPr>
          <w:b/>
          <w:w w:val="101"/>
          <w:sz w:val="18"/>
        </w:rPr>
        <w:t>able</w:t>
      </w:r>
      <w:r>
        <w:rPr>
          <w:b/>
          <w:sz w:val="18"/>
        </w:rPr>
        <w:t> </w:t>
      </w:r>
      <w:r>
        <w:rPr>
          <w:b/>
          <w:w w:val="101"/>
          <w:sz w:val="18"/>
        </w:rPr>
        <w:t>5.1</w:t>
      </w:r>
      <w:r>
        <w:rPr>
          <w:b/>
          <w:sz w:val="18"/>
        </w:rPr>
        <w:t> </w:t>
      </w:r>
      <w:r>
        <w:rPr>
          <w:b/>
          <w:spacing w:val="1"/>
          <w:sz w:val="18"/>
        </w:rPr>
        <w:t> </w:t>
      </w:r>
      <w:r>
        <w:rPr>
          <w:w w:val="101"/>
          <w:sz w:val="18"/>
        </w:rPr>
        <w:t>A</w:t>
      </w:r>
      <w:r>
        <w:rPr>
          <w:spacing w:val="-10"/>
          <w:sz w:val="18"/>
        </w:rPr>
        <w:t> </w:t>
      </w:r>
      <w:r>
        <w:rPr>
          <w:spacing w:val="-1"/>
          <w:w w:val="101"/>
          <w:sz w:val="18"/>
        </w:rPr>
        <w:t>selectio</w:t>
      </w:r>
      <w:r>
        <w:rPr>
          <w:w w:val="101"/>
          <w:sz w:val="18"/>
        </w:rPr>
        <w:t>n</w:t>
      </w:r>
      <w:r>
        <w:rPr>
          <w:sz w:val="18"/>
        </w:rPr>
        <w:t> </w:t>
      </w:r>
      <w:r>
        <w:rPr>
          <w:w w:val="101"/>
          <w:sz w:val="18"/>
        </w:rPr>
        <w:t>of</w:t>
      </w:r>
      <w:r>
        <w:rPr>
          <w:sz w:val="18"/>
        </w:rPr>
        <w:t> </w:t>
      </w:r>
      <w:r>
        <w:rPr>
          <w:w w:val="101"/>
          <w:sz w:val="18"/>
        </w:rPr>
        <w:t>current</w:t>
      </w:r>
      <w:r>
        <w:rPr>
          <w:sz w:val="18"/>
        </w:rPr>
        <w:t> </w:t>
      </w:r>
      <w:r>
        <w:rPr>
          <w:w w:val="101"/>
          <w:sz w:val="18"/>
        </w:rPr>
        <w:t>and</w:t>
      </w:r>
      <w:r>
        <w:rPr>
          <w:sz w:val="18"/>
        </w:rPr>
        <w:t> </w:t>
      </w:r>
      <w:r>
        <w:rPr>
          <w:w w:val="101"/>
          <w:sz w:val="18"/>
        </w:rPr>
        <w:t>planned</w:t>
      </w:r>
      <w:r>
        <w:rPr>
          <w:sz w:val="18"/>
        </w:rPr>
        <w:t> </w:t>
      </w:r>
      <w:r>
        <w:rPr>
          <w:w w:val="101"/>
          <w:sz w:val="18"/>
        </w:rPr>
        <w:t>geological</w:t>
      </w:r>
      <w:r>
        <w:rPr>
          <w:sz w:val="18"/>
        </w:rPr>
        <w:t> </w:t>
      </w:r>
      <w:r>
        <w:rPr>
          <w:spacing w:val="-1"/>
          <w:w w:val="101"/>
          <w:sz w:val="18"/>
        </w:rPr>
        <w:t>storag</w:t>
      </w:r>
      <w:r>
        <w:rPr>
          <w:w w:val="101"/>
          <w:sz w:val="18"/>
        </w:rPr>
        <w:t>e</w:t>
      </w:r>
      <w:r>
        <w:rPr>
          <w:sz w:val="18"/>
        </w:rPr>
        <w:t> </w:t>
      </w:r>
      <w:r>
        <w:rPr>
          <w:w w:val="101"/>
          <w:sz w:val="18"/>
        </w:rPr>
        <w:t>projects.</w:t>
      </w: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819"/>
        <w:gridCol w:w="824"/>
        <w:gridCol w:w="994"/>
        <w:gridCol w:w="697"/>
        <w:gridCol w:w="891"/>
        <w:gridCol w:w="661"/>
        <w:gridCol w:w="950"/>
        <w:gridCol w:w="916"/>
        <w:gridCol w:w="1022"/>
        <w:gridCol w:w="849"/>
        <w:gridCol w:w="1068"/>
      </w:tblGrid>
      <w:tr>
        <w:trPr>
          <w:trHeight w:val="590" w:hRule="atLeast"/>
        </w:trPr>
        <w:tc>
          <w:tcPr>
            <w:tcW w:w="684" w:type="dxa"/>
            <w:shd w:val="clear" w:color="auto" w:fill="E0EEE0"/>
          </w:tcPr>
          <w:p>
            <w:pPr>
              <w:pStyle w:val="TableParagraph"/>
              <w:ind w:left="27"/>
              <w:rPr>
                <w:b/>
                <w:sz w:val="14"/>
              </w:rPr>
            </w:pPr>
            <w:r>
              <w:rPr>
                <w:b/>
                <w:sz w:val="14"/>
              </w:rPr>
              <w:t>Project</w:t>
            </w:r>
          </w:p>
        </w:tc>
        <w:tc>
          <w:tcPr>
            <w:tcW w:w="819" w:type="dxa"/>
            <w:shd w:val="clear" w:color="auto" w:fill="E0EEE0"/>
          </w:tcPr>
          <w:p>
            <w:pPr>
              <w:pStyle w:val="TableParagraph"/>
              <w:rPr>
                <w:b/>
                <w:sz w:val="14"/>
              </w:rPr>
            </w:pPr>
            <w:r>
              <w:rPr>
                <w:b/>
                <w:sz w:val="14"/>
              </w:rPr>
              <w:t>Country</w:t>
            </w:r>
          </w:p>
        </w:tc>
        <w:tc>
          <w:tcPr>
            <w:tcW w:w="824" w:type="dxa"/>
            <w:shd w:val="clear" w:color="auto" w:fill="E0EEE0"/>
          </w:tcPr>
          <w:p>
            <w:pPr>
              <w:pStyle w:val="TableParagraph"/>
              <w:spacing w:line="249" w:lineRule="auto"/>
              <w:ind w:right="305"/>
              <w:rPr>
                <w:b/>
                <w:sz w:val="14"/>
              </w:rPr>
            </w:pPr>
            <w:r>
              <w:rPr>
                <w:b/>
                <w:sz w:val="14"/>
              </w:rPr>
              <w:t>Scale of Project</w:t>
            </w:r>
          </w:p>
        </w:tc>
        <w:tc>
          <w:tcPr>
            <w:tcW w:w="994" w:type="dxa"/>
            <w:shd w:val="clear" w:color="auto" w:fill="E0EEE0"/>
          </w:tcPr>
          <w:p>
            <w:pPr>
              <w:pStyle w:val="TableParagraph"/>
              <w:spacing w:line="249" w:lineRule="auto"/>
              <w:ind w:right="129"/>
              <w:rPr>
                <w:b/>
                <w:sz w:val="14"/>
              </w:rPr>
            </w:pPr>
            <w:r>
              <w:rPr>
                <w:b/>
                <w:sz w:val="14"/>
              </w:rPr>
              <w:t>Lead organizations</w:t>
            </w:r>
          </w:p>
        </w:tc>
        <w:tc>
          <w:tcPr>
            <w:tcW w:w="697" w:type="dxa"/>
            <w:shd w:val="clear" w:color="auto" w:fill="E0EEE0"/>
          </w:tcPr>
          <w:p>
            <w:pPr>
              <w:pStyle w:val="TableParagraph"/>
              <w:spacing w:line="249" w:lineRule="auto"/>
              <w:ind w:hanging="1"/>
              <w:rPr>
                <w:b/>
                <w:sz w:val="14"/>
              </w:rPr>
            </w:pPr>
            <w:r>
              <w:rPr>
                <w:b/>
                <w:w w:val="105"/>
                <w:sz w:val="14"/>
              </w:rPr>
              <w:t>injection start date</w:t>
            </w:r>
          </w:p>
        </w:tc>
        <w:tc>
          <w:tcPr>
            <w:tcW w:w="891" w:type="dxa"/>
            <w:shd w:val="clear" w:color="auto" w:fill="E0EEE0"/>
          </w:tcPr>
          <w:p>
            <w:pPr>
              <w:pStyle w:val="TableParagraph"/>
              <w:spacing w:line="249" w:lineRule="auto"/>
              <w:ind w:right="41"/>
              <w:jc w:val="both"/>
              <w:rPr>
                <w:b/>
                <w:sz w:val="14"/>
              </w:rPr>
            </w:pPr>
            <w:r>
              <w:rPr>
                <w:b/>
                <w:sz w:val="14"/>
              </w:rPr>
              <w:t>Approximate average daily injection rate</w:t>
            </w:r>
          </w:p>
        </w:tc>
        <w:tc>
          <w:tcPr>
            <w:tcW w:w="661" w:type="dxa"/>
            <w:shd w:val="clear" w:color="auto" w:fill="E0EEE0"/>
          </w:tcPr>
          <w:p>
            <w:pPr>
              <w:pStyle w:val="TableParagraph"/>
              <w:spacing w:line="249" w:lineRule="auto"/>
              <w:ind w:right="169"/>
              <w:rPr>
                <w:b/>
                <w:sz w:val="14"/>
              </w:rPr>
            </w:pPr>
            <w:r>
              <w:rPr>
                <w:b/>
                <w:w w:val="202"/>
                <w:sz w:val="14"/>
              </w:rPr>
              <w:t>t</w:t>
            </w:r>
            <w:r>
              <w:rPr>
                <w:b/>
                <w:w w:val="101"/>
                <w:sz w:val="14"/>
              </w:rPr>
              <w:t>otal </w:t>
            </w:r>
            <w:r>
              <w:rPr>
                <w:b/>
                <w:sz w:val="14"/>
              </w:rPr>
              <w:t>storage</w:t>
            </w:r>
          </w:p>
        </w:tc>
        <w:tc>
          <w:tcPr>
            <w:tcW w:w="950" w:type="dxa"/>
            <w:shd w:val="clear" w:color="auto" w:fill="E0EEE0"/>
          </w:tcPr>
          <w:p>
            <w:pPr>
              <w:pStyle w:val="TableParagraph"/>
              <w:ind w:left="27"/>
              <w:rPr>
                <w:b/>
                <w:sz w:val="14"/>
              </w:rPr>
            </w:pPr>
            <w:r>
              <w:rPr>
                <w:b/>
                <w:sz w:val="14"/>
              </w:rPr>
              <w:t>Storage type</w:t>
            </w:r>
          </w:p>
        </w:tc>
        <w:tc>
          <w:tcPr>
            <w:tcW w:w="916" w:type="dxa"/>
            <w:shd w:val="clear" w:color="auto" w:fill="E0EEE0"/>
          </w:tcPr>
          <w:p>
            <w:pPr>
              <w:pStyle w:val="TableParagraph"/>
              <w:spacing w:line="249" w:lineRule="auto"/>
              <w:ind w:left="28" w:right="228"/>
              <w:rPr>
                <w:b/>
                <w:sz w:val="14"/>
              </w:rPr>
            </w:pPr>
            <w:r>
              <w:rPr>
                <w:b/>
                <w:sz w:val="14"/>
              </w:rPr>
              <w:t>Geological storage formation</w:t>
            </w:r>
          </w:p>
        </w:tc>
        <w:tc>
          <w:tcPr>
            <w:tcW w:w="1022" w:type="dxa"/>
            <w:shd w:val="clear" w:color="auto" w:fill="E0EEE0"/>
          </w:tcPr>
          <w:p>
            <w:pPr>
              <w:pStyle w:val="TableParagraph"/>
              <w:spacing w:line="249" w:lineRule="auto"/>
              <w:ind w:left="29" w:right="364"/>
              <w:rPr>
                <w:b/>
                <w:sz w:val="14"/>
              </w:rPr>
            </w:pPr>
            <w:r>
              <w:rPr>
                <w:b/>
                <w:sz w:val="14"/>
              </w:rPr>
              <w:t>Age of formation</w:t>
            </w:r>
          </w:p>
        </w:tc>
        <w:tc>
          <w:tcPr>
            <w:tcW w:w="849" w:type="dxa"/>
            <w:shd w:val="clear" w:color="auto" w:fill="E0EEE0"/>
          </w:tcPr>
          <w:p>
            <w:pPr>
              <w:pStyle w:val="TableParagraph"/>
              <w:ind w:left="30"/>
              <w:rPr>
                <w:b/>
                <w:sz w:val="14"/>
              </w:rPr>
            </w:pPr>
            <w:r>
              <w:rPr>
                <w:b/>
                <w:sz w:val="14"/>
              </w:rPr>
              <w:t>Lithology</w:t>
            </w:r>
          </w:p>
        </w:tc>
        <w:tc>
          <w:tcPr>
            <w:tcW w:w="1068" w:type="dxa"/>
            <w:shd w:val="clear" w:color="auto" w:fill="E0EEE0"/>
          </w:tcPr>
          <w:p>
            <w:pPr>
              <w:pStyle w:val="TableParagraph"/>
              <w:ind w:left="31"/>
              <w:rPr>
                <w:b/>
                <w:sz w:val="14"/>
              </w:rPr>
            </w:pPr>
            <w:r>
              <w:rPr>
                <w:b/>
                <w:w w:val="105"/>
                <w:sz w:val="14"/>
              </w:rPr>
              <w:t>monitoring</w:t>
            </w:r>
          </w:p>
        </w:tc>
      </w:tr>
      <w:tr>
        <w:trPr>
          <w:trHeight w:val="422" w:hRule="atLeast"/>
        </w:trPr>
        <w:tc>
          <w:tcPr>
            <w:tcW w:w="684" w:type="dxa"/>
            <w:shd w:val="clear" w:color="auto" w:fill="F9FCF9"/>
          </w:tcPr>
          <w:p>
            <w:pPr>
              <w:pStyle w:val="TableParagraph"/>
              <w:ind w:left="27"/>
              <w:rPr>
                <w:sz w:val="14"/>
              </w:rPr>
            </w:pPr>
            <w:r>
              <w:rPr>
                <w:sz w:val="14"/>
              </w:rPr>
              <w:t>Sleipner</w:t>
            </w:r>
          </w:p>
        </w:tc>
        <w:tc>
          <w:tcPr>
            <w:tcW w:w="819" w:type="dxa"/>
            <w:shd w:val="clear" w:color="auto" w:fill="F9FCF9"/>
          </w:tcPr>
          <w:p>
            <w:pPr>
              <w:pStyle w:val="TableParagraph"/>
              <w:rPr>
                <w:sz w:val="14"/>
              </w:rPr>
            </w:pPr>
            <w:r>
              <w:rPr>
                <w:sz w:val="14"/>
              </w:rPr>
              <w:t>Norway</w:t>
            </w:r>
          </w:p>
        </w:tc>
        <w:tc>
          <w:tcPr>
            <w:tcW w:w="824" w:type="dxa"/>
            <w:shd w:val="clear" w:color="auto" w:fill="F9FCF9"/>
          </w:tcPr>
          <w:p>
            <w:pPr>
              <w:pStyle w:val="TableParagraph"/>
              <w:rPr>
                <w:sz w:val="14"/>
              </w:rPr>
            </w:pPr>
            <w:r>
              <w:rPr>
                <w:sz w:val="14"/>
              </w:rPr>
              <w:t>Commercial</w:t>
            </w:r>
          </w:p>
        </w:tc>
        <w:tc>
          <w:tcPr>
            <w:tcW w:w="994" w:type="dxa"/>
            <w:shd w:val="clear" w:color="auto" w:fill="F9FCF9"/>
          </w:tcPr>
          <w:p>
            <w:pPr>
              <w:pStyle w:val="TableParagraph"/>
              <w:rPr>
                <w:sz w:val="14"/>
              </w:rPr>
            </w:pPr>
            <w:r>
              <w:rPr>
                <w:sz w:val="14"/>
              </w:rPr>
              <w:t>Statoil, IEA</w:t>
            </w:r>
          </w:p>
        </w:tc>
        <w:tc>
          <w:tcPr>
            <w:tcW w:w="697" w:type="dxa"/>
            <w:shd w:val="clear" w:color="auto" w:fill="F9FCF9"/>
          </w:tcPr>
          <w:p>
            <w:pPr>
              <w:pStyle w:val="TableParagraph"/>
              <w:rPr>
                <w:sz w:val="14"/>
              </w:rPr>
            </w:pPr>
            <w:r>
              <w:rPr>
                <w:sz w:val="14"/>
              </w:rPr>
              <w:t>1996</w:t>
            </w:r>
          </w:p>
        </w:tc>
        <w:tc>
          <w:tcPr>
            <w:tcW w:w="891" w:type="dxa"/>
            <w:shd w:val="clear" w:color="auto" w:fill="F9FCF9"/>
          </w:tcPr>
          <w:p>
            <w:pPr>
              <w:pStyle w:val="TableParagraph"/>
              <w:rPr>
                <w:sz w:val="8"/>
              </w:rPr>
            </w:pPr>
            <w:r>
              <w:rPr>
                <w:sz w:val="14"/>
              </w:rPr>
              <w:t>3000 t day</w:t>
            </w:r>
            <w:r>
              <w:rPr>
                <w:position w:val="5"/>
                <w:sz w:val="8"/>
              </w:rPr>
              <w:t>-1</w:t>
            </w:r>
          </w:p>
        </w:tc>
        <w:tc>
          <w:tcPr>
            <w:tcW w:w="661" w:type="dxa"/>
            <w:shd w:val="clear" w:color="auto" w:fill="F9FCF9"/>
          </w:tcPr>
          <w:p>
            <w:pPr>
              <w:pStyle w:val="TableParagraph"/>
              <w:rPr>
                <w:sz w:val="14"/>
              </w:rPr>
            </w:pPr>
            <w:r>
              <w:rPr>
                <w:sz w:val="14"/>
              </w:rPr>
              <w:t>20 Mt</w:t>
            </w:r>
          </w:p>
          <w:p>
            <w:pPr>
              <w:pStyle w:val="TableParagraph"/>
              <w:spacing w:before="7"/>
              <w:rPr>
                <w:sz w:val="14"/>
              </w:rPr>
            </w:pPr>
            <w:r>
              <w:rPr>
                <w:sz w:val="14"/>
              </w:rPr>
              <w:t>planned</w:t>
            </w:r>
          </w:p>
        </w:tc>
        <w:tc>
          <w:tcPr>
            <w:tcW w:w="950" w:type="dxa"/>
            <w:shd w:val="clear" w:color="auto" w:fill="F9FCF9"/>
          </w:tcPr>
          <w:p>
            <w:pPr>
              <w:pStyle w:val="TableParagraph"/>
              <w:ind w:left="27"/>
              <w:rPr>
                <w:sz w:val="14"/>
              </w:rPr>
            </w:pPr>
            <w:r>
              <w:rPr>
                <w:sz w:val="14"/>
              </w:rPr>
              <w:t>Aquifer</w:t>
            </w:r>
          </w:p>
        </w:tc>
        <w:tc>
          <w:tcPr>
            <w:tcW w:w="916" w:type="dxa"/>
            <w:shd w:val="clear" w:color="auto" w:fill="F9FCF9"/>
          </w:tcPr>
          <w:p>
            <w:pPr>
              <w:pStyle w:val="TableParagraph"/>
              <w:spacing w:line="249" w:lineRule="auto"/>
              <w:ind w:left="28" w:right="274"/>
              <w:rPr>
                <w:sz w:val="14"/>
              </w:rPr>
            </w:pPr>
            <w:r>
              <w:rPr>
                <w:sz w:val="14"/>
              </w:rPr>
              <w:t>Utsira Formation</w:t>
            </w:r>
          </w:p>
        </w:tc>
        <w:tc>
          <w:tcPr>
            <w:tcW w:w="1022" w:type="dxa"/>
            <w:shd w:val="clear" w:color="auto" w:fill="F9FCF9"/>
          </w:tcPr>
          <w:p>
            <w:pPr>
              <w:pStyle w:val="TableParagraph"/>
              <w:ind w:left="29"/>
              <w:rPr>
                <w:sz w:val="14"/>
              </w:rPr>
            </w:pPr>
            <w:r>
              <w:rPr>
                <w:sz w:val="14"/>
              </w:rPr>
              <w:t>Tertiary</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spacing w:line="249" w:lineRule="auto"/>
              <w:ind w:left="31"/>
              <w:rPr>
                <w:sz w:val="14"/>
              </w:rPr>
            </w:pPr>
            <w:r>
              <w:rPr>
                <w:sz w:val="14"/>
              </w:rPr>
              <w:t>4D seismic plus gravity</w:t>
            </w:r>
          </w:p>
        </w:tc>
      </w:tr>
      <w:tr>
        <w:trPr>
          <w:trHeight w:val="423" w:hRule="atLeast"/>
        </w:trPr>
        <w:tc>
          <w:tcPr>
            <w:tcW w:w="684" w:type="dxa"/>
            <w:shd w:val="clear" w:color="auto" w:fill="F9FCF9"/>
          </w:tcPr>
          <w:p>
            <w:pPr>
              <w:pStyle w:val="TableParagraph"/>
              <w:ind w:left="27"/>
              <w:rPr>
                <w:sz w:val="14"/>
              </w:rPr>
            </w:pPr>
            <w:r>
              <w:rPr>
                <w:sz w:val="14"/>
              </w:rPr>
              <w:t>Weyburn</w:t>
            </w:r>
          </w:p>
        </w:tc>
        <w:tc>
          <w:tcPr>
            <w:tcW w:w="819" w:type="dxa"/>
            <w:shd w:val="clear" w:color="auto" w:fill="F9FCF9"/>
          </w:tcPr>
          <w:p>
            <w:pPr>
              <w:pStyle w:val="TableParagraph"/>
              <w:rPr>
                <w:sz w:val="14"/>
              </w:rPr>
            </w:pPr>
            <w:r>
              <w:rPr>
                <w:sz w:val="14"/>
              </w:rPr>
              <w:t>Canada</w:t>
            </w:r>
          </w:p>
        </w:tc>
        <w:tc>
          <w:tcPr>
            <w:tcW w:w="824" w:type="dxa"/>
            <w:shd w:val="clear" w:color="auto" w:fill="F9FCF9"/>
          </w:tcPr>
          <w:p>
            <w:pPr>
              <w:pStyle w:val="TableParagraph"/>
              <w:rPr>
                <w:sz w:val="14"/>
              </w:rPr>
            </w:pPr>
            <w:r>
              <w:rPr>
                <w:sz w:val="14"/>
              </w:rPr>
              <w:t>Commercial</w:t>
            </w:r>
          </w:p>
        </w:tc>
        <w:tc>
          <w:tcPr>
            <w:tcW w:w="994" w:type="dxa"/>
            <w:shd w:val="clear" w:color="auto" w:fill="F9FCF9"/>
          </w:tcPr>
          <w:p>
            <w:pPr>
              <w:pStyle w:val="TableParagraph"/>
              <w:rPr>
                <w:sz w:val="14"/>
              </w:rPr>
            </w:pPr>
            <w:r>
              <w:rPr>
                <w:sz w:val="14"/>
              </w:rPr>
              <w:t>EnCana, IEA</w:t>
            </w:r>
          </w:p>
        </w:tc>
        <w:tc>
          <w:tcPr>
            <w:tcW w:w="697" w:type="dxa"/>
            <w:shd w:val="clear" w:color="auto" w:fill="F9FCF9"/>
          </w:tcPr>
          <w:p>
            <w:pPr>
              <w:pStyle w:val="TableParagraph"/>
              <w:rPr>
                <w:sz w:val="14"/>
              </w:rPr>
            </w:pPr>
            <w:r>
              <w:rPr>
                <w:sz w:val="14"/>
              </w:rPr>
              <w:t>May 2000</w:t>
            </w:r>
          </w:p>
        </w:tc>
        <w:tc>
          <w:tcPr>
            <w:tcW w:w="891" w:type="dxa"/>
            <w:shd w:val="clear" w:color="auto" w:fill="F9FCF9"/>
          </w:tcPr>
          <w:p>
            <w:pPr>
              <w:pStyle w:val="TableParagraph"/>
              <w:rPr>
                <w:sz w:val="8"/>
              </w:rPr>
            </w:pPr>
            <w:r>
              <w:rPr>
                <w:sz w:val="14"/>
              </w:rPr>
              <w:t>3-5000 t day</w:t>
            </w:r>
            <w:r>
              <w:rPr>
                <w:position w:val="5"/>
                <w:sz w:val="8"/>
              </w:rPr>
              <w:t>-1</w:t>
            </w:r>
          </w:p>
        </w:tc>
        <w:tc>
          <w:tcPr>
            <w:tcW w:w="661" w:type="dxa"/>
            <w:shd w:val="clear" w:color="auto" w:fill="F9FCF9"/>
          </w:tcPr>
          <w:p>
            <w:pPr>
              <w:pStyle w:val="TableParagraph"/>
              <w:rPr>
                <w:sz w:val="14"/>
              </w:rPr>
            </w:pPr>
            <w:r>
              <w:rPr>
                <w:sz w:val="14"/>
              </w:rPr>
              <w:t>20 Mt</w:t>
            </w:r>
          </w:p>
          <w:p>
            <w:pPr>
              <w:pStyle w:val="TableParagraph"/>
              <w:spacing w:before="7"/>
              <w:rPr>
                <w:sz w:val="14"/>
              </w:rPr>
            </w:pPr>
            <w:r>
              <w:rPr>
                <w:sz w:val="14"/>
              </w:rPr>
              <w:t>planned</w:t>
            </w:r>
          </w:p>
        </w:tc>
        <w:tc>
          <w:tcPr>
            <w:tcW w:w="950" w:type="dxa"/>
            <w:shd w:val="clear" w:color="auto" w:fill="F9FCF9"/>
          </w:tcPr>
          <w:p>
            <w:pPr>
              <w:pStyle w:val="TableParagraph"/>
              <w:ind w:left="27"/>
              <w:rPr>
                <w:sz w:val="14"/>
              </w:rPr>
            </w:pPr>
            <w:r>
              <w:rPr>
                <w:sz w:val="14"/>
              </w:rPr>
              <w:t>CO</w:t>
            </w:r>
            <w:r>
              <w:rPr>
                <w:position w:val="-4"/>
                <w:sz w:val="8"/>
              </w:rPr>
              <w:t>2</w:t>
            </w:r>
            <w:r>
              <w:rPr>
                <w:sz w:val="14"/>
              </w:rPr>
              <w:t>-EOR</w:t>
            </w:r>
          </w:p>
        </w:tc>
        <w:tc>
          <w:tcPr>
            <w:tcW w:w="916" w:type="dxa"/>
            <w:shd w:val="clear" w:color="auto" w:fill="F9FCF9"/>
          </w:tcPr>
          <w:p>
            <w:pPr>
              <w:pStyle w:val="TableParagraph"/>
              <w:spacing w:line="249" w:lineRule="auto"/>
              <w:ind w:left="28" w:right="274"/>
              <w:rPr>
                <w:sz w:val="14"/>
              </w:rPr>
            </w:pPr>
            <w:r>
              <w:rPr>
                <w:sz w:val="14"/>
              </w:rPr>
              <w:t>Midale Formation</w:t>
            </w:r>
          </w:p>
        </w:tc>
        <w:tc>
          <w:tcPr>
            <w:tcW w:w="1022" w:type="dxa"/>
            <w:shd w:val="clear" w:color="auto" w:fill="F9FCF9"/>
          </w:tcPr>
          <w:p>
            <w:pPr>
              <w:pStyle w:val="TableParagraph"/>
              <w:ind w:left="29"/>
              <w:rPr>
                <w:sz w:val="14"/>
              </w:rPr>
            </w:pPr>
            <w:r>
              <w:rPr>
                <w:sz w:val="14"/>
              </w:rPr>
              <w:t>Mississippian</w:t>
            </w:r>
          </w:p>
        </w:tc>
        <w:tc>
          <w:tcPr>
            <w:tcW w:w="849" w:type="dxa"/>
            <w:shd w:val="clear" w:color="auto" w:fill="F9FCF9"/>
          </w:tcPr>
          <w:p>
            <w:pPr>
              <w:pStyle w:val="TableParagraph"/>
              <w:ind w:left="30"/>
              <w:rPr>
                <w:sz w:val="14"/>
              </w:rPr>
            </w:pPr>
            <w:r>
              <w:rPr>
                <w:sz w:val="14"/>
              </w:rPr>
              <w:t>Carbonate</w:t>
            </w:r>
          </w:p>
        </w:tc>
        <w:tc>
          <w:tcPr>
            <w:tcW w:w="1068" w:type="dxa"/>
            <w:shd w:val="clear" w:color="auto" w:fill="F9FCF9"/>
          </w:tcPr>
          <w:p>
            <w:pPr>
              <w:pStyle w:val="TableParagraph"/>
              <w:ind w:left="31"/>
              <w:rPr>
                <w:sz w:val="14"/>
              </w:rPr>
            </w:pPr>
            <w:r>
              <w:rPr>
                <w:sz w:val="14"/>
              </w:rPr>
              <w:t>Comprehensive</w:t>
            </w:r>
          </w:p>
        </w:tc>
      </w:tr>
      <w:tr>
        <w:trPr>
          <w:trHeight w:val="926" w:hRule="atLeast"/>
        </w:trPr>
        <w:tc>
          <w:tcPr>
            <w:tcW w:w="684" w:type="dxa"/>
            <w:shd w:val="clear" w:color="auto" w:fill="F9FCF9"/>
          </w:tcPr>
          <w:p>
            <w:pPr>
              <w:pStyle w:val="TableParagraph"/>
              <w:spacing w:line="249" w:lineRule="auto"/>
              <w:ind w:left="27" w:right="129"/>
              <w:rPr>
                <w:sz w:val="14"/>
              </w:rPr>
            </w:pPr>
            <w:r>
              <w:rPr>
                <w:sz w:val="14"/>
              </w:rPr>
              <w:t>Minami- Nagoaka</w:t>
            </w:r>
          </w:p>
        </w:tc>
        <w:tc>
          <w:tcPr>
            <w:tcW w:w="819" w:type="dxa"/>
            <w:shd w:val="clear" w:color="auto" w:fill="F9FCF9"/>
          </w:tcPr>
          <w:p>
            <w:pPr>
              <w:pStyle w:val="TableParagraph"/>
              <w:rPr>
                <w:sz w:val="14"/>
              </w:rPr>
            </w:pPr>
            <w:r>
              <w:rPr>
                <w:sz w:val="14"/>
              </w:rPr>
              <w:t>Japan</w:t>
            </w:r>
          </w:p>
        </w:tc>
        <w:tc>
          <w:tcPr>
            <w:tcW w:w="824" w:type="dxa"/>
            <w:shd w:val="clear" w:color="auto" w:fill="F9FCF9"/>
          </w:tcPr>
          <w:p>
            <w:pPr>
              <w:pStyle w:val="TableParagraph"/>
              <w:rPr>
                <w:sz w:val="14"/>
              </w:rPr>
            </w:pPr>
            <w:r>
              <w:rPr>
                <w:sz w:val="14"/>
              </w:rPr>
              <w:t>Demo</w:t>
            </w:r>
          </w:p>
        </w:tc>
        <w:tc>
          <w:tcPr>
            <w:tcW w:w="994" w:type="dxa"/>
            <w:shd w:val="clear" w:color="auto" w:fill="F9FCF9"/>
          </w:tcPr>
          <w:p>
            <w:pPr>
              <w:pStyle w:val="TableParagraph"/>
              <w:spacing w:line="249" w:lineRule="auto"/>
              <w:ind w:right="71"/>
              <w:rPr>
                <w:sz w:val="14"/>
              </w:rPr>
            </w:pPr>
            <w:r>
              <w:rPr>
                <w:sz w:val="14"/>
              </w:rPr>
              <w:t>Research Institute of Innovative Technology for the Earth</w:t>
            </w:r>
          </w:p>
        </w:tc>
        <w:tc>
          <w:tcPr>
            <w:tcW w:w="697" w:type="dxa"/>
            <w:shd w:val="clear" w:color="auto" w:fill="F9FCF9"/>
          </w:tcPr>
          <w:p>
            <w:pPr>
              <w:pStyle w:val="TableParagraph"/>
              <w:rPr>
                <w:sz w:val="14"/>
              </w:rPr>
            </w:pPr>
            <w:r>
              <w:rPr>
                <w:sz w:val="14"/>
              </w:rPr>
              <w:t>2002</w:t>
            </w:r>
          </w:p>
        </w:tc>
        <w:tc>
          <w:tcPr>
            <w:tcW w:w="891" w:type="dxa"/>
            <w:shd w:val="clear" w:color="auto" w:fill="F9FCF9"/>
          </w:tcPr>
          <w:p>
            <w:pPr>
              <w:pStyle w:val="TableParagraph"/>
              <w:spacing w:line="249" w:lineRule="auto"/>
              <w:ind w:right="403"/>
              <w:rPr>
                <w:sz w:val="8"/>
              </w:rPr>
            </w:pPr>
            <w:r>
              <w:rPr>
                <w:sz w:val="14"/>
              </w:rPr>
              <w:t>Max 40 t day</w:t>
            </w:r>
            <w:r>
              <w:rPr>
                <w:position w:val="5"/>
                <w:sz w:val="8"/>
              </w:rPr>
              <w:t>-1</w:t>
            </w:r>
          </w:p>
        </w:tc>
        <w:tc>
          <w:tcPr>
            <w:tcW w:w="661" w:type="dxa"/>
            <w:shd w:val="clear" w:color="auto" w:fill="F9FCF9"/>
          </w:tcPr>
          <w:p>
            <w:pPr>
              <w:pStyle w:val="TableParagraph"/>
              <w:rPr>
                <w:sz w:val="14"/>
              </w:rPr>
            </w:pPr>
            <w:r>
              <w:rPr>
                <w:sz w:val="14"/>
              </w:rPr>
              <w:t>10,000</w:t>
            </w:r>
            <w:r>
              <w:rPr>
                <w:spacing w:val="8"/>
                <w:sz w:val="14"/>
              </w:rPr>
              <w:t> </w:t>
            </w:r>
            <w:r>
              <w:rPr>
                <w:sz w:val="14"/>
              </w:rPr>
              <w:t>t</w:t>
            </w:r>
          </w:p>
          <w:p>
            <w:pPr>
              <w:pStyle w:val="TableParagraph"/>
              <w:spacing w:before="7"/>
              <w:rPr>
                <w:sz w:val="14"/>
              </w:rPr>
            </w:pPr>
            <w:r>
              <w:rPr>
                <w:sz w:val="14"/>
              </w:rPr>
              <w:t>planned</w:t>
            </w:r>
          </w:p>
        </w:tc>
        <w:tc>
          <w:tcPr>
            <w:tcW w:w="950" w:type="dxa"/>
            <w:shd w:val="clear" w:color="auto" w:fill="F9FCF9"/>
          </w:tcPr>
          <w:p>
            <w:pPr>
              <w:pStyle w:val="TableParagraph"/>
              <w:spacing w:line="249" w:lineRule="auto"/>
              <w:ind w:left="27" w:right="148"/>
              <w:jc w:val="both"/>
              <w:rPr>
                <w:sz w:val="14"/>
              </w:rPr>
            </w:pPr>
            <w:r>
              <w:rPr>
                <w:sz w:val="14"/>
              </w:rPr>
              <w:t>Aquifer (Sth. Nagoaka Gas Field)</w:t>
            </w:r>
          </w:p>
        </w:tc>
        <w:tc>
          <w:tcPr>
            <w:tcW w:w="916" w:type="dxa"/>
            <w:shd w:val="clear" w:color="auto" w:fill="F9FCF9"/>
          </w:tcPr>
          <w:p>
            <w:pPr>
              <w:pStyle w:val="TableParagraph"/>
              <w:spacing w:line="249" w:lineRule="auto"/>
              <w:ind w:left="28" w:right="274"/>
              <w:rPr>
                <w:sz w:val="14"/>
              </w:rPr>
            </w:pPr>
            <w:r>
              <w:rPr>
                <w:sz w:val="14"/>
              </w:rPr>
              <w:t>Haizume Formation</w:t>
            </w:r>
          </w:p>
        </w:tc>
        <w:tc>
          <w:tcPr>
            <w:tcW w:w="1022" w:type="dxa"/>
            <w:shd w:val="clear" w:color="auto" w:fill="F9FCF9"/>
          </w:tcPr>
          <w:p>
            <w:pPr>
              <w:pStyle w:val="TableParagraph"/>
              <w:ind w:left="29"/>
              <w:rPr>
                <w:sz w:val="14"/>
              </w:rPr>
            </w:pPr>
            <w:r>
              <w:rPr>
                <w:sz w:val="14"/>
              </w:rPr>
              <w:t>Pleistocene</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ind w:left="31" w:right="-15"/>
              <w:rPr>
                <w:sz w:val="14"/>
              </w:rPr>
            </w:pPr>
            <w:r>
              <w:rPr>
                <w:sz w:val="14"/>
              </w:rPr>
              <w:t>Crosswell</w:t>
            </w:r>
            <w:r>
              <w:rPr>
                <w:spacing w:val="7"/>
                <w:sz w:val="14"/>
              </w:rPr>
              <w:t> </w:t>
            </w:r>
            <w:r>
              <w:rPr>
                <w:sz w:val="14"/>
              </w:rPr>
              <w:t>seismic</w:t>
            </w:r>
          </w:p>
          <w:p>
            <w:pPr>
              <w:pStyle w:val="TableParagraph"/>
              <w:spacing w:before="7"/>
              <w:ind w:left="31" w:right="-15"/>
              <w:rPr>
                <w:sz w:val="14"/>
              </w:rPr>
            </w:pPr>
            <w:r>
              <w:rPr>
                <w:sz w:val="14"/>
              </w:rPr>
              <w:t>+ well</w:t>
            </w:r>
            <w:r>
              <w:rPr>
                <w:spacing w:val="14"/>
                <w:sz w:val="14"/>
              </w:rPr>
              <w:t> </w:t>
            </w:r>
            <w:r>
              <w:rPr>
                <w:sz w:val="14"/>
              </w:rPr>
              <w:t>monitoring</w:t>
            </w:r>
          </w:p>
        </w:tc>
      </w:tr>
      <w:tr>
        <w:trPr>
          <w:trHeight w:val="759" w:hRule="atLeast"/>
        </w:trPr>
        <w:tc>
          <w:tcPr>
            <w:tcW w:w="684" w:type="dxa"/>
            <w:shd w:val="clear" w:color="auto" w:fill="F9FCF9"/>
          </w:tcPr>
          <w:p>
            <w:pPr>
              <w:pStyle w:val="TableParagraph"/>
              <w:ind w:left="27"/>
              <w:rPr>
                <w:sz w:val="14"/>
              </w:rPr>
            </w:pPr>
            <w:r>
              <w:rPr>
                <w:sz w:val="14"/>
              </w:rPr>
              <w:t>Yubari</w:t>
            </w:r>
          </w:p>
        </w:tc>
        <w:tc>
          <w:tcPr>
            <w:tcW w:w="819" w:type="dxa"/>
            <w:shd w:val="clear" w:color="auto" w:fill="F9FCF9"/>
          </w:tcPr>
          <w:p>
            <w:pPr>
              <w:pStyle w:val="TableParagraph"/>
              <w:rPr>
                <w:sz w:val="14"/>
              </w:rPr>
            </w:pPr>
            <w:r>
              <w:rPr>
                <w:sz w:val="14"/>
              </w:rPr>
              <w:t>Japan</w:t>
            </w:r>
          </w:p>
        </w:tc>
        <w:tc>
          <w:tcPr>
            <w:tcW w:w="824" w:type="dxa"/>
            <w:shd w:val="clear" w:color="auto" w:fill="F9FCF9"/>
          </w:tcPr>
          <w:p>
            <w:pPr>
              <w:pStyle w:val="TableParagraph"/>
              <w:rPr>
                <w:sz w:val="14"/>
              </w:rPr>
            </w:pPr>
            <w:r>
              <w:rPr>
                <w:sz w:val="14"/>
              </w:rPr>
              <w:t>Demo</w:t>
            </w:r>
          </w:p>
        </w:tc>
        <w:tc>
          <w:tcPr>
            <w:tcW w:w="994" w:type="dxa"/>
            <w:shd w:val="clear" w:color="auto" w:fill="F9FCF9"/>
          </w:tcPr>
          <w:p>
            <w:pPr>
              <w:pStyle w:val="TableParagraph"/>
              <w:spacing w:line="249" w:lineRule="auto"/>
              <w:ind w:right="5"/>
              <w:rPr>
                <w:sz w:val="14"/>
              </w:rPr>
            </w:pPr>
            <w:r>
              <w:rPr>
                <w:sz w:val="14"/>
              </w:rPr>
              <w:t>Japanese Ministry of Economy, Trade and Industry</w:t>
            </w:r>
          </w:p>
        </w:tc>
        <w:tc>
          <w:tcPr>
            <w:tcW w:w="697" w:type="dxa"/>
            <w:shd w:val="clear" w:color="auto" w:fill="F9FCF9"/>
          </w:tcPr>
          <w:p>
            <w:pPr>
              <w:pStyle w:val="TableParagraph"/>
              <w:rPr>
                <w:sz w:val="14"/>
              </w:rPr>
            </w:pPr>
            <w:r>
              <w:rPr>
                <w:sz w:val="14"/>
              </w:rPr>
              <w:t>2004</w:t>
            </w:r>
          </w:p>
        </w:tc>
        <w:tc>
          <w:tcPr>
            <w:tcW w:w="891" w:type="dxa"/>
            <w:shd w:val="clear" w:color="auto" w:fill="F9FCF9"/>
          </w:tcPr>
          <w:p>
            <w:pPr>
              <w:pStyle w:val="TableParagraph"/>
              <w:rPr>
                <w:sz w:val="8"/>
              </w:rPr>
            </w:pPr>
            <w:r>
              <w:rPr>
                <w:sz w:val="14"/>
              </w:rPr>
              <w:t>10 t day</w:t>
            </w:r>
            <w:r>
              <w:rPr>
                <w:position w:val="5"/>
                <w:sz w:val="8"/>
              </w:rPr>
              <w:t>-1</w:t>
            </w:r>
          </w:p>
        </w:tc>
        <w:tc>
          <w:tcPr>
            <w:tcW w:w="661" w:type="dxa"/>
            <w:shd w:val="clear" w:color="auto" w:fill="F9FCF9"/>
          </w:tcPr>
          <w:p>
            <w:pPr>
              <w:pStyle w:val="TableParagraph"/>
              <w:rPr>
                <w:sz w:val="14"/>
              </w:rPr>
            </w:pPr>
            <w:r>
              <w:rPr>
                <w:sz w:val="14"/>
              </w:rPr>
              <w:t>200 t</w:t>
            </w:r>
          </w:p>
          <w:p>
            <w:pPr>
              <w:pStyle w:val="TableParagraph"/>
              <w:spacing w:before="7"/>
              <w:rPr>
                <w:sz w:val="14"/>
              </w:rPr>
            </w:pPr>
            <w:r>
              <w:rPr>
                <w:sz w:val="14"/>
              </w:rPr>
              <w:t>Planned</w:t>
            </w:r>
          </w:p>
        </w:tc>
        <w:tc>
          <w:tcPr>
            <w:tcW w:w="950" w:type="dxa"/>
            <w:shd w:val="clear" w:color="auto" w:fill="F9FCF9"/>
          </w:tcPr>
          <w:p>
            <w:pPr>
              <w:pStyle w:val="TableParagraph"/>
              <w:ind w:left="27"/>
              <w:rPr>
                <w:sz w:val="14"/>
              </w:rPr>
            </w:pPr>
            <w:r>
              <w:rPr>
                <w:sz w:val="14"/>
              </w:rPr>
              <w:t>CO</w:t>
            </w:r>
            <w:r>
              <w:rPr>
                <w:position w:val="-4"/>
                <w:sz w:val="8"/>
              </w:rPr>
              <w:t>2</w:t>
            </w:r>
            <w:r>
              <w:rPr>
                <w:sz w:val="14"/>
              </w:rPr>
              <w:t>-ECBM</w:t>
            </w:r>
          </w:p>
        </w:tc>
        <w:tc>
          <w:tcPr>
            <w:tcW w:w="916" w:type="dxa"/>
            <w:shd w:val="clear" w:color="auto" w:fill="F9FCF9"/>
          </w:tcPr>
          <w:p>
            <w:pPr>
              <w:pStyle w:val="TableParagraph"/>
              <w:spacing w:line="249" w:lineRule="auto"/>
              <w:ind w:left="28" w:right="84"/>
              <w:rPr>
                <w:sz w:val="14"/>
              </w:rPr>
            </w:pPr>
            <w:r>
              <w:rPr>
                <w:sz w:val="14"/>
              </w:rPr>
              <w:t>Yubari Formation (Ishikari Coal Basin)</w:t>
            </w:r>
          </w:p>
        </w:tc>
        <w:tc>
          <w:tcPr>
            <w:tcW w:w="1022" w:type="dxa"/>
            <w:shd w:val="clear" w:color="auto" w:fill="F9FCF9"/>
          </w:tcPr>
          <w:p>
            <w:pPr>
              <w:pStyle w:val="TableParagraph"/>
              <w:ind w:left="29"/>
              <w:rPr>
                <w:sz w:val="14"/>
              </w:rPr>
            </w:pPr>
            <w:r>
              <w:rPr>
                <w:sz w:val="14"/>
              </w:rPr>
              <w:t>Tertiary</w:t>
            </w:r>
          </w:p>
        </w:tc>
        <w:tc>
          <w:tcPr>
            <w:tcW w:w="849" w:type="dxa"/>
            <w:shd w:val="clear" w:color="auto" w:fill="F9FCF9"/>
          </w:tcPr>
          <w:p>
            <w:pPr>
              <w:pStyle w:val="TableParagraph"/>
              <w:ind w:left="30"/>
              <w:rPr>
                <w:sz w:val="14"/>
              </w:rPr>
            </w:pPr>
            <w:r>
              <w:rPr>
                <w:sz w:val="14"/>
              </w:rPr>
              <w:t>Coal</w:t>
            </w:r>
          </w:p>
        </w:tc>
        <w:tc>
          <w:tcPr>
            <w:tcW w:w="1068" w:type="dxa"/>
            <w:shd w:val="clear" w:color="auto" w:fill="F9FCF9"/>
          </w:tcPr>
          <w:p>
            <w:pPr>
              <w:pStyle w:val="TableParagraph"/>
              <w:ind w:left="31"/>
              <w:rPr>
                <w:sz w:val="14"/>
              </w:rPr>
            </w:pPr>
            <w:r>
              <w:rPr>
                <w:sz w:val="14"/>
              </w:rPr>
              <w:t>Comprehensive</w:t>
            </w:r>
          </w:p>
        </w:tc>
      </w:tr>
      <w:tr>
        <w:trPr>
          <w:trHeight w:val="590" w:hRule="atLeast"/>
        </w:trPr>
        <w:tc>
          <w:tcPr>
            <w:tcW w:w="684" w:type="dxa"/>
            <w:shd w:val="clear" w:color="auto" w:fill="F9FCF9"/>
          </w:tcPr>
          <w:p>
            <w:pPr>
              <w:pStyle w:val="TableParagraph"/>
              <w:ind w:left="27"/>
              <w:rPr>
                <w:sz w:val="14"/>
              </w:rPr>
            </w:pPr>
            <w:r>
              <w:rPr>
                <w:sz w:val="14"/>
              </w:rPr>
              <w:t>In Salah</w:t>
            </w:r>
          </w:p>
        </w:tc>
        <w:tc>
          <w:tcPr>
            <w:tcW w:w="819" w:type="dxa"/>
            <w:shd w:val="clear" w:color="auto" w:fill="F9FCF9"/>
          </w:tcPr>
          <w:p>
            <w:pPr>
              <w:pStyle w:val="TableParagraph"/>
              <w:rPr>
                <w:sz w:val="14"/>
              </w:rPr>
            </w:pPr>
            <w:r>
              <w:rPr>
                <w:sz w:val="14"/>
              </w:rPr>
              <w:t>Algeria</w:t>
            </w:r>
          </w:p>
        </w:tc>
        <w:tc>
          <w:tcPr>
            <w:tcW w:w="824" w:type="dxa"/>
            <w:shd w:val="clear" w:color="auto" w:fill="F9FCF9"/>
          </w:tcPr>
          <w:p>
            <w:pPr>
              <w:pStyle w:val="TableParagraph"/>
              <w:rPr>
                <w:sz w:val="14"/>
              </w:rPr>
            </w:pPr>
            <w:r>
              <w:rPr>
                <w:sz w:val="14"/>
              </w:rPr>
              <w:t>Commercial</w:t>
            </w:r>
          </w:p>
        </w:tc>
        <w:tc>
          <w:tcPr>
            <w:tcW w:w="994" w:type="dxa"/>
            <w:shd w:val="clear" w:color="auto" w:fill="F9FCF9"/>
          </w:tcPr>
          <w:p>
            <w:pPr>
              <w:pStyle w:val="TableParagraph"/>
              <w:spacing w:line="249" w:lineRule="auto"/>
              <w:rPr>
                <w:sz w:val="14"/>
              </w:rPr>
            </w:pPr>
            <w:r>
              <w:rPr>
                <w:sz w:val="14"/>
              </w:rPr>
              <w:t>Sonatrach, BP, Statoil</w:t>
            </w:r>
          </w:p>
        </w:tc>
        <w:tc>
          <w:tcPr>
            <w:tcW w:w="697" w:type="dxa"/>
            <w:shd w:val="clear" w:color="auto" w:fill="F9FCF9"/>
          </w:tcPr>
          <w:p>
            <w:pPr>
              <w:pStyle w:val="TableParagraph"/>
              <w:rPr>
                <w:sz w:val="14"/>
              </w:rPr>
            </w:pPr>
            <w:r>
              <w:rPr>
                <w:sz w:val="14"/>
              </w:rPr>
              <w:t>2004</w:t>
            </w:r>
          </w:p>
        </w:tc>
        <w:tc>
          <w:tcPr>
            <w:tcW w:w="891" w:type="dxa"/>
            <w:shd w:val="clear" w:color="auto" w:fill="F9FCF9"/>
          </w:tcPr>
          <w:p>
            <w:pPr>
              <w:pStyle w:val="TableParagraph"/>
              <w:rPr>
                <w:sz w:val="14"/>
              </w:rPr>
            </w:pPr>
            <w:r>
              <w:rPr>
                <w:sz w:val="14"/>
              </w:rPr>
              <w:t>3-4000</w:t>
            </w:r>
          </w:p>
          <w:p>
            <w:pPr>
              <w:pStyle w:val="TableParagraph"/>
              <w:spacing w:before="7"/>
              <w:rPr>
                <w:sz w:val="8"/>
              </w:rPr>
            </w:pPr>
            <w:r>
              <w:rPr>
                <w:sz w:val="14"/>
              </w:rPr>
              <w:t>t</w:t>
            </w:r>
            <w:r>
              <w:rPr>
                <w:spacing w:val="8"/>
                <w:sz w:val="14"/>
              </w:rPr>
              <w:t> </w:t>
            </w:r>
            <w:r>
              <w:rPr>
                <w:sz w:val="14"/>
              </w:rPr>
              <w:t>day</w:t>
            </w:r>
            <w:r>
              <w:rPr>
                <w:position w:val="5"/>
                <w:sz w:val="8"/>
              </w:rPr>
              <w:t>-1</w:t>
            </w:r>
          </w:p>
        </w:tc>
        <w:tc>
          <w:tcPr>
            <w:tcW w:w="661" w:type="dxa"/>
            <w:shd w:val="clear" w:color="auto" w:fill="F9FCF9"/>
          </w:tcPr>
          <w:p>
            <w:pPr>
              <w:pStyle w:val="TableParagraph"/>
              <w:rPr>
                <w:sz w:val="14"/>
              </w:rPr>
            </w:pPr>
            <w:r>
              <w:rPr>
                <w:sz w:val="14"/>
              </w:rPr>
              <w:t>17 Mt</w:t>
            </w:r>
          </w:p>
          <w:p>
            <w:pPr>
              <w:pStyle w:val="TableParagraph"/>
              <w:spacing w:before="7"/>
              <w:rPr>
                <w:sz w:val="14"/>
              </w:rPr>
            </w:pPr>
            <w:r>
              <w:rPr>
                <w:sz w:val="14"/>
              </w:rPr>
              <w:t>planned</w:t>
            </w:r>
          </w:p>
        </w:tc>
        <w:tc>
          <w:tcPr>
            <w:tcW w:w="950" w:type="dxa"/>
            <w:shd w:val="clear" w:color="auto" w:fill="F9FCF9"/>
          </w:tcPr>
          <w:p>
            <w:pPr>
              <w:pStyle w:val="TableParagraph"/>
              <w:spacing w:line="249" w:lineRule="auto"/>
              <w:ind w:left="27" w:right="185"/>
              <w:rPr>
                <w:sz w:val="14"/>
              </w:rPr>
            </w:pPr>
            <w:r>
              <w:rPr>
                <w:sz w:val="14"/>
              </w:rPr>
              <w:t>Depleted hydrocarbon reservoirs</w:t>
            </w:r>
          </w:p>
        </w:tc>
        <w:tc>
          <w:tcPr>
            <w:tcW w:w="916" w:type="dxa"/>
            <w:shd w:val="clear" w:color="auto" w:fill="F9FCF9"/>
          </w:tcPr>
          <w:p>
            <w:pPr>
              <w:pStyle w:val="TableParagraph"/>
              <w:spacing w:line="249" w:lineRule="auto"/>
              <w:ind w:left="28" w:right="274"/>
              <w:rPr>
                <w:sz w:val="14"/>
              </w:rPr>
            </w:pPr>
            <w:r>
              <w:rPr>
                <w:sz w:val="14"/>
              </w:rPr>
              <w:t>Krechba Formation</w:t>
            </w:r>
          </w:p>
        </w:tc>
        <w:tc>
          <w:tcPr>
            <w:tcW w:w="1022" w:type="dxa"/>
            <w:shd w:val="clear" w:color="auto" w:fill="F9FCF9"/>
          </w:tcPr>
          <w:p>
            <w:pPr>
              <w:pStyle w:val="TableParagraph"/>
              <w:ind w:left="29"/>
              <w:rPr>
                <w:sz w:val="14"/>
              </w:rPr>
            </w:pPr>
            <w:r>
              <w:rPr>
                <w:sz w:val="14"/>
              </w:rPr>
              <w:t>Carboniferous</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spacing w:line="249" w:lineRule="auto"/>
              <w:ind w:left="31" w:right="159"/>
              <w:rPr>
                <w:sz w:val="14"/>
              </w:rPr>
            </w:pPr>
            <w:r>
              <w:rPr>
                <w:sz w:val="14"/>
              </w:rPr>
              <w:t>Planned comprehensive</w:t>
            </w:r>
          </w:p>
        </w:tc>
      </w:tr>
      <w:tr>
        <w:trPr>
          <w:trHeight w:val="927" w:hRule="atLeast"/>
        </w:trPr>
        <w:tc>
          <w:tcPr>
            <w:tcW w:w="684" w:type="dxa"/>
            <w:shd w:val="clear" w:color="auto" w:fill="F9FCF9"/>
          </w:tcPr>
          <w:p>
            <w:pPr>
              <w:pStyle w:val="TableParagraph"/>
              <w:ind w:left="27"/>
              <w:rPr>
                <w:sz w:val="14"/>
              </w:rPr>
            </w:pPr>
            <w:r>
              <w:rPr>
                <w:sz w:val="14"/>
              </w:rPr>
              <w:t>Frio</w:t>
            </w:r>
          </w:p>
        </w:tc>
        <w:tc>
          <w:tcPr>
            <w:tcW w:w="819" w:type="dxa"/>
            <w:shd w:val="clear" w:color="auto" w:fill="F9FCF9"/>
          </w:tcPr>
          <w:p>
            <w:pPr>
              <w:pStyle w:val="TableParagraph"/>
              <w:rPr>
                <w:sz w:val="14"/>
              </w:rPr>
            </w:pPr>
            <w:r>
              <w:rPr>
                <w:sz w:val="14"/>
              </w:rPr>
              <w:t>USA</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spacing w:line="249" w:lineRule="auto"/>
              <w:rPr>
                <w:sz w:val="14"/>
              </w:rPr>
            </w:pPr>
            <w:r>
              <w:rPr>
                <w:sz w:val="14"/>
              </w:rPr>
              <w:t>Bureau of Economic Geology of the University of Texas</w:t>
            </w:r>
          </w:p>
        </w:tc>
        <w:tc>
          <w:tcPr>
            <w:tcW w:w="697" w:type="dxa"/>
            <w:shd w:val="clear" w:color="auto" w:fill="F9FCF9"/>
          </w:tcPr>
          <w:p>
            <w:pPr>
              <w:pStyle w:val="TableParagraph"/>
              <w:rPr>
                <w:sz w:val="14"/>
              </w:rPr>
            </w:pPr>
            <w:r>
              <w:rPr>
                <w:sz w:val="14"/>
              </w:rPr>
              <w:t>4-13 Oct.</w:t>
            </w:r>
          </w:p>
          <w:p>
            <w:pPr>
              <w:pStyle w:val="TableParagraph"/>
              <w:spacing w:before="7"/>
              <w:rPr>
                <w:sz w:val="14"/>
              </w:rPr>
            </w:pPr>
            <w:r>
              <w:rPr>
                <w:sz w:val="14"/>
              </w:rPr>
              <w:t>2004</w:t>
            </w:r>
          </w:p>
        </w:tc>
        <w:tc>
          <w:tcPr>
            <w:tcW w:w="891" w:type="dxa"/>
            <w:shd w:val="clear" w:color="auto" w:fill="F9FCF9"/>
          </w:tcPr>
          <w:p>
            <w:pPr>
              <w:pStyle w:val="TableParagraph"/>
              <w:spacing w:line="249" w:lineRule="auto"/>
              <w:ind w:right="127"/>
              <w:rPr>
                <w:sz w:val="14"/>
              </w:rPr>
            </w:pPr>
            <w:r>
              <w:rPr>
                <w:sz w:val="14"/>
              </w:rPr>
              <w:t>Approx. 177 t day</w:t>
            </w:r>
            <w:r>
              <w:rPr>
                <w:position w:val="5"/>
                <w:sz w:val="8"/>
              </w:rPr>
              <w:t>-1 </w:t>
            </w:r>
            <w:r>
              <w:rPr>
                <w:sz w:val="14"/>
              </w:rPr>
              <w:t>for 9 days</w:t>
            </w:r>
          </w:p>
        </w:tc>
        <w:tc>
          <w:tcPr>
            <w:tcW w:w="661" w:type="dxa"/>
            <w:shd w:val="clear" w:color="auto" w:fill="F9FCF9"/>
          </w:tcPr>
          <w:p>
            <w:pPr>
              <w:pStyle w:val="TableParagraph"/>
              <w:rPr>
                <w:sz w:val="14"/>
              </w:rPr>
            </w:pPr>
            <w:r>
              <w:rPr>
                <w:sz w:val="14"/>
              </w:rPr>
              <w:t>1600t</w:t>
            </w:r>
          </w:p>
        </w:tc>
        <w:tc>
          <w:tcPr>
            <w:tcW w:w="950" w:type="dxa"/>
            <w:shd w:val="clear" w:color="auto" w:fill="F9FCF9"/>
          </w:tcPr>
          <w:p>
            <w:pPr>
              <w:pStyle w:val="TableParagraph"/>
              <w:spacing w:line="249" w:lineRule="auto"/>
              <w:ind w:left="27" w:right="340"/>
              <w:rPr>
                <w:sz w:val="14"/>
              </w:rPr>
            </w:pPr>
            <w:r>
              <w:rPr>
                <w:sz w:val="14"/>
              </w:rPr>
              <w:t>Saline formation</w:t>
            </w:r>
          </w:p>
        </w:tc>
        <w:tc>
          <w:tcPr>
            <w:tcW w:w="916" w:type="dxa"/>
            <w:shd w:val="clear" w:color="auto" w:fill="F9FCF9"/>
          </w:tcPr>
          <w:p>
            <w:pPr>
              <w:pStyle w:val="TableParagraph"/>
              <w:ind w:left="28"/>
              <w:rPr>
                <w:sz w:val="14"/>
              </w:rPr>
            </w:pPr>
            <w:r>
              <w:rPr>
                <w:sz w:val="14"/>
              </w:rPr>
              <w:t>Frio Formation</w:t>
            </w:r>
          </w:p>
        </w:tc>
        <w:tc>
          <w:tcPr>
            <w:tcW w:w="1022" w:type="dxa"/>
            <w:shd w:val="clear" w:color="auto" w:fill="F9FCF9"/>
          </w:tcPr>
          <w:p>
            <w:pPr>
              <w:pStyle w:val="TableParagraph"/>
              <w:ind w:left="29"/>
              <w:rPr>
                <w:sz w:val="14"/>
              </w:rPr>
            </w:pPr>
            <w:r>
              <w:rPr>
                <w:sz w:val="14"/>
              </w:rPr>
              <w:t>Tertiary</w:t>
            </w:r>
          </w:p>
        </w:tc>
        <w:tc>
          <w:tcPr>
            <w:tcW w:w="849" w:type="dxa"/>
            <w:shd w:val="clear" w:color="auto" w:fill="F9FCF9"/>
          </w:tcPr>
          <w:p>
            <w:pPr>
              <w:pStyle w:val="TableParagraph"/>
              <w:spacing w:line="249" w:lineRule="auto"/>
              <w:ind w:left="30" w:right="19"/>
              <w:rPr>
                <w:sz w:val="14"/>
              </w:rPr>
            </w:pPr>
            <w:r>
              <w:rPr>
                <w:sz w:val="14"/>
              </w:rPr>
              <w:t>Brine-bearing sandstone- shale</w:t>
            </w:r>
          </w:p>
        </w:tc>
        <w:tc>
          <w:tcPr>
            <w:tcW w:w="1068" w:type="dxa"/>
            <w:shd w:val="clear" w:color="auto" w:fill="F9FCF9"/>
          </w:tcPr>
          <w:p>
            <w:pPr>
              <w:pStyle w:val="TableParagraph"/>
              <w:ind w:left="31"/>
              <w:rPr>
                <w:sz w:val="14"/>
              </w:rPr>
            </w:pPr>
            <w:r>
              <w:rPr>
                <w:sz w:val="14"/>
              </w:rPr>
              <w:t>Comprehensive</w:t>
            </w:r>
          </w:p>
        </w:tc>
      </w:tr>
      <w:tr>
        <w:trPr>
          <w:trHeight w:val="423" w:hRule="atLeast"/>
        </w:trPr>
        <w:tc>
          <w:tcPr>
            <w:tcW w:w="684" w:type="dxa"/>
            <w:shd w:val="clear" w:color="auto" w:fill="F9FCF9"/>
          </w:tcPr>
          <w:p>
            <w:pPr>
              <w:pStyle w:val="TableParagraph"/>
              <w:ind w:left="27"/>
              <w:rPr>
                <w:sz w:val="14"/>
              </w:rPr>
            </w:pPr>
            <w:r>
              <w:rPr>
                <w:sz w:val="14"/>
              </w:rPr>
              <w:t>K12B</w:t>
            </w:r>
          </w:p>
        </w:tc>
        <w:tc>
          <w:tcPr>
            <w:tcW w:w="819" w:type="dxa"/>
            <w:shd w:val="clear" w:color="auto" w:fill="F9FCF9"/>
          </w:tcPr>
          <w:p>
            <w:pPr>
              <w:pStyle w:val="TableParagraph"/>
              <w:rPr>
                <w:sz w:val="14"/>
              </w:rPr>
            </w:pPr>
            <w:r>
              <w:rPr>
                <w:sz w:val="14"/>
              </w:rPr>
              <w:t>Netherlands</w:t>
            </w:r>
          </w:p>
        </w:tc>
        <w:tc>
          <w:tcPr>
            <w:tcW w:w="824" w:type="dxa"/>
            <w:shd w:val="clear" w:color="auto" w:fill="F9FCF9"/>
          </w:tcPr>
          <w:p>
            <w:pPr>
              <w:pStyle w:val="TableParagraph"/>
              <w:rPr>
                <w:sz w:val="14"/>
              </w:rPr>
            </w:pPr>
            <w:r>
              <w:rPr>
                <w:sz w:val="14"/>
              </w:rPr>
              <w:t>Demo</w:t>
            </w:r>
          </w:p>
        </w:tc>
        <w:tc>
          <w:tcPr>
            <w:tcW w:w="994" w:type="dxa"/>
            <w:shd w:val="clear" w:color="auto" w:fill="F9FCF9"/>
          </w:tcPr>
          <w:p>
            <w:pPr>
              <w:pStyle w:val="TableParagraph"/>
              <w:rPr>
                <w:sz w:val="14"/>
              </w:rPr>
            </w:pPr>
            <w:r>
              <w:rPr>
                <w:sz w:val="14"/>
              </w:rPr>
              <w:t>Gaz de France</w:t>
            </w:r>
          </w:p>
        </w:tc>
        <w:tc>
          <w:tcPr>
            <w:tcW w:w="697" w:type="dxa"/>
            <w:shd w:val="clear" w:color="auto" w:fill="F9FCF9"/>
          </w:tcPr>
          <w:p>
            <w:pPr>
              <w:pStyle w:val="TableParagraph"/>
              <w:rPr>
                <w:sz w:val="14"/>
              </w:rPr>
            </w:pPr>
            <w:r>
              <w:rPr>
                <w:sz w:val="14"/>
              </w:rPr>
              <w:t>2004</w:t>
            </w:r>
          </w:p>
        </w:tc>
        <w:tc>
          <w:tcPr>
            <w:tcW w:w="891" w:type="dxa"/>
            <w:shd w:val="clear" w:color="auto" w:fill="F9FCF9"/>
          </w:tcPr>
          <w:p>
            <w:pPr>
              <w:pStyle w:val="TableParagraph"/>
              <w:rPr>
                <w:sz w:val="14"/>
              </w:rPr>
            </w:pPr>
            <w:r>
              <w:rPr>
                <w:sz w:val="14"/>
              </w:rPr>
              <w:t>100-1000 t</w:t>
            </w:r>
          </w:p>
          <w:p>
            <w:pPr>
              <w:pStyle w:val="TableParagraph"/>
              <w:spacing w:before="7"/>
              <w:rPr>
                <w:sz w:val="14"/>
              </w:rPr>
            </w:pPr>
            <w:r>
              <w:rPr>
                <w:sz w:val="14"/>
              </w:rPr>
              <w:t>day</w:t>
            </w:r>
            <w:r>
              <w:rPr>
                <w:position w:val="5"/>
                <w:sz w:val="8"/>
              </w:rPr>
              <w:t>-1 </w:t>
            </w:r>
            <w:r>
              <w:rPr>
                <w:sz w:val="14"/>
              </w:rPr>
              <w:t>(2006+)</w:t>
            </w:r>
          </w:p>
        </w:tc>
        <w:tc>
          <w:tcPr>
            <w:tcW w:w="661" w:type="dxa"/>
            <w:shd w:val="clear" w:color="auto" w:fill="F9FCF9"/>
          </w:tcPr>
          <w:p>
            <w:pPr>
              <w:pStyle w:val="TableParagraph"/>
              <w:spacing w:line="249" w:lineRule="auto"/>
              <w:ind w:right="177"/>
              <w:rPr>
                <w:sz w:val="14"/>
              </w:rPr>
            </w:pPr>
            <w:r>
              <w:rPr>
                <w:sz w:val="14"/>
              </w:rPr>
              <w:t>Approx 8 Mt</w:t>
            </w:r>
          </w:p>
        </w:tc>
        <w:tc>
          <w:tcPr>
            <w:tcW w:w="950" w:type="dxa"/>
            <w:shd w:val="clear" w:color="auto" w:fill="F9FCF9"/>
          </w:tcPr>
          <w:p>
            <w:pPr>
              <w:pStyle w:val="TableParagraph"/>
              <w:ind w:left="27"/>
              <w:rPr>
                <w:sz w:val="14"/>
              </w:rPr>
            </w:pPr>
            <w:r>
              <w:rPr>
                <w:sz w:val="14"/>
              </w:rPr>
              <w:t>EGR</w:t>
            </w:r>
          </w:p>
        </w:tc>
        <w:tc>
          <w:tcPr>
            <w:tcW w:w="916" w:type="dxa"/>
            <w:shd w:val="clear" w:color="auto" w:fill="F9FCF9"/>
          </w:tcPr>
          <w:p>
            <w:pPr>
              <w:pStyle w:val="TableParagraph"/>
              <w:ind w:left="28"/>
              <w:rPr>
                <w:sz w:val="14"/>
              </w:rPr>
            </w:pPr>
            <w:r>
              <w:rPr>
                <w:sz w:val="14"/>
              </w:rPr>
              <w:t>Rotleigendes</w:t>
            </w:r>
          </w:p>
        </w:tc>
        <w:tc>
          <w:tcPr>
            <w:tcW w:w="1022" w:type="dxa"/>
            <w:shd w:val="clear" w:color="auto" w:fill="F9FCF9"/>
          </w:tcPr>
          <w:p>
            <w:pPr>
              <w:pStyle w:val="TableParagraph"/>
              <w:ind w:left="29"/>
              <w:rPr>
                <w:sz w:val="14"/>
              </w:rPr>
            </w:pPr>
            <w:r>
              <w:rPr>
                <w:sz w:val="14"/>
              </w:rPr>
              <w:t>Permian</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ind w:left="31"/>
              <w:rPr>
                <w:sz w:val="14"/>
              </w:rPr>
            </w:pPr>
            <w:r>
              <w:rPr>
                <w:sz w:val="14"/>
              </w:rPr>
              <w:t>Comprehensive</w:t>
            </w:r>
          </w:p>
        </w:tc>
      </w:tr>
      <w:tr>
        <w:trPr>
          <w:trHeight w:val="591" w:hRule="atLeast"/>
        </w:trPr>
        <w:tc>
          <w:tcPr>
            <w:tcW w:w="684" w:type="dxa"/>
            <w:shd w:val="clear" w:color="auto" w:fill="F9FCF9"/>
          </w:tcPr>
          <w:p>
            <w:pPr>
              <w:pStyle w:val="TableParagraph"/>
              <w:spacing w:line="249" w:lineRule="auto"/>
              <w:ind w:left="27" w:right="109"/>
              <w:rPr>
                <w:sz w:val="14"/>
              </w:rPr>
            </w:pPr>
            <w:r>
              <w:rPr>
                <w:sz w:val="14"/>
              </w:rPr>
              <w:t>Fenn Big Valley</w:t>
            </w:r>
          </w:p>
        </w:tc>
        <w:tc>
          <w:tcPr>
            <w:tcW w:w="819" w:type="dxa"/>
            <w:shd w:val="clear" w:color="auto" w:fill="F9FCF9"/>
          </w:tcPr>
          <w:p>
            <w:pPr>
              <w:pStyle w:val="TableParagraph"/>
              <w:rPr>
                <w:sz w:val="14"/>
              </w:rPr>
            </w:pPr>
            <w:r>
              <w:rPr>
                <w:sz w:val="14"/>
              </w:rPr>
              <w:t>Canada</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spacing w:line="249" w:lineRule="auto"/>
              <w:ind w:right="424"/>
              <w:rPr>
                <w:sz w:val="14"/>
              </w:rPr>
            </w:pPr>
            <w:r>
              <w:rPr>
                <w:sz w:val="14"/>
              </w:rPr>
              <w:t>Alberta Research Council</w:t>
            </w:r>
          </w:p>
        </w:tc>
        <w:tc>
          <w:tcPr>
            <w:tcW w:w="697" w:type="dxa"/>
            <w:shd w:val="clear" w:color="auto" w:fill="F9FCF9"/>
          </w:tcPr>
          <w:p>
            <w:pPr>
              <w:pStyle w:val="TableParagraph"/>
              <w:rPr>
                <w:sz w:val="14"/>
              </w:rPr>
            </w:pPr>
            <w:r>
              <w:rPr>
                <w:sz w:val="14"/>
              </w:rPr>
              <w:t>1998</w:t>
            </w:r>
          </w:p>
        </w:tc>
        <w:tc>
          <w:tcPr>
            <w:tcW w:w="891" w:type="dxa"/>
            <w:shd w:val="clear" w:color="auto" w:fill="F9FCF9"/>
          </w:tcPr>
          <w:p>
            <w:pPr>
              <w:pStyle w:val="TableParagraph"/>
              <w:rPr>
                <w:sz w:val="8"/>
              </w:rPr>
            </w:pPr>
            <w:r>
              <w:rPr>
                <w:sz w:val="14"/>
              </w:rPr>
              <w:t>50 t day</w:t>
            </w:r>
            <w:r>
              <w:rPr>
                <w:position w:val="5"/>
                <w:sz w:val="8"/>
              </w:rPr>
              <w:t>-1</w:t>
            </w:r>
          </w:p>
        </w:tc>
        <w:tc>
          <w:tcPr>
            <w:tcW w:w="661" w:type="dxa"/>
            <w:shd w:val="clear" w:color="auto" w:fill="F9FCF9"/>
          </w:tcPr>
          <w:p>
            <w:pPr>
              <w:pStyle w:val="TableParagraph"/>
              <w:rPr>
                <w:sz w:val="14"/>
              </w:rPr>
            </w:pPr>
            <w:r>
              <w:rPr>
                <w:sz w:val="14"/>
              </w:rPr>
              <w:t>200 t</w:t>
            </w:r>
          </w:p>
        </w:tc>
        <w:tc>
          <w:tcPr>
            <w:tcW w:w="950" w:type="dxa"/>
            <w:shd w:val="clear" w:color="auto" w:fill="F9FCF9"/>
          </w:tcPr>
          <w:p>
            <w:pPr>
              <w:pStyle w:val="TableParagraph"/>
              <w:ind w:left="27"/>
              <w:rPr>
                <w:sz w:val="14"/>
              </w:rPr>
            </w:pPr>
            <w:r>
              <w:rPr>
                <w:sz w:val="14"/>
              </w:rPr>
              <w:t>CO</w:t>
            </w:r>
            <w:r>
              <w:rPr>
                <w:position w:val="-4"/>
                <w:sz w:val="8"/>
              </w:rPr>
              <w:t>2</w:t>
            </w:r>
            <w:r>
              <w:rPr>
                <w:sz w:val="14"/>
              </w:rPr>
              <w:t>-ECBM</w:t>
            </w:r>
          </w:p>
        </w:tc>
        <w:tc>
          <w:tcPr>
            <w:tcW w:w="916" w:type="dxa"/>
            <w:shd w:val="clear" w:color="auto" w:fill="F9FCF9"/>
          </w:tcPr>
          <w:p>
            <w:pPr>
              <w:pStyle w:val="TableParagraph"/>
              <w:spacing w:line="249" w:lineRule="auto"/>
              <w:ind w:left="28" w:right="282"/>
              <w:rPr>
                <w:sz w:val="14"/>
              </w:rPr>
            </w:pPr>
            <w:r>
              <w:rPr>
                <w:sz w:val="14"/>
              </w:rPr>
              <w:t>Mannville Group</w:t>
            </w:r>
          </w:p>
        </w:tc>
        <w:tc>
          <w:tcPr>
            <w:tcW w:w="1022" w:type="dxa"/>
            <w:shd w:val="clear" w:color="auto" w:fill="F9FCF9"/>
          </w:tcPr>
          <w:p>
            <w:pPr>
              <w:pStyle w:val="TableParagraph"/>
              <w:ind w:left="29"/>
              <w:rPr>
                <w:sz w:val="14"/>
              </w:rPr>
            </w:pPr>
            <w:r>
              <w:rPr>
                <w:sz w:val="14"/>
              </w:rPr>
              <w:t>Cretaceous</w:t>
            </w:r>
          </w:p>
        </w:tc>
        <w:tc>
          <w:tcPr>
            <w:tcW w:w="849" w:type="dxa"/>
            <w:shd w:val="clear" w:color="auto" w:fill="F9FCF9"/>
          </w:tcPr>
          <w:p>
            <w:pPr>
              <w:pStyle w:val="TableParagraph"/>
              <w:ind w:left="30"/>
              <w:rPr>
                <w:sz w:val="14"/>
              </w:rPr>
            </w:pPr>
            <w:r>
              <w:rPr>
                <w:sz w:val="14"/>
              </w:rPr>
              <w:t>Coal</w:t>
            </w:r>
          </w:p>
        </w:tc>
        <w:tc>
          <w:tcPr>
            <w:tcW w:w="1068" w:type="dxa"/>
            <w:shd w:val="clear" w:color="auto" w:fill="F9FCF9"/>
          </w:tcPr>
          <w:p>
            <w:pPr>
              <w:pStyle w:val="TableParagraph"/>
              <w:ind w:left="31"/>
              <w:rPr>
                <w:sz w:val="14"/>
              </w:rPr>
            </w:pPr>
            <w:r>
              <w:rPr>
                <w:sz w:val="14"/>
              </w:rPr>
              <w:t>P, T, flow</w:t>
            </w:r>
          </w:p>
        </w:tc>
      </w:tr>
      <w:tr>
        <w:trPr>
          <w:trHeight w:val="422" w:hRule="atLeast"/>
        </w:trPr>
        <w:tc>
          <w:tcPr>
            <w:tcW w:w="684" w:type="dxa"/>
            <w:shd w:val="clear" w:color="auto" w:fill="F9FCF9"/>
          </w:tcPr>
          <w:p>
            <w:pPr>
              <w:pStyle w:val="TableParagraph"/>
              <w:ind w:left="27"/>
              <w:rPr>
                <w:sz w:val="14"/>
              </w:rPr>
            </w:pPr>
            <w:r>
              <w:rPr>
                <w:sz w:val="14"/>
              </w:rPr>
              <w:t>Recopol</w:t>
            </w:r>
          </w:p>
        </w:tc>
        <w:tc>
          <w:tcPr>
            <w:tcW w:w="819" w:type="dxa"/>
            <w:shd w:val="clear" w:color="auto" w:fill="F9FCF9"/>
          </w:tcPr>
          <w:p>
            <w:pPr>
              <w:pStyle w:val="TableParagraph"/>
              <w:rPr>
                <w:sz w:val="14"/>
              </w:rPr>
            </w:pPr>
            <w:r>
              <w:rPr>
                <w:sz w:val="14"/>
              </w:rPr>
              <w:t>Poland</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rPr>
                <w:sz w:val="14"/>
              </w:rPr>
            </w:pPr>
            <w:r>
              <w:rPr>
                <w:sz w:val="14"/>
              </w:rPr>
              <w:t>TNO-NITG</w:t>
            </w:r>
          </w:p>
          <w:p>
            <w:pPr>
              <w:pStyle w:val="TableParagraph"/>
              <w:spacing w:before="7"/>
              <w:rPr>
                <w:sz w:val="14"/>
              </w:rPr>
            </w:pPr>
            <w:r>
              <w:rPr>
                <w:sz w:val="14"/>
              </w:rPr>
              <w:t>(Netherlands)</w:t>
            </w:r>
          </w:p>
        </w:tc>
        <w:tc>
          <w:tcPr>
            <w:tcW w:w="697" w:type="dxa"/>
            <w:shd w:val="clear" w:color="auto" w:fill="F9FCF9"/>
          </w:tcPr>
          <w:p>
            <w:pPr>
              <w:pStyle w:val="TableParagraph"/>
              <w:rPr>
                <w:sz w:val="14"/>
              </w:rPr>
            </w:pPr>
            <w:r>
              <w:rPr>
                <w:sz w:val="14"/>
              </w:rPr>
              <w:t>2003</w:t>
            </w:r>
          </w:p>
        </w:tc>
        <w:tc>
          <w:tcPr>
            <w:tcW w:w="891" w:type="dxa"/>
            <w:shd w:val="clear" w:color="auto" w:fill="F9FCF9"/>
          </w:tcPr>
          <w:p>
            <w:pPr>
              <w:pStyle w:val="TableParagraph"/>
              <w:rPr>
                <w:sz w:val="8"/>
              </w:rPr>
            </w:pPr>
            <w:r>
              <w:rPr>
                <w:sz w:val="14"/>
              </w:rPr>
              <w:t>1 t day</w:t>
            </w:r>
            <w:r>
              <w:rPr>
                <w:position w:val="5"/>
                <w:sz w:val="8"/>
              </w:rPr>
              <w:t>-1</w:t>
            </w:r>
          </w:p>
        </w:tc>
        <w:tc>
          <w:tcPr>
            <w:tcW w:w="661" w:type="dxa"/>
            <w:shd w:val="clear" w:color="auto" w:fill="F9FCF9"/>
          </w:tcPr>
          <w:p>
            <w:pPr>
              <w:pStyle w:val="TableParagraph"/>
              <w:rPr>
                <w:sz w:val="14"/>
              </w:rPr>
            </w:pPr>
            <w:r>
              <w:rPr>
                <w:sz w:val="14"/>
              </w:rPr>
              <w:t>10 t</w:t>
            </w:r>
          </w:p>
        </w:tc>
        <w:tc>
          <w:tcPr>
            <w:tcW w:w="950" w:type="dxa"/>
            <w:shd w:val="clear" w:color="auto" w:fill="F9FCF9"/>
          </w:tcPr>
          <w:p>
            <w:pPr>
              <w:pStyle w:val="TableParagraph"/>
              <w:ind w:left="27"/>
              <w:rPr>
                <w:sz w:val="14"/>
              </w:rPr>
            </w:pPr>
            <w:r>
              <w:rPr>
                <w:sz w:val="14"/>
              </w:rPr>
              <w:t>CO</w:t>
            </w:r>
            <w:r>
              <w:rPr>
                <w:position w:val="-4"/>
                <w:sz w:val="8"/>
              </w:rPr>
              <w:t>2</w:t>
            </w:r>
            <w:r>
              <w:rPr>
                <w:sz w:val="14"/>
              </w:rPr>
              <w:t>-ECBM</w:t>
            </w:r>
          </w:p>
        </w:tc>
        <w:tc>
          <w:tcPr>
            <w:tcW w:w="916" w:type="dxa"/>
            <w:shd w:val="clear" w:color="auto" w:fill="F9FCF9"/>
          </w:tcPr>
          <w:p>
            <w:pPr>
              <w:pStyle w:val="TableParagraph"/>
              <w:spacing w:line="249" w:lineRule="auto"/>
              <w:ind w:left="28" w:right="414"/>
              <w:rPr>
                <w:sz w:val="14"/>
              </w:rPr>
            </w:pPr>
            <w:r>
              <w:rPr>
                <w:sz w:val="14"/>
              </w:rPr>
              <w:t>Silesian Basin</w:t>
            </w:r>
          </w:p>
        </w:tc>
        <w:tc>
          <w:tcPr>
            <w:tcW w:w="1022" w:type="dxa"/>
            <w:shd w:val="clear" w:color="auto" w:fill="F9FCF9"/>
          </w:tcPr>
          <w:p>
            <w:pPr>
              <w:pStyle w:val="TableParagraph"/>
              <w:ind w:left="29"/>
              <w:rPr>
                <w:sz w:val="14"/>
              </w:rPr>
            </w:pPr>
            <w:r>
              <w:rPr>
                <w:sz w:val="14"/>
              </w:rPr>
              <w:t>Carboniferous</w:t>
            </w:r>
          </w:p>
        </w:tc>
        <w:tc>
          <w:tcPr>
            <w:tcW w:w="849" w:type="dxa"/>
            <w:shd w:val="clear" w:color="auto" w:fill="F9FCF9"/>
          </w:tcPr>
          <w:p>
            <w:pPr>
              <w:pStyle w:val="TableParagraph"/>
              <w:ind w:left="30"/>
              <w:rPr>
                <w:sz w:val="14"/>
              </w:rPr>
            </w:pPr>
            <w:r>
              <w:rPr>
                <w:sz w:val="14"/>
              </w:rPr>
              <w:t>Coal</w:t>
            </w:r>
          </w:p>
        </w:tc>
        <w:tc>
          <w:tcPr>
            <w:tcW w:w="1068" w:type="dxa"/>
            <w:shd w:val="clear" w:color="auto" w:fill="F9FCF9"/>
          </w:tcPr>
          <w:p>
            <w:pPr>
              <w:pStyle w:val="TableParagraph"/>
              <w:spacing w:before="0"/>
              <w:ind w:left="0"/>
              <w:rPr>
                <w:sz w:val="14"/>
              </w:rPr>
            </w:pPr>
          </w:p>
        </w:tc>
      </w:tr>
      <w:tr>
        <w:trPr>
          <w:trHeight w:val="590" w:hRule="atLeast"/>
        </w:trPr>
        <w:tc>
          <w:tcPr>
            <w:tcW w:w="684" w:type="dxa"/>
            <w:shd w:val="clear" w:color="auto" w:fill="F9FCF9"/>
          </w:tcPr>
          <w:p>
            <w:pPr>
              <w:pStyle w:val="TableParagraph"/>
              <w:spacing w:line="249" w:lineRule="auto"/>
              <w:ind w:left="27" w:right="183"/>
              <w:rPr>
                <w:sz w:val="14"/>
              </w:rPr>
            </w:pPr>
            <w:r>
              <w:rPr>
                <w:sz w:val="14"/>
              </w:rPr>
              <w:t>Qinshui Basin</w:t>
            </w:r>
          </w:p>
        </w:tc>
        <w:tc>
          <w:tcPr>
            <w:tcW w:w="819" w:type="dxa"/>
            <w:shd w:val="clear" w:color="auto" w:fill="F9FCF9"/>
          </w:tcPr>
          <w:p>
            <w:pPr>
              <w:pStyle w:val="TableParagraph"/>
              <w:rPr>
                <w:sz w:val="14"/>
              </w:rPr>
            </w:pPr>
            <w:r>
              <w:rPr>
                <w:sz w:val="14"/>
              </w:rPr>
              <w:t>China</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spacing w:line="249" w:lineRule="auto"/>
              <w:ind w:right="424"/>
              <w:rPr>
                <w:sz w:val="14"/>
              </w:rPr>
            </w:pPr>
            <w:r>
              <w:rPr>
                <w:sz w:val="14"/>
              </w:rPr>
              <w:t>Alberta Research Council</w:t>
            </w:r>
          </w:p>
        </w:tc>
        <w:tc>
          <w:tcPr>
            <w:tcW w:w="697" w:type="dxa"/>
            <w:shd w:val="clear" w:color="auto" w:fill="F9FCF9"/>
          </w:tcPr>
          <w:p>
            <w:pPr>
              <w:pStyle w:val="TableParagraph"/>
              <w:rPr>
                <w:sz w:val="14"/>
              </w:rPr>
            </w:pPr>
            <w:r>
              <w:rPr>
                <w:sz w:val="14"/>
              </w:rPr>
              <w:t>2003</w:t>
            </w:r>
          </w:p>
        </w:tc>
        <w:tc>
          <w:tcPr>
            <w:tcW w:w="891" w:type="dxa"/>
            <w:shd w:val="clear" w:color="auto" w:fill="F9FCF9"/>
          </w:tcPr>
          <w:p>
            <w:pPr>
              <w:pStyle w:val="TableParagraph"/>
              <w:rPr>
                <w:sz w:val="8"/>
              </w:rPr>
            </w:pPr>
            <w:r>
              <w:rPr>
                <w:sz w:val="14"/>
              </w:rPr>
              <w:t>30 t day</w:t>
            </w:r>
            <w:r>
              <w:rPr>
                <w:position w:val="5"/>
                <w:sz w:val="8"/>
              </w:rPr>
              <w:t>-1</w:t>
            </w:r>
          </w:p>
        </w:tc>
        <w:tc>
          <w:tcPr>
            <w:tcW w:w="661" w:type="dxa"/>
            <w:shd w:val="clear" w:color="auto" w:fill="F9FCF9"/>
          </w:tcPr>
          <w:p>
            <w:pPr>
              <w:pStyle w:val="TableParagraph"/>
              <w:rPr>
                <w:sz w:val="14"/>
              </w:rPr>
            </w:pPr>
            <w:r>
              <w:rPr>
                <w:sz w:val="14"/>
              </w:rPr>
              <w:t>150 t</w:t>
            </w:r>
          </w:p>
        </w:tc>
        <w:tc>
          <w:tcPr>
            <w:tcW w:w="950" w:type="dxa"/>
            <w:shd w:val="clear" w:color="auto" w:fill="F9FCF9"/>
          </w:tcPr>
          <w:p>
            <w:pPr>
              <w:pStyle w:val="TableParagraph"/>
              <w:ind w:left="27"/>
              <w:rPr>
                <w:sz w:val="14"/>
              </w:rPr>
            </w:pPr>
            <w:r>
              <w:rPr>
                <w:sz w:val="14"/>
              </w:rPr>
              <w:t>CO</w:t>
            </w:r>
            <w:r>
              <w:rPr>
                <w:position w:val="-4"/>
                <w:sz w:val="8"/>
              </w:rPr>
              <w:t>2</w:t>
            </w:r>
            <w:r>
              <w:rPr>
                <w:sz w:val="14"/>
              </w:rPr>
              <w:t>-ECBM</w:t>
            </w:r>
          </w:p>
        </w:tc>
        <w:tc>
          <w:tcPr>
            <w:tcW w:w="916" w:type="dxa"/>
            <w:shd w:val="clear" w:color="auto" w:fill="F9FCF9"/>
          </w:tcPr>
          <w:p>
            <w:pPr>
              <w:pStyle w:val="TableParagraph"/>
              <w:spacing w:line="249" w:lineRule="auto"/>
              <w:ind w:left="28" w:right="274"/>
              <w:rPr>
                <w:sz w:val="14"/>
              </w:rPr>
            </w:pPr>
            <w:r>
              <w:rPr>
                <w:sz w:val="14"/>
              </w:rPr>
              <w:t>Shanxi Formation</w:t>
            </w:r>
          </w:p>
        </w:tc>
        <w:tc>
          <w:tcPr>
            <w:tcW w:w="1022" w:type="dxa"/>
            <w:shd w:val="clear" w:color="auto" w:fill="F9FCF9"/>
          </w:tcPr>
          <w:p>
            <w:pPr>
              <w:pStyle w:val="TableParagraph"/>
              <w:spacing w:line="249" w:lineRule="auto"/>
              <w:ind w:left="29" w:right="115"/>
              <w:rPr>
                <w:sz w:val="14"/>
              </w:rPr>
            </w:pPr>
            <w:r>
              <w:rPr>
                <w:sz w:val="14"/>
              </w:rPr>
              <w:t>Carboniferous- Permian</w:t>
            </w:r>
          </w:p>
        </w:tc>
        <w:tc>
          <w:tcPr>
            <w:tcW w:w="849" w:type="dxa"/>
            <w:shd w:val="clear" w:color="auto" w:fill="F9FCF9"/>
          </w:tcPr>
          <w:p>
            <w:pPr>
              <w:pStyle w:val="TableParagraph"/>
              <w:ind w:left="30"/>
              <w:rPr>
                <w:sz w:val="14"/>
              </w:rPr>
            </w:pPr>
            <w:r>
              <w:rPr>
                <w:sz w:val="14"/>
              </w:rPr>
              <w:t>Coal</w:t>
            </w:r>
          </w:p>
        </w:tc>
        <w:tc>
          <w:tcPr>
            <w:tcW w:w="1068" w:type="dxa"/>
            <w:shd w:val="clear" w:color="auto" w:fill="F9FCF9"/>
          </w:tcPr>
          <w:p>
            <w:pPr>
              <w:pStyle w:val="TableParagraph"/>
              <w:ind w:left="31"/>
              <w:rPr>
                <w:sz w:val="14"/>
              </w:rPr>
            </w:pPr>
            <w:r>
              <w:rPr>
                <w:sz w:val="14"/>
              </w:rPr>
              <w:t>P, T, flow</w:t>
            </w:r>
          </w:p>
        </w:tc>
      </w:tr>
      <w:tr>
        <w:trPr>
          <w:trHeight w:val="423" w:hRule="atLeast"/>
        </w:trPr>
        <w:tc>
          <w:tcPr>
            <w:tcW w:w="684" w:type="dxa"/>
            <w:shd w:val="clear" w:color="auto" w:fill="F9FCF9"/>
          </w:tcPr>
          <w:p>
            <w:pPr>
              <w:pStyle w:val="TableParagraph"/>
              <w:ind w:left="27"/>
              <w:rPr>
                <w:sz w:val="14"/>
              </w:rPr>
            </w:pPr>
            <w:r>
              <w:rPr>
                <w:sz w:val="14"/>
              </w:rPr>
              <w:t>Salt Creek</w:t>
            </w:r>
          </w:p>
        </w:tc>
        <w:tc>
          <w:tcPr>
            <w:tcW w:w="819" w:type="dxa"/>
            <w:shd w:val="clear" w:color="auto" w:fill="F9FCF9"/>
          </w:tcPr>
          <w:p>
            <w:pPr>
              <w:pStyle w:val="TableParagraph"/>
              <w:rPr>
                <w:sz w:val="14"/>
              </w:rPr>
            </w:pPr>
            <w:r>
              <w:rPr>
                <w:sz w:val="14"/>
              </w:rPr>
              <w:t>USA</w:t>
            </w:r>
          </w:p>
        </w:tc>
        <w:tc>
          <w:tcPr>
            <w:tcW w:w="824" w:type="dxa"/>
            <w:shd w:val="clear" w:color="auto" w:fill="F9FCF9"/>
          </w:tcPr>
          <w:p>
            <w:pPr>
              <w:pStyle w:val="TableParagraph"/>
              <w:rPr>
                <w:sz w:val="14"/>
              </w:rPr>
            </w:pPr>
            <w:r>
              <w:rPr>
                <w:sz w:val="14"/>
              </w:rPr>
              <w:t>Commercial</w:t>
            </w:r>
          </w:p>
        </w:tc>
        <w:tc>
          <w:tcPr>
            <w:tcW w:w="994" w:type="dxa"/>
            <w:shd w:val="clear" w:color="auto" w:fill="F9FCF9"/>
          </w:tcPr>
          <w:p>
            <w:pPr>
              <w:pStyle w:val="TableParagraph"/>
              <w:rPr>
                <w:sz w:val="14"/>
              </w:rPr>
            </w:pPr>
            <w:r>
              <w:rPr>
                <w:sz w:val="14"/>
              </w:rPr>
              <w:t>Anadarko</w:t>
            </w:r>
          </w:p>
        </w:tc>
        <w:tc>
          <w:tcPr>
            <w:tcW w:w="697" w:type="dxa"/>
            <w:shd w:val="clear" w:color="auto" w:fill="F9FCF9"/>
          </w:tcPr>
          <w:p>
            <w:pPr>
              <w:pStyle w:val="TableParagraph"/>
              <w:rPr>
                <w:sz w:val="14"/>
              </w:rPr>
            </w:pPr>
            <w:r>
              <w:rPr>
                <w:sz w:val="14"/>
              </w:rPr>
              <w:t>2004</w:t>
            </w:r>
          </w:p>
        </w:tc>
        <w:tc>
          <w:tcPr>
            <w:tcW w:w="891" w:type="dxa"/>
            <w:shd w:val="clear" w:color="auto" w:fill="F9FCF9"/>
          </w:tcPr>
          <w:p>
            <w:pPr>
              <w:pStyle w:val="TableParagraph"/>
              <w:rPr>
                <w:sz w:val="14"/>
              </w:rPr>
            </w:pPr>
            <w:r>
              <w:rPr>
                <w:sz w:val="14"/>
              </w:rPr>
              <w:t>5-6000</w:t>
            </w:r>
          </w:p>
          <w:p>
            <w:pPr>
              <w:pStyle w:val="TableParagraph"/>
              <w:spacing w:before="7"/>
              <w:rPr>
                <w:sz w:val="8"/>
              </w:rPr>
            </w:pPr>
            <w:r>
              <w:rPr>
                <w:sz w:val="14"/>
              </w:rPr>
              <w:t>t</w:t>
            </w:r>
            <w:r>
              <w:rPr>
                <w:spacing w:val="8"/>
                <w:sz w:val="14"/>
              </w:rPr>
              <w:t> </w:t>
            </w:r>
            <w:r>
              <w:rPr>
                <w:sz w:val="14"/>
              </w:rPr>
              <w:t>day</w:t>
            </w:r>
            <w:r>
              <w:rPr>
                <w:position w:val="5"/>
                <w:sz w:val="8"/>
              </w:rPr>
              <w:t>-1</w:t>
            </w:r>
          </w:p>
        </w:tc>
        <w:tc>
          <w:tcPr>
            <w:tcW w:w="661" w:type="dxa"/>
            <w:shd w:val="clear" w:color="auto" w:fill="F9FCF9"/>
          </w:tcPr>
          <w:p>
            <w:pPr>
              <w:pStyle w:val="TableParagraph"/>
              <w:rPr>
                <w:sz w:val="14"/>
              </w:rPr>
            </w:pPr>
            <w:r>
              <w:rPr>
                <w:sz w:val="14"/>
              </w:rPr>
              <w:t>27 Mt</w:t>
            </w:r>
          </w:p>
        </w:tc>
        <w:tc>
          <w:tcPr>
            <w:tcW w:w="950" w:type="dxa"/>
            <w:shd w:val="clear" w:color="auto" w:fill="F9FCF9"/>
          </w:tcPr>
          <w:p>
            <w:pPr>
              <w:pStyle w:val="TableParagraph"/>
              <w:ind w:left="27"/>
              <w:rPr>
                <w:sz w:val="14"/>
              </w:rPr>
            </w:pPr>
            <w:r>
              <w:rPr>
                <w:sz w:val="14"/>
              </w:rPr>
              <w:t>CO</w:t>
            </w:r>
            <w:r>
              <w:rPr>
                <w:position w:val="-4"/>
                <w:sz w:val="8"/>
              </w:rPr>
              <w:t>2</w:t>
            </w:r>
            <w:r>
              <w:rPr>
                <w:sz w:val="14"/>
              </w:rPr>
              <w:t>-EOR</w:t>
            </w:r>
          </w:p>
        </w:tc>
        <w:tc>
          <w:tcPr>
            <w:tcW w:w="916" w:type="dxa"/>
            <w:shd w:val="clear" w:color="auto" w:fill="F9FCF9"/>
          </w:tcPr>
          <w:p>
            <w:pPr>
              <w:pStyle w:val="TableParagraph"/>
              <w:ind w:left="28"/>
              <w:rPr>
                <w:sz w:val="14"/>
              </w:rPr>
            </w:pPr>
            <w:r>
              <w:rPr>
                <w:sz w:val="14"/>
              </w:rPr>
              <w:t>Frontier</w:t>
            </w:r>
          </w:p>
        </w:tc>
        <w:tc>
          <w:tcPr>
            <w:tcW w:w="1022" w:type="dxa"/>
            <w:shd w:val="clear" w:color="auto" w:fill="F9FCF9"/>
          </w:tcPr>
          <w:p>
            <w:pPr>
              <w:pStyle w:val="TableParagraph"/>
              <w:ind w:left="29"/>
              <w:rPr>
                <w:sz w:val="14"/>
              </w:rPr>
            </w:pPr>
            <w:r>
              <w:rPr>
                <w:sz w:val="14"/>
              </w:rPr>
              <w:t>Cretaceous</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spacing w:line="249" w:lineRule="auto"/>
              <w:ind w:left="31" w:right="283"/>
              <w:rPr>
                <w:sz w:val="14"/>
              </w:rPr>
            </w:pPr>
            <w:r>
              <w:rPr>
                <w:sz w:val="14"/>
              </w:rPr>
              <w:t>Under development</w:t>
            </w:r>
          </w:p>
        </w:tc>
      </w:tr>
      <w:tr>
        <w:trPr>
          <w:trHeight w:val="270" w:hRule="atLeast"/>
        </w:trPr>
        <w:tc>
          <w:tcPr>
            <w:tcW w:w="10375" w:type="dxa"/>
            <w:gridSpan w:val="12"/>
            <w:shd w:val="clear" w:color="auto" w:fill="EBF4EA"/>
          </w:tcPr>
          <w:p>
            <w:pPr>
              <w:pStyle w:val="TableParagraph"/>
              <w:spacing w:before="45"/>
              <w:ind w:left="27"/>
              <w:rPr>
                <w:b/>
                <w:sz w:val="16"/>
              </w:rPr>
            </w:pPr>
            <w:r>
              <w:rPr>
                <w:b/>
                <w:sz w:val="16"/>
              </w:rPr>
              <w:t>Planned Projects (2005 onwards)</w:t>
            </w:r>
          </w:p>
        </w:tc>
      </w:tr>
      <w:tr>
        <w:trPr>
          <w:trHeight w:val="422" w:hRule="atLeast"/>
        </w:trPr>
        <w:tc>
          <w:tcPr>
            <w:tcW w:w="684" w:type="dxa"/>
            <w:shd w:val="clear" w:color="auto" w:fill="F9FCF9"/>
          </w:tcPr>
          <w:p>
            <w:pPr>
              <w:pStyle w:val="TableParagraph"/>
              <w:ind w:left="27"/>
              <w:rPr>
                <w:sz w:val="14"/>
              </w:rPr>
            </w:pPr>
            <w:r>
              <w:rPr>
                <w:sz w:val="14"/>
              </w:rPr>
              <w:t>Snøhvit</w:t>
            </w:r>
          </w:p>
        </w:tc>
        <w:tc>
          <w:tcPr>
            <w:tcW w:w="819" w:type="dxa"/>
            <w:shd w:val="clear" w:color="auto" w:fill="F9FCF9"/>
          </w:tcPr>
          <w:p>
            <w:pPr>
              <w:pStyle w:val="TableParagraph"/>
              <w:rPr>
                <w:sz w:val="14"/>
              </w:rPr>
            </w:pPr>
            <w:r>
              <w:rPr>
                <w:sz w:val="14"/>
              </w:rPr>
              <w:t>Norway</w:t>
            </w:r>
          </w:p>
        </w:tc>
        <w:tc>
          <w:tcPr>
            <w:tcW w:w="824" w:type="dxa"/>
            <w:shd w:val="clear" w:color="auto" w:fill="F9FCF9"/>
          </w:tcPr>
          <w:p>
            <w:pPr>
              <w:pStyle w:val="TableParagraph"/>
              <w:spacing w:line="249" w:lineRule="auto"/>
              <w:ind w:right="76"/>
              <w:rPr>
                <w:sz w:val="14"/>
              </w:rPr>
            </w:pPr>
            <w:r>
              <w:rPr>
                <w:sz w:val="14"/>
              </w:rPr>
              <w:t>Decided Commercial</w:t>
            </w:r>
          </w:p>
        </w:tc>
        <w:tc>
          <w:tcPr>
            <w:tcW w:w="994" w:type="dxa"/>
            <w:shd w:val="clear" w:color="auto" w:fill="F9FCF9"/>
          </w:tcPr>
          <w:p>
            <w:pPr>
              <w:pStyle w:val="TableParagraph"/>
              <w:rPr>
                <w:sz w:val="14"/>
              </w:rPr>
            </w:pPr>
            <w:r>
              <w:rPr>
                <w:sz w:val="14"/>
              </w:rPr>
              <w:t>Statoil</w:t>
            </w:r>
          </w:p>
        </w:tc>
        <w:tc>
          <w:tcPr>
            <w:tcW w:w="697" w:type="dxa"/>
            <w:shd w:val="clear" w:color="auto" w:fill="F9FCF9"/>
          </w:tcPr>
          <w:p>
            <w:pPr>
              <w:pStyle w:val="TableParagraph"/>
              <w:rPr>
                <w:sz w:val="14"/>
              </w:rPr>
            </w:pPr>
            <w:r>
              <w:rPr>
                <w:sz w:val="14"/>
              </w:rPr>
              <w:t>2006</w:t>
            </w:r>
          </w:p>
        </w:tc>
        <w:tc>
          <w:tcPr>
            <w:tcW w:w="891" w:type="dxa"/>
            <w:shd w:val="clear" w:color="auto" w:fill="F9FCF9"/>
          </w:tcPr>
          <w:p>
            <w:pPr>
              <w:pStyle w:val="TableParagraph"/>
              <w:rPr>
                <w:sz w:val="8"/>
              </w:rPr>
            </w:pPr>
            <w:r>
              <w:rPr>
                <w:sz w:val="14"/>
              </w:rPr>
              <w:t>2000 t day</w:t>
            </w:r>
            <w:r>
              <w:rPr>
                <w:position w:val="5"/>
                <w:sz w:val="8"/>
              </w:rPr>
              <w:t>-1</w:t>
            </w:r>
          </w:p>
        </w:tc>
        <w:tc>
          <w:tcPr>
            <w:tcW w:w="661" w:type="dxa"/>
            <w:shd w:val="clear" w:color="auto" w:fill="F9FCF9"/>
          </w:tcPr>
          <w:p>
            <w:pPr>
              <w:pStyle w:val="TableParagraph"/>
              <w:spacing w:before="0"/>
              <w:ind w:left="0"/>
              <w:rPr>
                <w:sz w:val="14"/>
              </w:rPr>
            </w:pPr>
          </w:p>
        </w:tc>
        <w:tc>
          <w:tcPr>
            <w:tcW w:w="950" w:type="dxa"/>
            <w:shd w:val="clear" w:color="auto" w:fill="F9FCF9"/>
          </w:tcPr>
          <w:p>
            <w:pPr>
              <w:pStyle w:val="TableParagraph"/>
              <w:spacing w:line="249" w:lineRule="auto"/>
              <w:ind w:left="27" w:right="340"/>
              <w:rPr>
                <w:sz w:val="14"/>
              </w:rPr>
            </w:pPr>
            <w:r>
              <w:rPr>
                <w:sz w:val="14"/>
              </w:rPr>
              <w:t>Saline formation</w:t>
            </w:r>
          </w:p>
        </w:tc>
        <w:tc>
          <w:tcPr>
            <w:tcW w:w="916" w:type="dxa"/>
            <w:shd w:val="clear" w:color="auto" w:fill="F9FCF9"/>
          </w:tcPr>
          <w:p>
            <w:pPr>
              <w:pStyle w:val="TableParagraph"/>
              <w:spacing w:line="249" w:lineRule="auto"/>
              <w:ind w:left="28" w:right="274"/>
              <w:rPr>
                <w:sz w:val="14"/>
              </w:rPr>
            </w:pPr>
            <w:r>
              <w:rPr>
                <w:sz w:val="14"/>
              </w:rPr>
              <w:t>Tubaen Formation</w:t>
            </w:r>
          </w:p>
        </w:tc>
        <w:tc>
          <w:tcPr>
            <w:tcW w:w="1022" w:type="dxa"/>
            <w:shd w:val="clear" w:color="auto" w:fill="F9FCF9"/>
          </w:tcPr>
          <w:p>
            <w:pPr>
              <w:pStyle w:val="TableParagraph"/>
              <w:ind w:left="29"/>
              <w:rPr>
                <w:sz w:val="14"/>
              </w:rPr>
            </w:pPr>
            <w:r>
              <w:rPr>
                <w:sz w:val="14"/>
              </w:rPr>
              <w:t>Lower Jurassic</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spacing w:line="249" w:lineRule="auto"/>
              <w:ind w:left="31" w:right="283"/>
              <w:rPr>
                <w:sz w:val="14"/>
              </w:rPr>
            </w:pPr>
            <w:r>
              <w:rPr>
                <w:sz w:val="14"/>
              </w:rPr>
              <w:t>Under development</w:t>
            </w:r>
          </w:p>
        </w:tc>
      </w:tr>
      <w:tr>
        <w:trPr>
          <w:trHeight w:val="758" w:hRule="atLeast"/>
        </w:trPr>
        <w:tc>
          <w:tcPr>
            <w:tcW w:w="684" w:type="dxa"/>
            <w:shd w:val="clear" w:color="auto" w:fill="F9FCF9"/>
          </w:tcPr>
          <w:p>
            <w:pPr>
              <w:pStyle w:val="TableParagraph"/>
              <w:ind w:left="27"/>
              <w:rPr>
                <w:sz w:val="14"/>
              </w:rPr>
            </w:pPr>
            <w:r>
              <w:rPr>
                <w:sz w:val="14"/>
              </w:rPr>
              <w:t>Gorgon</w:t>
            </w:r>
          </w:p>
        </w:tc>
        <w:tc>
          <w:tcPr>
            <w:tcW w:w="819" w:type="dxa"/>
            <w:shd w:val="clear" w:color="auto" w:fill="F9FCF9"/>
          </w:tcPr>
          <w:p>
            <w:pPr>
              <w:pStyle w:val="TableParagraph"/>
              <w:rPr>
                <w:sz w:val="14"/>
              </w:rPr>
            </w:pPr>
            <w:r>
              <w:rPr>
                <w:sz w:val="14"/>
              </w:rPr>
              <w:t>Australia</w:t>
            </w:r>
          </w:p>
        </w:tc>
        <w:tc>
          <w:tcPr>
            <w:tcW w:w="824" w:type="dxa"/>
            <w:shd w:val="clear" w:color="auto" w:fill="F9FCF9"/>
          </w:tcPr>
          <w:p>
            <w:pPr>
              <w:pStyle w:val="TableParagraph"/>
              <w:spacing w:line="249" w:lineRule="auto"/>
              <w:ind w:right="76"/>
              <w:rPr>
                <w:sz w:val="14"/>
              </w:rPr>
            </w:pPr>
            <w:r>
              <w:rPr>
                <w:sz w:val="14"/>
              </w:rPr>
              <w:t>Planned Commercial</w:t>
            </w:r>
          </w:p>
        </w:tc>
        <w:tc>
          <w:tcPr>
            <w:tcW w:w="994" w:type="dxa"/>
            <w:shd w:val="clear" w:color="auto" w:fill="F9FCF9"/>
          </w:tcPr>
          <w:p>
            <w:pPr>
              <w:pStyle w:val="TableParagraph"/>
              <w:rPr>
                <w:sz w:val="14"/>
              </w:rPr>
            </w:pPr>
            <w:r>
              <w:rPr>
                <w:sz w:val="14"/>
              </w:rPr>
              <w:t>Chevron</w:t>
            </w:r>
          </w:p>
        </w:tc>
        <w:tc>
          <w:tcPr>
            <w:tcW w:w="697" w:type="dxa"/>
            <w:shd w:val="clear" w:color="auto" w:fill="F9FCF9"/>
          </w:tcPr>
          <w:p>
            <w:pPr>
              <w:pStyle w:val="TableParagraph"/>
              <w:spacing w:line="249" w:lineRule="auto"/>
              <w:ind w:right="189"/>
              <w:rPr>
                <w:sz w:val="14"/>
              </w:rPr>
            </w:pPr>
            <w:r>
              <w:rPr>
                <w:sz w:val="14"/>
              </w:rPr>
              <w:t>Planned 2009</w:t>
            </w:r>
          </w:p>
        </w:tc>
        <w:tc>
          <w:tcPr>
            <w:tcW w:w="891" w:type="dxa"/>
            <w:shd w:val="clear" w:color="auto" w:fill="F9FCF9"/>
          </w:tcPr>
          <w:p>
            <w:pPr>
              <w:pStyle w:val="TableParagraph"/>
              <w:spacing w:line="249" w:lineRule="auto"/>
              <w:ind w:right="34"/>
              <w:rPr>
                <w:sz w:val="8"/>
              </w:rPr>
            </w:pPr>
            <w:r>
              <w:rPr>
                <w:sz w:val="14"/>
              </w:rPr>
              <w:t>Approx. 10,000 t day</w:t>
            </w:r>
            <w:r>
              <w:rPr>
                <w:position w:val="5"/>
                <w:sz w:val="8"/>
              </w:rPr>
              <w:t>-1</w:t>
            </w:r>
          </w:p>
        </w:tc>
        <w:tc>
          <w:tcPr>
            <w:tcW w:w="661" w:type="dxa"/>
            <w:shd w:val="clear" w:color="auto" w:fill="F9FCF9"/>
          </w:tcPr>
          <w:p>
            <w:pPr>
              <w:pStyle w:val="TableParagraph"/>
              <w:spacing w:before="0"/>
              <w:ind w:left="0"/>
              <w:rPr>
                <w:sz w:val="14"/>
              </w:rPr>
            </w:pPr>
          </w:p>
        </w:tc>
        <w:tc>
          <w:tcPr>
            <w:tcW w:w="950" w:type="dxa"/>
            <w:shd w:val="clear" w:color="auto" w:fill="F9FCF9"/>
          </w:tcPr>
          <w:p>
            <w:pPr>
              <w:pStyle w:val="TableParagraph"/>
              <w:spacing w:line="249" w:lineRule="auto"/>
              <w:ind w:left="27" w:right="340"/>
              <w:rPr>
                <w:sz w:val="14"/>
              </w:rPr>
            </w:pPr>
            <w:r>
              <w:rPr>
                <w:sz w:val="14"/>
              </w:rPr>
              <w:t>Saline formation</w:t>
            </w:r>
          </w:p>
        </w:tc>
        <w:tc>
          <w:tcPr>
            <w:tcW w:w="916" w:type="dxa"/>
            <w:shd w:val="clear" w:color="auto" w:fill="F9FCF9"/>
          </w:tcPr>
          <w:p>
            <w:pPr>
              <w:pStyle w:val="TableParagraph"/>
              <w:spacing w:line="249" w:lineRule="auto"/>
              <w:ind w:left="28" w:right="274"/>
              <w:rPr>
                <w:sz w:val="14"/>
              </w:rPr>
            </w:pPr>
            <w:r>
              <w:rPr>
                <w:sz w:val="14"/>
              </w:rPr>
              <w:t>Dupuy Formation</w:t>
            </w:r>
          </w:p>
        </w:tc>
        <w:tc>
          <w:tcPr>
            <w:tcW w:w="1022" w:type="dxa"/>
            <w:shd w:val="clear" w:color="auto" w:fill="F9FCF9"/>
          </w:tcPr>
          <w:p>
            <w:pPr>
              <w:pStyle w:val="TableParagraph"/>
              <w:ind w:left="29"/>
              <w:rPr>
                <w:sz w:val="14"/>
              </w:rPr>
            </w:pPr>
            <w:r>
              <w:rPr>
                <w:sz w:val="14"/>
              </w:rPr>
              <w:t>Late Jurassic</w:t>
            </w:r>
          </w:p>
        </w:tc>
        <w:tc>
          <w:tcPr>
            <w:tcW w:w="849" w:type="dxa"/>
            <w:shd w:val="clear" w:color="auto" w:fill="F9FCF9"/>
          </w:tcPr>
          <w:p>
            <w:pPr>
              <w:pStyle w:val="TableParagraph"/>
              <w:spacing w:line="249" w:lineRule="auto"/>
              <w:ind w:left="30" w:right="217"/>
              <w:rPr>
                <w:sz w:val="14"/>
              </w:rPr>
            </w:pPr>
            <w:r>
              <w:rPr>
                <w:sz w:val="14"/>
              </w:rPr>
              <w:t>Massive sandstone with shale seal</w:t>
            </w:r>
          </w:p>
        </w:tc>
        <w:tc>
          <w:tcPr>
            <w:tcW w:w="1068" w:type="dxa"/>
            <w:shd w:val="clear" w:color="auto" w:fill="F9FCF9"/>
          </w:tcPr>
          <w:p>
            <w:pPr>
              <w:pStyle w:val="TableParagraph"/>
              <w:spacing w:line="249" w:lineRule="auto"/>
              <w:ind w:left="31" w:right="283"/>
              <w:rPr>
                <w:sz w:val="14"/>
              </w:rPr>
            </w:pPr>
            <w:r>
              <w:rPr>
                <w:sz w:val="14"/>
              </w:rPr>
              <w:t>Under development</w:t>
            </w:r>
          </w:p>
        </w:tc>
      </w:tr>
      <w:tr>
        <w:trPr>
          <w:trHeight w:val="423" w:hRule="atLeast"/>
        </w:trPr>
        <w:tc>
          <w:tcPr>
            <w:tcW w:w="684" w:type="dxa"/>
            <w:shd w:val="clear" w:color="auto" w:fill="F9FCF9"/>
          </w:tcPr>
          <w:p>
            <w:pPr>
              <w:pStyle w:val="TableParagraph"/>
              <w:ind w:left="27"/>
              <w:rPr>
                <w:sz w:val="14"/>
              </w:rPr>
            </w:pPr>
            <w:r>
              <w:rPr>
                <w:sz w:val="14"/>
              </w:rPr>
              <w:t>Ketzin</w:t>
            </w:r>
          </w:p>
        </w:tc>
        <w:tc>
          <w:tcPr>
            <w:tcW w:w="819" w:type="dxa"/>
            <w:shd w:val="clear" w:color="auto" w:fill="F9FCF9"/>
          </w:tcPr>
          <w:p>
            <w:pPr>
              <w:pStyle w:val="TableParagraph"/>
              <w:rPr>
                <w:sz w:val="14"/>
              </w:rPr>
            </w:pPr>
            <w:r>
              <w:rPr>
                <w:sz w:val="14"/>
              </w:rPr>
              <w:t>Germany</w:t>
            </w:r>
          </w:p>
        </w:tc>
        <w:tc>
          <w:tcPr>
            <w:tcW w:w="824" w:type="dxa"/>
            <w:shd w:val="clear" w:color="auto" w:fill="F9FCF9"/>
          </w:tcPr>
          <w:p>
            <w:pPr>
              <w:pStyle w:val="TableParagraph"/>
              <w:rPr>
                <w:sz w:val="14"/>
              </w:rPr>
            </w:pPr>
            <w:r>
              <w:rPr>
                <w:sz w:val="14"/>
              </w:rPr>
              <w:t>Demo</w:t>
            </w:r>
          </w:p>
        </w:tc>
        <w:tc>
          <w:tcPr>
            <w:tcW w:w="994" w:type="dxa"/>
            <w:shd w:val="clear" w:color="auto" w:fill="F9FCF9"/>
          </w:tcPr>
          <w:p>
            <w:pPr>
              <w:pStyle w:val="TableParagraph"/>
              <w:rPr>
                <w:sz w:val="14"/>
              </w:rPr>
            </w:pPr>
            <w:r>
              <w:rPr>
                <w:sz w:val="14"/>
              </w:rPr>
              <w:t>GFZ Potsdam</w:t>
            </w:r>
          </w:p>
        </w:tc>
        <w:tc>
          <w:tcPr>
            <w:tcW w:w="697" w:type="dxa"/>
            <w:shd w:val="clear" w:color="auto" w:fill="F9FCF9"/>
          </w:tcPr>
          <w:p>
            <w:pPr>
              <w:pStyle w:val="TableParagraph"/>
              <w:rPr>
                <w:sz w:val="14"/>
              </w:rPr>
            </w:pPr>
            <w:r>
              <w:rPr>
                <w:sz w:val="14"/>
              </w:rPr>
              <w:t>2006</w:t>
            </w:r>
          </w:p>
        </w:tc>
        <w:tc>
          <w:tcPr>
            <w:tcW w:w="891" w:type="dxa"/>
            <w:shd w:val="clear" w:color="auto" w:fill="F9FCF9"/>
          </w:tcPr>
          <w:p>
            <w:pPr>
              <w:pStyle w:val="TableParagraph"/>
              <w:rPr>
                <w:sz w:val="8"/>
              </w:rPr>
            </w:pPr>
            <w:r>
              <w:rPr>
                <w:sz w:val="14"/>
              </w:rPr>
              <w:t>100 t day</w:t>
            </w:r>
            <w:r>
              <w:rPr>
                <w:position w:val="5"/>
                <w:sz w:val="8"/>
              </w:rPr>
              <w:t>-1</w:t>
            </w:r>
          </w:p>
        </w:tc>
        <w:tc>
          <w:tcPr>
            <w:tcW w:w="661" w:type="dxa"/>
            <w:shd w:val="clear" w:color="auto" w:fill="F9FCF9"/>
          </w:tcPr>
          <w:p>
            <w:pPr>
              <w:pStyle w:val="TableParagraph"/>
              <w:rPr>
                <w:sz w:val="14"/>
              </w:rPr>
            </w:pPr>
            <w:r>
              <w:rPr>
                <w:sz w:val="14"/>
              </w:rPr>
              <w:t>60 kt</w:t>
            </w:r>
          </w:p>
        </w:tc>
        <w:tc>
          <w:tcPr>
            <w:tcW w:w="950" w:type="dxa"/>
            <w:shd w:val="clear" w:color="auto" w:fill="F9FCF9"/>
          </w:tcPr>
          <w:p>
            <w:pPr>
              <w:pStyle w:val="TableParagraph"/>
              <w:spacing w:line="249" w:lineRule="auto"/>
              <w:ind w:left="27" w:right="340"/>
              <w:rPr>
                <w:sz w:val="14"/>
              </w:rPr>
            </w:pPr>
            <w:r>
              <w:rPr>
                <w:sz w:val="14"/>
              </w:rPr>
              <w:t>Saline formation</w:t>
            </w:r>
          </w:p>
        </w:tc>
        <w:tc>
          <w:tcPr>
            <w:tcW w:w="916" w:type="dxa"/>
            <w:shd w:val="clear" w:color="auto" w:fill="F9FCF9"/>
          </w:tcPr>
          <w:p>
            <w:pPr>
              <w:pStyle w:val="TableParagraph"/>
              <w:spacing w:line="249" w:lineRule="auto"/>
              <w:ind w:left="28" w:right="274"/>
              <w:rPr>
                <w:sz w:val="14"/>
              </w:rPr>
            </w:pPr>
            <w:r>
              <w:rPr>
                <w:sz w:val="14"/>
              </w:rPr>
              <w:t>Stuttgart Formation</w:t>
            </w:r>
          </w:p>
        </w:tc>
        <w:tc>
          <w:tcPr>
            <w:tcW w:w="1022" w:type="dxa"/>
            <w:shd w:val="clear" w:color="auto" w:fill="F9FCF9"/>
          </w:tcPr>
          <w:p>
            <w:pPr>
              <w:pStyle w:val="TableParagraph"/>
              <w:ind w:left="29"/>
              <w:rPr>
                <w:sz w:val="14"/>
              </w:rPr>
            </w:pPr>
            <w:r>
              <w:rPr>
                <w:sz w:val="14"/>
              </w:rPr>
              <w:t>Triassic</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ind w:left="31"/>
              <w:rPr>
                <w:sz w:val="14"/>
              </w:rPr>
            </w:pPr>
            <w:r>
              <w:rPr>
                <w:sz w:val="14"/>
              </w:rPr>
              <w:t>Comprehensive</w:t>
            </w:r>
          </w:p>
        </w:tc>
      </w:tr>
      <w:tr>
        <w:trPr>
          <w:trHeight w:val="590" w:hRule="atLeast"/>
        </w:trPr>
        <w:tc>
          <w:tcPr>
            <w:tcW w:w="684" w:type="dxa"/>
            <w:shd w:val="clear" w:color="auto" w:fill="F9FCF9"/>
          </w:tcPr>
          <w:p>
            <w:pPr>
              <w:pStyle w:val="TableParagraph"/>
              <w:ind w:left="27"/>
              <w:rPr>
                <w:sz w:val="14"/>
              </w:rPr>
            </w:pPr>
            <w:r>
              <w:rPr>
                <w:sz w:val="14"/>
              </w:rPr>
              <w:t>Otway</w:t>
            </w:r>
          </w:p>
        </w:tc>
        <w:tc>
          <w:tcPr>
            <w:tcW w:w="819" w:type="dxa"/>
            <w:shd w:val="clear" w:color="auto" w:fill="F9FCF9"/>
          </w:tcPr>
          <w:p>
            <w:pPr>
              <w:pStyle w:val="TableParagraph"/>
              <w:rPr>
                <w:sz w:val="14"/>
              </w:rPr>
            </w:pPr>
            <w:r>
              <w:rPr>
                <w:sz w:val="14"/>
              </w:rPr>
              <w:t>Australia</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rPr>
                <w:sz w:val="14"/>
              </w:rPr>
            </w:pPr>
            <w:r>
              <w:rPr>
                <w:sz w:val="14"/>
              </w:rPr>
              <w:t>CO2CRC</w:t>
            </w:r>
          </w:p>
        </w:tc>
        <w:tc>
          <w:tcPr>
            <w:tcW w:w="697" w:type="dxa"/>
            <w:shd w:val="clear" w:color="auto" w:fill="F9FCF9"/>
          </w:tcPr>
          <w:p>
            <w:pPr>
              <w:pStyle w:val="TableParagraph"/>
              <w:spacing w:line="249" w:lineRule="auto"/>
              <w:ind w:right="123"/>
              <w:rPr>
                <w:sz w:val="14"/>
              </w:rPr>
            </w:pPr>
            <w:r>
              <w:rPr>
                <w:sz w:val="14"/>
              </w:rPr>
              <w:t>Planned late 2005</w:t>
            </w:r>
          </w:p>
        </w:tc>
        <w:tc>
          <w:tcPr>
            <w:tcW w:w="891" w:type="dxa"/>
            <w:shd w:val="clear" w:color="auto" w:fill="F9FCF9"/>
          </w:tcPr>
          <w:p>
            <w:pPr>
              <w:pStyle w:val="TableParagraph"/>
              <w:spacing w:line="249" w:lineRule="auto"/>
              <w:ind w:right="34"/>
              <w:rPr>
                <w:sz w:val="14"/>
              </w:rPr>
            </w:pPr>
            <w:r>
              <w:rPr>
                <w:sz w:val="14"/>
              </w:rPr>
              <w:t>160 t day</w:t>
            </w:r>
            <w:r>
              <w:rPr>
                <w:position w:val="5"/>
                <w:sz w:val="8"/>
              </w:rPr>
              <w:t>-1 </w:t>
            </w:r>
            <w:r>
              <w:rPr>
                <w:sz w:val="14"/>
              </w:rPr>
              <w:t>for 2 years</w:t>
            </w:r>
          </w:p>
        </w:tc>
        <w:tc>
          <w:tcPr>
            <w:tcW w:w="661" w:type="dxa"/>
            <w:shd w:val="clear" w:color="auto" w:fill="F9FCF9"/>
          </w:tcPr>
          <w:p>
            <w:pPr>
              <w:pStyle w:val="TableParagraph"/>
              <w:rPr>
                <w:sz w:val="14"/>
              </w:rPr>
            </w:pPr>
            <w:r>
              <w:rPr>
                <w:sz w:val="14"/>
              </w:rPr>
              <w:t>0.1 Mt</w:t>
            </w:r>
          </w:p>
        </w:tc>
        <w:tc>
          <w:tcPr>
            <w:tcW w:w="950" w:type="dxa"/>
            <w:shd w:val="clear" w:color="auto" w:fill="F9FCF9"/>
          </w:tcPr>
          <w:p>
            <w:pPr>
              <w:pStyle w:val="TableParagraph"/>
              <w:spacing w:line="249" w:lineRule="auto"/>
              <w:ind w:left="27" w:right="115"/>
              <w:rPr>
                <w:sz w:val="14"/>
              </w:rPr>
            </w:pPr>
            <w:r>
              <w:rPr>
                <w:sz w:val="14"/>
              </w:rPr>
              <w:t>Saline fm and depleted gas field</w:t>
            </w:r>
          </w:p>
        </w:tc>
        <w:tc>
          <w:tcPr>
            <w:tcW w:w="916" w:type="dxa"/>
            <w:shd w:val="clear" w:color="auto" w:fill="F9FCF9"/>
          </w:tcPr>
          <w:p>
            <w:pPr>
              <w:pStyle w:val="TableParagraph"/>
              <w:spacing w:line="249" w:lineRule="auto"/>
              <w:ind w:left="28" w:right="274"/>
              <w:rPr>
                <w:sz w:val="14"/>
              </w:rPr>
            </w:pPr>
            <w:r>
              <w:rPr>
                <w:sz w:val="14"/>
              </w:rPr>
              <w:t>Waarre Formation</w:t>
            </w:r>
          </w:p>
        </w:tc>
        <w:tc>
          <w:tcPr>
            <w:tcW w:w="1022" w:type="dxa"/>
            <w:shd w:val="clear" w:color="auto" w:fill="F9FCF9"/>
          </w:tcPr>
          <w:p>
            <w:pPr>
              <w:pStyle w:val="TableParagraph"/>
              <w:ind w:left="29"/>
              <w:rPr>
                <w:sz w:val="14"/>
              </w:rPr>
            </w:pPr>
            <w:r>
              <w:rPr>
                <w:sz w:val="14"/>
              </w:rPr>
              <w:t>Cretaceous</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ind w:left="31"/>
              <w:rPr>
                <w:sz w:val="14"/>
              </w:rPr>
            </w:pPr>
            <w:r>
              <w:rPr>
                <w:sz w:val="14"/>
              </w:rPr>
              <w:t>Comprehensive</w:t>
            </w:r>
          </w:p>
        </w:tc>
      </w:tr>
      <w:tr>
        <w:trPr>
          <w:trHeight w:val="423" w:hRule="atLeast"/>
        </w:trPr>
        <w:tc>
          <w:tcPr>
            <w:tcW w:w="684" w:type="dxa"/>
            <w:shd w:val="clear" w:color="auto" w:fill="F9FCF9"/>
          </w:tcPr>
          <w:p>
            <w:pPr>
              <w:pStyle w:val="TableParagraph"/>
              <w:spacing w:line="249" w:lineRule="auto"/>
              <w:ind w:left="27"/>
              <w:rPr>
                <w:sz w:val="14"/>
              </w:rPr>
            </w:pPr>
            <w:r>
              <w:rPr>
                <w:sz w:val="14"/>
              </w:rPr>
              <w:t>Teapot Dome</w:t>
            </w:r>
          </w:p>
        </w:tc>
        <w:tc>
          <w:tcPr>
            <w:tcW w:w="819" w:type="dxa"/>
            <w:shd w:val="clear" w:color="auto" w:fill="F9FCF9"/>
          </w:tcPr>
          <w:p>
            <w:pPr>
              <w:pStyle w:val="TableParagraph"/>
              <w:rPr>
                <w:sz w:val="14"/>
              </w:rPr>
            </w:pPr>
            <w:r>
              <w:rPr>
                <w:sz w:val="14"/>
              </w:rPr>
              <w:t>USA</w:t>
            </w:r>
          </w:p>
        </w:tc>
        <w:tc>
          <w:tcPr>
            <w:tcW w:w="824" w:type="dxa"/>
            <w:shd w:val="clear" w:color="auto" w:fill="F9FCF9"/>
          </w:tcPr>
          <w:p>
            <w:pPr>
              <w:pStyle w:val="TableParagraph"/>
              <w:spacing w:line="249" w:lineRule="auto"/>
              <w:ind w:right="246"/>
              <w:rPr>
                <w:sz w:val="14"/>
              </w:rPr>
            </w:pPr>
            <w:r>
              <w:rPr>
                <w:sz w:val="14"/>
              </w:rPr>
              <w:t>Proposed Demo</w:t>
            </w:r>
          </w:p>
        </w:tc>
        <w:tc>
          <w:tcPr>
            <w:tcW w:w="994" w:type="dxa"/>
            <w:shd w:val="clear" w:color="auto" w:fill="F9FCF9"/>
          </w:tcPr>
          <w:p>
            <w:pPr>
              <w:pStyle w:val="TableParagraph"/>
              <w:rPr>
                <w:sz w:val="14"/>
              </w:rPr>
            </w:pPr>
            <w:r>
              <w:rPr>
                <w:sz w:val="14"/>
              </w:rPr>
              <w:t>RMOTC</w:t>
            </w:r>
          </w:p>
        </w:tc>
        <w:tc>
          <w:tcPr>
            <w:tcW w:w="697" w:type="dxa"/>
            <w:shd w:val="clear" w:color="auto" w:fill="F9FCF9"/>
          </w:tcPr>
          <w:p>
            <w:pPr>
              <w:pStyle w:val="TableParagraph"/>
              <w:spacing w:line="249" w:lineRule="auto"/>
              <w:ind w:right="119"/>
              <w:rPr>
                <w:sz w:val="14"/>
              </w:rPr>
            </w:pPr>
            <w:r>
              <w:rPr>
                <w:sz w:val="14"/>
              </w:rPr>
              <w:t>Proposed 2006</w:t>
            </w:r>
          </w:p>
        </w:tc>
        <w:tc>
          <w:tcPr>
            <w:tcW w:w="891" w:type="dxa"/>
            <w:shd w:val="clear" w:color="auto" w:fill="F9FCF9"/>
          </w:tcPr>
          <w:p>
            <w:pPr>
              <w:pStyle w:val="TableParagraph"/>
              <w:spacing w:line="249" w:lineRule="auto"/>
              <w:ind w:right="34"/>
              <w:rPr>
                <w:sz w:val="14"/>
              </w:rPr>
            </w:pPr>
            <w:r>
              <w:rPr>
                <w:sz w:val="14"/>
              </w:rPr>
              <w:t>170 t day</w:t>
            </w:r>
            <w:r>
              <w:rPr>
                <w:position w:val="5"/>
                <w:sz w:val="8"/>
              </w:rPr>
              <w:t>-1 </w:t>
            </w:r>
            <w:r>
              <w:rPr>
                <w:sz w:val="14"/>
              </w:rPr>
              <w:t>for 3 months</w:t>
            </w:r>
          </w:p>
        </w:tc>
        <w:tc>
          <w:tcPr>
            <w:tcW w:w="661" w:type="dxa"/>
            <w:shd w:val="clear" w:color="auto" w:fill="F9FCF9"/>
          </w:tcPr>
          <w:p>
            <w:pPr>
              <w:pStyle w:val="TableParagraph"/>
              <w:rPr>
                <w:sz w:val="14"/>
              </w:rPr>
            </w:pPr>
            <w:r>
              <w:rPr>
                <w:sz w:val="14"/>
              </w:rPr>
              <w:t>10 kt</w:t>
            </w:r>
          </w:p>
        </w:tc>
        <w:tc>
          <w:tcPr>
            <w:tcW w:w="950" w:type="dxa"/>
            <w:shd w:val="clear" w:color="auto" w:fill="F9FCF9"/>
          </w:tcPr>
          <w:p>
            <w:pPr>
              <w:pStyle w:val="TableParagraph"/>
              <w:spacing w:line="200" w:lineRule="atLeast" w:before="10"/>
              <w:ind w:left="27" w:right="116"/>
              <w:rPr>
                <w:sz w:val="14"/>
              </w:rPr>
            </w:pPr>
            <w:r>
              <w:rPr>
                <w:sz w:val="14"/>
              </w:rPr>
              <w:t>Saline fm and CO</w:t>
            </w:r>
            <w:r>
              <w:rPr>
                <w:position w:val="-4"/>
                <w:sz w:val="8"/>
              </w:rPr>
              <w:t>2</w:t>
            </w:r>
            <w:r>
              <w:rPr>
                <w:sz w:val="14"/>
              </w:rPr>
              <w:t>-EOR</w:t>
            </w:r>
          </w:p>
        </w:tc>
        <w:tc>
          <w:tcPr>
            <w:tcW w:w="916" w:type="dxa"/>
            <w:shd w:val="clear" w:color="auto" w:fill="F9FCF9"/>
          </w:tcPr>
          <w:p>
            <w:pPr>
              <w:pStyle w:val="TableParagraph"/>
              <w:spacing w:line="249" w:lineRule="auto"/>
              <w:ind w:left="28" w:right="103"/>
              <w:rPr>
                <w:sz w:val="14"/>
              </w:rPr>
            </w:pPr>
            <w:r>
              <w:rPr>
                <w:sz w:val="14"/>
              </w:rPr>
              <w:t>Tensleep and Red Peak Fm</w:t>
            </w:r>
          </w:p>
        </w:tc>
        <w:tc>
          <w:tcPr>
            <w:tcW w:w="1022" w:type="dxa"/>
            <w:shd w:val="clear" w:color="auto" w:fill="F9FCF9"/>
          </w:tcPr>
          <w:p>
            <w:pPr>
              <w:pStyle w:val="TableParagraph"/>
              <w:ind w:left="29"/>
              <w:rPr>
                <w:sz w:val="14"/>
              </w:rPr>
            </w:pPr>
            <w:r>
              <w:rPr>
                <w:sz w:val="14"/>
              </w:rPr>
              <w:t>Permian</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ind w:left="31"/>
              <w:rPr>
                <w:sz w:val="14"/>
              </w:rPr>
            </w:pPr>
            <w:r>
              <w:rPr>
                <w:sz w:val="14"/>
              </w:rPr>
              <w:t>Comprehensive</w:t>
            </w:r>
          </w:p>
        </w:tc>
      </w:tr>
      <w:tr>
        <w:trPr>
          <w:trHeight w:val="255" w:hRule="atLeast"/>
        </w:trPr>
        <w:tc>
          <w:tcPr>
            <w:tcW w:w="684" w:type="dxa"/>
            <w:shd w:val="clear" w:color="auto" w:fill="F9FCF9"/>
          </w:tcPr>
          <w:p>
            <w:pPr>
              <w:pStyle w:val="TableParagraph"/>
              <w:ind w:left="27"/>
              <w:rPr>
                <w:sz w:val="14"/>
              </w:rPr>
            </w:pPr>
            <w:r>
              <w:rPr>
                <w:sz w:val="14"/>
              </w:rPr>
              <w:t>CSEMP</w:t>
            </w:r>
          </w:p>
        </w:tc>
        <w:tc>
          <w:tcPr>
            <w:tcW w:w="819" w:type="dxa"/>
            <w:shd w:val="clear" w:color="auto" w:fill="F9FCF9"/>
          </w:tcPr>
          <w:p>
            <w:pPr>
              <w:pStyle w:val="TableParagraph"/>
              <w:rPr>
                <w:sz w:val="14"/>
              </w:rPr>
            </w:pPr>
            <w:r>
              <w:rPr>
                <w:sz w:val="14"/>
              </w:rPr>
              <w:t>Canada</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rPr>
                <w:sz w:val="14"/>
              </w:rPr>
            </w:pPr>
            <w:r>
              <w:rPr>
                <w:sz w:val="14"/>
              </w:rPr>
              <w:t>Suncor Energy</w:t>
            </w:r>
          </w:p>
        </w:tc>
        <w:tc>
          <w:tcPr>
            <w:tcW w:w="697" w:type="dxa"/>
            <w:shd w:val="clear" w:color="auto" w:fill="F9FCF9"/>
          </w:tcPr>
          <w:p>
            <w:pPr>
              <w:pStyle w:val="TableParagraph"/>
              <w:rPr>
                <w:sz w:val="14"/>
              </w:rPr>
            </w:pPr>
            <w:r>
              <w:rPr>
                <w:sz w:val="14"/>
              </w:rPr>
              <w:t>2005</w:t>
            </w:r>
          </w:p>
        </w:tc>
        <w:tc>
          <w:tcPr>
            <w:tcW w:w="891" w:type="dxa"/>
            <w:shd w:val="clear" w:color="auto" w:fill="F9FCF9"/>
          </w:tcPr>
          <w:p>
            <w:pPr>
              <w:pStyle w:val="TableParagraph"/>
              <w:rPr>
                <w:sz w:val="8"/>
              </w:rPr>
            </w:pPr>
            <w:r>
              <w:rPr>
                <w:sz w:val="14"/>
              </w:rPr>
              <w:t>50 t day</w:t>
            </w:r>
            <w:r>
              <w:rPr>
                <w:position w:val="5"/>
                <w:sz w:val="8"/>
              </w:rPr>
              <w:t>-1</w:t>
            </w:r>
          </w:p>
        </w:tc>
        <w:tc>
          <w:tcPr>
            <w:tcW w:w="661" w:type="dxa"/>
            <w:shd w:val="clear" w:color="auto" w:fill="F9FCF9"/>
          </w:tcPr>
          <w:p>
            <w:pPr>
              <w:pStyle w:val="TableParagraph"/>
              <w:rPr>
                <w:sz w:val="14"/>
              </w:rPr>
            </w:pPr>
            <w:r>
              <w:rPr>
                <w:sz w:val="14"/>
              </w:rPr>
              <w:t>10 kt</w:t>
            </w:r>
          </w:p>
        </w:tc>
        <w:tc>
          <w:tcPr>
            <w:tcW w:w="950" w:type="dxa"/>
            <w:shd w:val="clear" w:color="auto" w:fill="F9FCF9"/>
          </w:tcPr>
          <w:p>
            <w:pPr>
              <w:pStyle w:val="TableParagraph"/>
              <w:spacing w:line="186" w:lineRule="exact"/>
              <w:ind w:left="27"/>
              <w:rPr>
                <w:sz w:val="14"/>
              </w:rPr>
            </w:pPr>
            <w:r>
              <w:rPr>
                <w:sz w:val="14"/>
              </w:rPr>
              <w:t>CO</w:t>
            </w:r>
            <w:r>
              <w:rPr>
                <w:position w:val="-4"/>
                <w:sz w:val="8"/>
              </w:rPr>
              <w:t>2</w:t>
            </w:r>
            <w:r>
              <w:rPr>
                <w:sz w:val="14"/>
              </w:rPr>
              <w:t>-ECBM</w:t>
            </w:r>
          </w:p>
        </w:tc>
        <w:tc>
          <w:tcPr>
            <w:tcW w:w="916" w:type="dxa"/>
            <w:shd w:val="clear" w:color="auto" w:fill="F9FCF9"/>
          </w:tcPr>
          <w:p>
            <w:pPr>
              <w:pStyle w:val="TableParagraph"/>
              <w:ind w:left="28"/>
              <w:rPr>
                <w:sz w:val="14"/>
              </w:rPr>
            </w:pPr>
            <w:r>
              <w:rPr>
                <w:sz w:val="14"/>
              </w:rPr>
              <w:t>Ardley Fm</w:t>
            </w:r>
          </w:p>
        </w:tc>
        <w:tc>
          <w:tcPr>
            <w:tcW w:w="1022" w:type="dxa"/>
            <w:shd w:val="clear" w:color="auto" w:fill="F9FCF9"/>
          </w:tcPr>
          <w:p>
            <w:pPr>
              <w:pStyle w:val="TableParagraph"/>
              <w:ind w:left="29"/>
              <w:rPr>
                <w:sz w:val="14"/>
              </w:rPr>
            </w:pPr>
            <w:r>
              <w:rPr>
                <w:sz w:val="14"/>
              </w:rPr>
              <w:t>Tertiary</w:t>
            </w:r>
          </w:p>
        </w:tc>
        <w:tc>
          <w:tcPr>
            <w:tcW w:w="849" w:type="dxa"/>
            <w:shd w:val="clear" w:color="auto" w:fill="F9FCF9"/>
          </w:tcPr>
          <w:p>
            <w:pPr>
              <w:pStyle w:val="TableParagraph"/>
              <w:ind w:left="30"/>
              <w:rPr>
                <w:sz w:val="14"/>
              </w:rPr>
            </w:pPr>
            <w:r>
              <w:rPr>
                <w:sz w:val="14"/>
              </w:rPr>
              <w:t>Coal</w:t>
            </w:r>
          </w:p>
        </w:tc>
        <w:tc>
          <w:tcPr>
            <w:tcW w:w="1068" w:type="dxa"/>
            <w:shd w:val="clear" w:color="auto" w:fill="F9FCF9"/>
          </w:tcPr>
          <w:p>
            <w:pPr>
              <w:pStyle w:val="TableParagraph"/>
              <w:ind w:left="31"/>
              <w:rPr>
                <w:sz w:val="14"/>
              </w:rPr>
            </w:pPr>
            <w:r>
              <w:rPr>
                <w:sz w:val="14"/>
              </w:rPr>
              <w:t>Comprehensive</w:t>
            </w:r>
          </w:p>
        </w:tc>
      </w:tr>
      <w:tr>
        <w:trPr>
          <w:trHeight w:val="255" w:hRule="atLeast"/>
        </w:trPr>
        <w:tc>
          <w:tcPr>
            <w:tcW w:w="684" w:type="dxa"/>
            <w:shd w:val="clear" w:color="auto" w:fill="F9FCF9"/>
          </w:tcPr>
          <w:p>
            <w:pPr>
              <w:pStyle w:val="TableParagraph"/>
              <w:ind w:left="27"/>
              <w:rPr>
                <w:sz w:val="14"/>
              </w:rPr>
            </w:pPr>
            <w:r>
              <w:rPr>
                <w:sz w:val="14"/>
              </w:rPr>
              <w:t>Pembina</w:t>
            </w:r>
          </w:p>
        </w:tc>
        <w:tc>
          <w:tcPr>
            <w:tcW w:w="819" w:type="dxa"/>
            <w:shd w:val="clear" w:color="auto" w:fill="F9FCF9"/>
          </w:tcPr>
          <w:p>
            <w:pPr>
              <w:pStyle w:val="TableParagraph"/>
              <w:rPr>
                <w:sz w:val="14"/>
              </w:rPr>
            </w:pPr>
            <w:r>
              <w:rPr>
                <w:sz w:val="14"/>
              </w:rPr>
              <w:t>Canada</w:t>
            </w:r>
          </w:p>
        </w:tc>
        <w:tc>
          <w:tcPr>
            <w:tcW w:w="824" w:type="dxa"/>
            <w:shd w:val="clear" w:color="auto" w:fill="F9FCF9"/>
          </w:tcPr>
          <w:p>
            <w:pPr>
              <w:pStyle w:val="TableParagraph"/>
              <w:rPr>
                <w:sz w:val="14"/>
              </w:rPr>
            </w:pPr>
            <w:r>
              <w:rPr>
                <w:sz w:val="14"/>
              </w:rPr>
              <w:t>Pilot</w:t>
            </w:r>
          </w:p>
        </w:tc>
        <w:tc>
          <w:tcPr>
            <w:tcW w:w="994" w:type="dxa"/>
            <w:shd w:val="clear" w:color="auto" w:fill="F9FCF9"/>
          </w:tcPr>
          <w:p>
            <w:pPr>
              <w:pStyle w:val="TableParagraph"/>
              <w:rPr>
                <w:sz w:val="14"/>
              </w:rPr>
            </w:pPr>
            <w:r>
              <w:rPr>
                <w:sz w:val="14"/>
              </w:rPr>
              <w:t>Penn West</w:t>
            </w:r>
          </w:p>
        </w:tc>
        <w:tc>
          <w:tcPr>
            <w:tcW w:w="697" w:type="dxa"/>
            <w:shd w:val="clear" w:color="auto" w:fill="F9FCF9"/>
          </w:tcPr>
          <w:p>
            <w:pPr>
              <w:pStyle w:val="TableParagraph"/>
              <w:rPr>
                <w:sz w:val="14"/>
              </w:rPr>
            </w:pPr>
            <w:r>
              <w:rPr>
                <w:sz w:val="14"/>
              </w:rPr>
              <w:t>2005</w:t>
            </w:r>
          </w:p>
        </w:tc>
        <w:tc>
          <w:tcPr>
            <w:tcW w:w="891" w:type="dxa"/>
            <w:shd w:val="clear" w:color="auto" w:fill="F9FCF9"/>
          </w:tcPr>
          <w:p>
            <w:pPr>
              <w:pStyle w:val="TableParagraph"/>
              <w:rPr>
                <w:sz w:val="8"/>
              </w:rPr>
            </w:pPr>
            <w:r>
              <w:rPr>
                <w:sz w:val="14"/>
              </w:rPr>
              <w:t>50 t day</w:t>
            </w:r>
            <w:r>
              <w:rPr>
                <w:position w:val="5"/>
                <w:sz w:val="8"/>
              </w:rPr>
              <w:t>-1</w:t>
            </w:r>
          </w:p>
        </w:tc>
        <w:tc>
          <w:tcPr>
            <w:tcW w:w="661" w:type="dxa"/>
            <w:shd w:val="clear" w:color="auto" w:fill="F9FCF9"/>
          </w:tcPr>
          <w:p>
            <w:pPr>
              <w:pStyle w:val="TableParagraph"/>
              <w:rPr>
                <w:sz w:val="14"/>
              </w:rPr>
            </w:pPr>
            <w:r>
              <w:rPr>
                <w:sz w:val="14"/>
              </w:rPr>
              <w:t>50 kt</w:t>
            </w:r>
          </w:p>
        </w:tc>
        <w:tc>
          <w:tcPr>
            <w:tcW w:w="950" w:type="dxa"/>
            <w:shd w:val="clear" w:color="auto" w:fill="F9FCF9"/>
          </w:tcPr>
          <w:p>
            <w:pPr>
              <w:pStyle w:val="TableParagraph"/>
              <w:spacing w:line="186" w:lineRule="exact"/>
              <w:ind w:left="27"/>
              <w:rPr>
                <w:sz w:val="14"/>
              </w:rPr>
            </w:pPr>
            <w:r>
              <w:rPr>
                <w:sz w:val="14"/>
              </w:rPr>
              <w:t>CO</w:t>
            </w:r>
            <w:r>
              <w:rPr>
                <w:position w:val="-4"/>
                <w:sz w:val="8"/>
              </w:rPr>
              <w:t>2</w:t>
            </w:r>
            <w:r>
              <w:rPr>
                <w:sz w:val="14"/>
              </w:rPr>
              <w:t>-EOR</w:t>
            </w:r>
          </w:p>
        </w:tc>
        <w:tc>
          <w:tcPr>
            <w:tcW w:w="916" w:type="dxa"/>
            <w:shd w:val="clear" w:color="auto" w:fill="F9FCF9"/>
          </w:tcPr>
          <w:p>
            <w:pPr>
              <w:pStyle w:val="TableParagraph"/>
              <w:ind w:left="28"/>
              <w:rPr>
                <w:sz w:val="14"/>
              </w:rPr>
            </w:pPr>
            <w:r>
              <w:rPr>
                <w:sz w:val="14"/>
              </w:rPr>
              <w:t>Cardium Fm</w:t>
            </w:r>
          </w:p>
        </w:tc>
        <w:tc>
          <w:tcPr>
            <w:tcW w:w="1022" w:type="dxa"/>
            <w:shd w:val="clear" w:color="auto" w:fill="F9FCF9"/>
          </w:tcPr>
          <w:p>
            <w:pPr>
              <w:pStyle w:val="TableParagraph"/>
              <w:ind w:left="29"/>
              <w:rPr>
                <w:sz w:val="14"/>
              </w:rPr>
            </w:pPr>
            <w:r>
              <w:rPr>
                <w:sz w:val="14"/>
              </w:rPr>
              <w:t>Cretaceous</w:t>
            </w:r>
          </w:p>
        </w:tc>
        <w:tc>
          <w:tcPr>
            <w:tcW w:w="849" w:type="dxa"/>
            <w:shd w:val="clear" w:color="auto" w:fill="F9FCF9"/>
          </w:tcPr>
          <w:p>
            <w:pPr>
              <w:pStyle w:val="TableParagraph"/>
              <w:ind w:left="30"/>
              <w:rPr>
                <w:sz w:val="14"/>
              </w:rPr>
            </w:pPr>
            <w:r>
              <w:rPr>
                <w:sz w:val="14"/>
              </w:rPr>
              <w:t>Sandstone</w:t>
            </w:r>
          </w:p>
        </w:tc>
        <w:tc>
          <w:tcPr>
            <w:tcW w:w="1068" w:type="dxa"/>
            <w:shd w:val="clear" w:color="auto" w:fill="F9FCF9"/>
          </w:tcPr>
          <w:p>
            <w:pPr>
              <w:pStyle w:val="TableParagraph"/>
              <w:ind w:left="31"/>
              <w:rPr>
                <w:sz w:val="14"/>
              </w:rPr>
            </w:pPr>
            <w:r>
              <w:rPr>
                <w:sz w:val="14"/>
              </w:rPr>
              <w:t>Comprehensive</w:t>
            </w:r>
          </w:p>
        </w:tc>
      </w:tr>
    </w:tbl>
    <w:p>
      <w:pPr>
        <w:pStyle w:val="BodyText"/>
        <w:spacing w:before="7"/>
        <w:rPr>
          <w:sz w:val="23"/>
        </w:rPr>
      </w:pPr>
    </w:p>
    <w:p>
      <w:pPr>
        <w:spacing w:after="0"/>
        <w:rPr>
          <w:sz w:val="23"/>
        </w:rPr>
        <w:sectPr>
          <w:pgSz w:w="12240" w:h="15840"/>
          <w:pgMar w:header="567" w:footer="0" w:top="760" w:bottom="280" w:left="580" w:right="600"/>
        </w:sectPr>
      </w:pPr>
    </w:p>
    <w:p>
      <w:pPr>
        <w:pStyle w:val="BodyText"/>
        <w:spacing w:before="63"/>
        <w:ind w:left="553"/>
        <w:jc w:val="both"/>
      </w:pPr>
      <w:r>
        <w:rPr/>
        <w:t>storage projects are also listed in </w:t>
      </w:r>
      <w:hyperlink w:history="true" w:anchor="_bookmark4">
        <w:r>
          <w:rPr/>
          <w:t>Table 5.1.</w:t>
        </w:r>
      </w:hyperlink>
    </w:p>
    <w:p>
      <w:pPr>
        <w:pStyle w:val="BodyText"/>
        <w:spacing w:line="240" w:lineRule="exact" w:before="5"/>
        <w:ind w:left="553" w:firstLine="283"/>
        <w:jc w:val="both"/>
      </w:pPr>
      <w:r>
        <w:rPr/>
        <w:t>At the In Salah Gas Field in Algeria, Sonatrack, BP and Statoil</w:t>
      </w:r>
      <w:r>
        <w:rPr>
          <w:spacing w:val="-14"/>
        </w:rPr>
        <w:t> </w:t>
      </w:r>
      <w:r>
        <w:rPr/>
        <w:t>inject</w:t>
      </w:r>
      <w:r>
        <w:rPr>
          <w:spacing w:val="-14"/>
        </w:rPr>
        <w:t> </w:t>
      </w:r>
      <w:r>
        <w:rPr/>
        <w:t>CO</w:t>
      </w:r>
      <w:r>
        <w:rPr>
          <w:position w:val="-6"/>
          <w:sz w:val="11"/>
        </w:rPr>
        <w:t>2</w:t>
      </w:r>
      <w:r>
        <w:rPr>
          <w:spacing w:val="8"/>
          <w:position w:val="-6"/>
          <w:sz w:val="11"/>
        </w:rPr>
        <w:t> </w:t>
      </w:r>
      <w:r>
        <w:rPr/>
        <w:t>stripped</w:t>
      </w:r>
      <w:r>
        <w:rPr>
          <w:spacing w:val="-14"/>
        </w:rPr>
        <w:t> </w:t>
      </w:r>
      <w:r>
        <w:rPr/>
        <w:t>from</w:t>
      </w:r>
      <w:r>
        <w:rPr>
          <w:spacing w:val="-14"/>
        </w:rPr>
        <w:t> </w:t>
      </w:r>
      <w:r>
        <w:rPr/>
        <w:t>natural</w:t>
      </w:r>
      <w:r>
        <w:rPr>
          <w:spacing w:val="-14"/>
        </w:rPr>
        <w:t> </w:t>
      </w:r>
      <w:r>
        <w:rPr/>
        <w:t>gas</w:t>
      </w:r>
      <w:r>
        <w:rPr>
          <w:spacing w:val="-14"/>
        </w:rPr>
        <w:t> </w:t>
      </w:r>
      <w:r>
        <w:rPr/>
        <w:t>into</w:t>
      </w:r>
      <w:r>
        <w:rPr>
          <w:spacing w:val="-14"/>
        </w:rPr>
        <w:t> </w:t>
      </w:r>
      <w:r>
        <w:rPr/>
        <w:t>the</w:t>
      </w:r>
      <w:r>
        <w:rPr>
          <w:spacing w:val="-14"/>
        </w:rPr>
        <w:t> </w:t>
      </w:r>
      <w:r>
        <w:rPr/>
        <w:t>gas</w:t>
      </w:r>
      <w:r>
        <w:rPr>
          <w:spacing w:val="-14"/>
        </w:rPr>
        <w:t> </w:t>
      </w:r>
      <w:r>
        <w:rPr/>
        <w:t>reservoir outside the boundaries of the gas field </w:t>
      </w:r>
      <w:hyperlink w:history="true" w:anchor="_bookmark8">
        <w:r>
          <w:rPr/>
          <w:t>(Box</w:t>
        </w:r>
      </w:hyperlink>
      <w:r>
        <w:rPr/>
        <w:t> 5.2). Statoil is planning</w:t>
      </w:r>
      <w:r>
        <w:rPr>
          <w:spacing w:val="-11"/>
        </w:rPr>
        <w:t> </w:t>
      </w:r>
      <w:r>
        <w:rPr/>
        <w:t>another</w:t>
      </w:r>
      <w:r>
        <w:rPr>
          <w:spacing w:val="-10"/>
        </w:rPr>
        <w:t> </w:t>
      </w:r>
      <w:r>
        <w:rPr/>
        <w:t>project</w:t>
      </w:r>
      <w:r>
        <w:rPr>
          <w:spacing w:val="-11"/>
        </w:rPr>
        <w:t> </w:t>
      </w:r>
      <w:r>
        <w:rPr/>
        <w:t>in</w:t>
      </w:r>
      <w:r>
        <w:rPr>
          <w:spacing w:val="-10"/>
        </w:rPr>
        <w:t> </w:t>
      </w:r>
      <w:r>
        <w:rPr/>
        <w:t>the</w:t>
      </w:r>
      <w:r>
        <w:rPr>
          <w:spacing w:val="-10"/>
        </w:rPr>
        <w:t> </w:t>
      </w:r>
      <w:r>
        <w:rPr/>
        <w:t>Barents</w:t>
      </w:r>
      <w:r>
        <w:rPr>
          <w:spacing w:val="-11"/>
        </w:rPr>
        <w:t> </w:t>
      </w:r>
      <w:r>
        <w:rPr/>
        <w:t>Sea,</w:t>
      </w:r>
      <w:r>
        <w:rPr>
          <w:spacing w:val="-10"/>
        </w:rPr>
        <w:t> </w:t>
      </w:r>
      <w:r>
        <w:rPr/>
        <w:t>where</w:t>
      </w:r>
      <w:r>
        <w:rPr>
          <w:spacing w:val="-10"/>
        </w:rPr>
        <w:t> </w:t>
      </w:r>
      <w:r>
        <w:rPr/>
        <w:t>CO</w:t>
      </w:r>
      <w:r>
        <w:rPr>
          <w:position w:val="-6"/>
          <w:sz w:val="11"/>
        </w:rPr>
        <w:t>2</w:t>
      </w:r>
      <w:r>
        <w:rPr>
          <w:spacing w:val="11"/>
          <w:position w:val="-6"/>
          <w:sz w:val="11"/>
        </w:rPr>
        <w:t> </w:t>
      </w:r>
      <w:r>
        <w:rPr/>
        <w:t>from</w:t>
      </w:r>
      <w:r>
        <w:rPr>
          <w:spacing w:val="-10"/>
        </w:rPr>
        <w:t> </w:t>
      </w:r>
      <w:r>
        <w:rPr/>
        <w:t>the Snohvit field will be stripped from the gas and injected into a geological formation below the gas field. Chevron is proposing to produce gas from the Gorgon field off </w:t>
      </w:r>
      <w:r>
        <w:rPr>
          <w:spacing w:val="-3"/>
        </w:rPr>
        <w:t>Western </w:t>
      </w:r>
      <w:r>
        <w:rPr/>
        <w:t>Australia, containing</w:t>
      </w:r>
      <w:r>
        <w:rPr>
          <w:spacing w:val="16"/>
        </w:rPr>
        <w:t> </w:t>
      </w:r>
      <w:r>
        <w:rPr/>
        <w:t>approximately</w:t>
      </w:r>
      <w:r>
        <w:rPr>
          <w:spacing w:val="16"/>
        </w:rPr>
        <w:t> </w:t>
      </w:r>
      <w:r>
        <w:rPr/>
        <w:t>14%</w:t>
      </w:r>
      <w:r>
        <w:rPr>
          <w:spacing w:val="17"/>
        </w:rPr>
        <w:t> </w:t>
      </w:r>
      <w:r>
        <w:rPr/>
        <w:t>CO</w:t>
      </w:r>
      <w:r>
        <w:rPr>
          <w:position w:val="-6"/>
          <w:sz w:val="11"/>
        </w:rPr>
        <w:t>2</w:t>
      </w:r>
      <w:r>
        <w:rPr/>
        <w:t>.</w:t>
      </w:r>
      <w:r>
        <w:rPr>
          <w:spacing w:val="13"/>
        </w:rPr>
        <w:t> </w:t>
      </w:r>
      <w:r>
        <w:rPr/>
        <w:t>The</w:t>
      </w:r>
      <w:r>
        <w:rPr>
          <w:spacing w:val="17"/>
        </w:rPr>
        <w:t> </w:t>
      </w:r>
      <w:r>
        <w:rPr/>
        <w:t>CO</w:t>
      </w:r>
      <w:r>
        <w:rPr>
          <w:position w:val="-6"/>
          <w:sz w:val="11"/>
        </w:rPr>
        <w:t>2</w:t>
      </w:r>
      <w:r>
        <w:rPr>
          <w:spacing w:val="12"/>
          <w:position w:val="-6"/>
          <w:sz w:val="11"/>
        </w:rPr>
        <w:t> </w:t>
      </w:r>
      <w:r>
        <w:rPr/>
        <w:t>will</w:t>
      </w:r>
      <w:r>
        <w:rPr>
          <w:spacing w:val="16"/>
        </w:rPr>
        <w:t> </w:t>
      </w:r>
      <w:r>
        <w:rPr/>
        <w:t>be</w:t>
      </w:r>
      <w:r>
        <w:rPr>
          <w:spacing w:val="17"/>
        </w:rPr>
        <w:t> </w:t>
      </w:r>
      <w:r>
        <w:rPr/>
        <w:t>injected</w:t>
      </w:r>
    </w:p>
    <w:p>
      <w:pPr>
        <w:pStyle w:val="BodyText"/>
        <w:spacing w:line="225" w:lineRule="auto" w:before="75"/>
        <w:ind w:left="199" w:right="134"/>
        <w:jc w:val="both"/>
      </w:pPr>
      <w:r>
        <w:rPr/>
        <w:br w:type="column"/>
      </w:r>
      <w:r>
        <w:rPr/>
        <w:t>into</w:t>
      </w:r>
      <w:r>
        <w:rPr>
          <w:spacing w:val="-7"/>
        </w:rPr>
        <w:t> </w:t>
      </w:r>
      <w:r>
        <w:rPr/>
        <w:t>the</w:t>
      </w:r>
      <w:r>
        <w:rPr>
          <w:spacing w:val="-6"/>
        </w:rPr>
        <w:t> </w:t>
      </w:r>
      <w:r>
        <w:rPr/>
        <w:t>Dupuy</w:t>
      </w:r>
      <w:r>
        <w:rPr>
          <w:spacing w:val="-6"/>
        </w:rPr>
        <w:t> </w:t>
      </w:r>
      <w:r>
        <w:rPr/>
        <w:t>Formation</w:t>
      </w:r>
      <w:r>
        <w:rPr>
          <w:spacing w:val="-6"/>
        </w:rPr>
        <w:t> </w:t>
      </w:r>
      <w:r>
        <w:rPr/>
        <w:t>at</w:t>
      </w:r>
      <w:r>
        <w:rPr>
          <w:spacing w:val="-6"/>
        </w:rPr>
        <w:t> </w:t>
      </w:r>
      <w:r>
        <w:rPr/>
        <w:t>Barrow</w:t>
      </w:r>
      <w:r>
        <w:rPr>
          <w:spacing w:val="-6"/>
        </w:rPr>
        <w:t> </w:t>
      </w:r>
      <w:r>
        <w:rPr/>
        <w:t>Island</w:t>
      </w:r>
      <w:r>
        <w:rPr>
          <w:spacing w:val="-7"/>
        </w:rPr>
        <w:t> </w:t>
      </w:r>
      <w:r>
        <w:rPr/>
        <w:t>(Oen,</w:t>
      </w:r>
      <w:r>
        <w:rPr>
          <w:spacing w:val="-6"/>
        </w:rPr>
        <w:t> </w:t>
      </w:r>
      <w:r>
        <w:rPr/>
        <w:t>2003).</w:t>
      </w:r>
      <w:r>
        <w:rPr>
          <w:spacing w:val="-6"/>
        </w:rPr>
        <w:t> </w:t>
      </w:r>
      <w:r>
        <w:rPr/>
        <w:t>In</w:t>
      </w:r>
      <w:r>
        <w:rPr>
          <w:spacing w:val="-9"/>
        </w:rPr>
        <w:t> </w:t>
      </w:r>
      <w:r>
        <w:rPr/>
        <w:t>The Netherlands, CO</w:t>
      </w:r>
      <w:r>
        <w:rPr>
          <w:position w:val="-6"/>
          <w:sz w:val="11"/>
        </w:rPr>
        <w:t>2 </w:t>
      </w:r>
      <w:r>
        <w:rPr/>
        <w:t>is being injected at pilot scale into the almost depleted K12-B offshore gas field (van der Meer </w:t>
      </w:r>
      <w:r>
        <w:rPr>
          <w:i/>
        </w:rPr>
        <w:t>et al.</w:t>
      </w:r>
      <w:r>
        <w:rPr/>
        <w:t>,</w:t>
      </w:r>
      <w:r>
        <w:rPr>
          <w:spacing w:val="-24"/>
        </w:rPr>
        <w:t> </w:t>
      </w:r>
      <w:r>
        <w:rPr/>
        <w:t>2005).</w:t>
      </w:r>
    </w:p>
    <w:p>
      <w:pPr>
        <w:pStyle w:val="BodyText"/>
        <w:spacing w:line="240" w:lineRule="exact" w:before="4"/>
        <w:ind w:left="199" w:right="133" w:firstLine="283"/>
        <w:jc w:val="both"/>
      </w:pPr>
      <w:r>
        <w:rPr/>
        <w:t>Forty-four CO</w:t>
      </w:r>
      <w:r>
        <w:rPr>
          <w:position w:val="-6"/>
          <w:sz w:val="11"/>
        </w:rPr>
        <w:t>2</w:t>
      </w:r>
      <w:r>
        <w:rPr/>
        <w:t>-rich acid gas injection projects are</w:t>
      </w:r>
      <w:r>
        <w:rPr>
          <w:spacing w:val="-26"/>
        </w:rPr>
        <w:t> </w:t>
      </w:r>
      <w:r>
        <w:rPr/>
        <w:t>currently operating in </w:t>
      </w:r>
      <w:r>
        <w:rPr>
          <w:spacing w:val="-3"/>
        </w:rPr>
        <w:t>Western </w:t>
      </w:r>
      <w:r>
        <w:rPr/>
        <w:t>Canada, ongoing since the early 1990s (Bachu</w:t>
      </w:r>
      <w:r>
        <w:rPr>
          <w:spacing w:val="-5"/>
        </w:rPr>
        <w:t> </w:t>
      </w:r>
      <w:r>
        <w:rPr/>
        <w:t>and</w:t>
      </w:r>
      <w:r>
        <w:rPr>
          <w:spacing w:val="-4"/>
        </w:rPr>
        <w:t> </w:t>
      </w:r>
      <w:r>
        <w:rPr/>
        <w:t>Haug,</w:t>
      </w:r>
      <w:r>
        <w:rPr>
          <w:spacing w:val="-4"/>
        </w:rPr>
        <w:t> </w:t>
      </w:r>
      <w:r>
        <w:rPr/>
        <w:t>2005).</w:t>
      </w:r>
      <w:r>
        <w:rPr>
          <w:spacing w:val="-15"/>
        </w:rPr>
        <w:t> </w:t>
      </w:r>
      <w:r>
        <w:rPr/>
        <w:t>Although</w:t>
      </w:r>
      <w:r>
        <w:rPr>
          <w:spacing w:val="-4"/>
        </w:rPr>
        <w:t> </w:t>
      </w:r>
      <w:r>
        <w:rPr/>
        <w:t>they</w:t>
      </w:r>
      <w:r>
        <w:rPr>
          <w:spacing w:val="-4"/>
        </w:rPr>
        <w:t> </w:t>
      </w:r>
      <w:r>
        <w:rPr/>
        <w:t>are</w:t>
      </w:r>
      <w:r>
        <w:rPr>
          <w:spacing w:val="-5"/>
        </w:rPr>
        <w:t> </w:t>
      </w:r>
      <w:r>
        <w:rPr/>
        <w:t>mostly</w:t>
      </w:r>
      <w:r>
        <w:rPr>
          <w:spacing w:val="-4"/>
        </w:rPr>
        <w:t> </w:t>
      </w:r>
      <w:r>
        <w:rPr/>
        <w:t>small</w:t>
      </w:r>
      <w:r>
        <w:rPr>
          <w:spacing w:val="-4"/>
        </w:rPr>
        <w:t> </w:t>
      </w:r>
      <w:r>
        <w:rPr/>
        <w:t>scale, they provide important examples of effectively managing injection of CO</w:t>
      </w:r>
      <w:r>
        <w:rPr>
          <w:position w:val="-6"/>
          <w:sz w:val="11"/>
        </w:rPr>
        <w:t>2 </w:t>
      </w:r>
      <w:r>
        <w:rPr/>
        <w:t>and hazardous gases such as H</w:t>
      </w:r>
      <w:r>
        <w:rPr>
          <w:position w:val="-6"/>
          <w:sz w:val="11"/>
        </w:rPr>
        <w:t>2</w:t>
      </w:r>
      <w:r>
        <w:rPr/>
        <w:t>S (Section 5.2.4.2).</w:t>
      </w:r>
    </w:p>
    <w:p>
      <w:pPr>
        <w:spacing w:after="0" w:line="240" w:lineRule="exact"/>
        <w:jc w:val="both"/>
        <w:sectPr>
          <w:type w:val="continuous"/>
          <w:pgSz w:w="12240" w:h="15840"/>
          <w:pgMar w:top="400" w:bottom="280" w:left="580" w:right="600"/>
          <w:cols w:num="2" w:equalWidth="0">
            <w:col w:w="5619" w:space="40"/>
            <w:col w:w="5401"/>
          </w:cols>
        </w:sectPr>
      </w:pPr>
    </w:p>
    <w:p>
      <w:pPr>
        <w:pStyle w:val="BodyText"/>
      </w:pPr>
    </w:p>
    <w:p>
      <w:pPr>
        <w:pStyle w:val="BodyText"/>
        <w:spacing w:before="6"/>
      </w:pPr>
    </w:p>
    <w:p>
      <w:pPr>
        <w:pStyle w:val="BodyText"/>
        <w:ind w:left="157"/>
        <w:jc w:val="both"/>
      </w:pPr>
      <w:bookmarkStart w:name="_bookmark5" w:id="13"/>
      <w:bookmarkEnd w:id="13"/>
      <w:r>
        <w:rPr/>
      </w:r>
      <w:r>
        <w:rPr>
          <w:b/>
        </w:rPr>
        <w:t>Box 5.1 </w:t>
      </w:r>
      <w:r>
        <w:rPr/>
        <w:t>The Sleipner Project, North Sea.</w:t>
      </w:r>
    </w:p>
    <w:p>
      <w:pPr>
        <w:pStyle w:val="BodyText"/>
        <w:spacing w:line="240" w:lineRule="exact" w:before="96"/>
        <w:ind w:left="332" w:right="706"/>
        <w:jc w:val="both"/>
      </w:pPr>
      <w:r>
        <w:rPr/>
        <w:t>The Sleipner Project, operated by Statoil in the North Sea about 250 km off the coast of </w:t>
      </w:r>
      <w:r>
        <w:rPr>
          <w:spacing w:val="-3"/>
        </w:rPr>
        <w:t>Norway, </w:t>
      </w:r>
      <w:r>
        <w:rPr/>
        <w:t>is the first commercial- scale project dedicated to geological CO</w:t>
      </w:r>
      <w:r>
        <w:rPr>
          <w:position w:val="-6"/>
          <w:sz w:val="11"/>
        </w:rPr>
        <w:t>2 </w:t>
      </w:r>
      <w:r>
        <w:rPr/>
        <w:t>storage in a saline formation. The CO</w:t>
      </w:r>
      <w:r>
        <w:rPr>
          <w:position w:val="-6"/>
          <w:sz w:val="11"/>
        </w:rPr>
        <w:t>2  </w:t>
      </w:r>
      <w:r>
        <w:rPr/>
        <w:t>(about 9%) from Sleipner </w:t>
      </w:r>
      <w:r>
        <w:rPr>
          <w:spacing w:val="-4"/>
        </w:rPr>
        <w:t>West  </w:t>
      </w:r>
      <w:r>
        <w:rPr/>
        <w:t>Gas Field  is separated, then injected into a large, deep, saline formation 800 m below the seabed of the North Sea. The Saline Aquifer CO</w:t>
      </w:r>
      <w:r>
        <w:rPr>
          <w:position w:val="-6"/>
          <w:sz w:val="11"/>
        </w:rPr>
        <w:t>2 </w:t>
      </w:r>
      <w:r>
        <w:rPr/>
        <w:t>Storage (SACS) project was established to monitor and research the storage of CO</w:t>
      </w:r>
      <w:r>
        <w:rPr>
          <w:position w:val="-6"/>
          <w:sz w:val="11"/>
        </w:rPr>
        <w:t>2</w:t>
      </w:r>
      <w:r>
        <w:rPr/>
        <w:t>. From 1995, the IEA Greenhouse Gas R&amp;D Programme has worked with Statoil to arrange the monitoring and research activities. Approximately 1 MtCO</w:t>
      </w:r>
      <w:r>
        <w:rPr>
          <w:position w:val="-6"/>
          <w:sz w:val="11"/>
        </w:rPr>
        <w:t>2 </w:t>
      </w:r>
      <w:r>
        <w:rPr/>
        <w:t>is removed</w:t>
      </w:r>
      <w:r>
        <w:rPr>
          <w:spacing w:val="9"/>
        </w:rPr>
        <w:t> </w:t>
      </w:r>
      <w:r>
        <w:rPr/>
        <w:t>from</w:t>
      </w:r>
      <w:r>
        <w:rPr>
          <w:spacing w:val="11"/>
        </w:rPr>
        <w:t> </w:t>
      </w:r>
      <w:r>
        <w:rPr/>
        <w:t>the</w:t>
      </w:r>
      <w:r>
        <w:rPr>
          <w:spacing w:val="10"/>
        </w:rPr>
        <w:t> </w:t>
      </w:r>
      <w:r>
        <w:rPr/>
        <w:t>produced</w:t>
      </w:r>
      <w:r>
        <w:rPr>
          <w:spacing w:val="11"/>
        </w:rPr>
        <w:t> </w:t>
      </w:r>
      <w:r>
        <w:rPr/>
        <w:t>natural</w:t>
      </w:r>
      <w:r>
        <w:rPr>
          <w:spacing w:val="9"/>
        </w:rPr>
        <w:t> </w:t>
      </w:r>
      <w:r>
        <w:rPr/>
        <w:t>gas</w:t>
      </w:r>
      <w:r>
        <w:rPr>
          <w:spacing w:val="11"/>
        </w:rPr>
        <w:t> </w:t>
      </w:r>
      <w:r>
        <w:rPr/>
        <w:t>and</w:t>
      </w:r>
      <w:r>
        <w:rPr>
          <w:spacing w:val="11"/>
        </w:rPr>
        <w:t> </w:t>
      </w:r>
      <w:r>
        <w:rPr/>
        <w:t>injected</w:t>
      </w:r>
      <w:r>
        <w:rPr>
          <w:spacing w:val="9"/>
        </w:rPr>
        <w:t> </w:t>
      </w:r>
      <w:r>
        <w:rPr/>
        <w:t>underground</w:t>
      </w:r>
      <w:r>
        <w:rPr>
          <w:spacing w:val="11"/>
        </w:rPr>
        <w:t> </w:t>
      </w:r>
      <w:r>
        <w:rPr/>
        <w:t>annually</w:t>
      </w:r>
      <w:r>
        <w:rPr>
          <w:spacing w:val="9"/>
        </w:rPr>
        <w:t> </w:t>
      </w:r>
      <w:r>
        <w:rPr/>
        <w:t>in</w:t>
      </w:r>
      <w:r>
        <w:rPr>
          <w:spacing w:val="11"/>
        </w:rPr>
        <w:t> </w:t>
      </w:r>
      <w:r>
        <w:rPr/>
        <w:t>the</w:t>
      </w:r>
      <w:r>
        <w:rPr>
          <w:spacing w:val="10"/>
        </w:rPr>
        <w:t> </w:t>
      </w:r>
      <w:r>
        <w:rPr/>
        <w:t>field.</w:t>
      </w:r>
      <w:r>
        <w:rPr>
          <w:spacing w:val="7"/>
        </w:rPr>
        <w:t> </w:t>
      </w:r>
      <w:r>
        <w:rPr/>
        <w:t>The</w:t>
      </w:r>
      <w:r>
        <w:rPr>
          <w:spacing w:val="11"/>
        </w:rPr>
        <w:t> </w:t>
      </w:r>
      <w:r>
        <w:rPr/>
        <w:t>CO</w:t>
      </w:r>
      <w:r>
        <w:rPr>
          <w:position w:val="-6"/>
          <w:sz w:val="11"/>
        </w:rPr>
        <w:t>2</w:t>
      </w:r>
      <w:r>
        <w:rPr>
          <w:spacing w:val="5"/>
          <w:position w:val="-6"/>
          <w:sz w:val="11"/>
        </w:rPr>
        <w:t> </w:t>
      </w:r>
      <w:r>
        <w:rPr/>
        <w:t>injection</w:t>
      </w:r>
      <w:r>
        <w:rPr>
          <w:spacing w:val="10"/>
        </w:rPr>
        <w:t> </w:t>
      </w:r>
      <w:r>
        <w:rPr/>
        <w:t>operation</w:t>
      </w:r>
      <w:r>
        <w:rPr>
          <w:spacing w:val="9"/>
        </w:rPr>
        <w:t> </w:t>
      </w:r>
      <w:r>
        <w:rPr/>
        <w:t>started</w:t>
      </w:r>
    </w:p>
    <w:p>
      <w:pPr>
        <w:spacing w:after="0" w:line="240" w:lineRule="exact"/>
        <w:jc w:val="both"/>
        <w:sectPr>
          <w:pgSz w:w="12240" w:h="15840"/>
          <w:pgMar w:header="567" w:footer="0" w:top="760" w:bottom="280" w:left="580" w:right="600"/>
        </w:sectPr>
      </w:pPr>
    </w:p>
    <w:p>
      <w:pPr>
        <w:pStyle w:val="BodyText"/>
        <w:spacing w:line="277" w:lineRule="exact" w:before="5"/>
        <w:ind w:left="332"/>
        <w:rPr>
          <w:sz w:val="11"/>
        </w:rPr>
      </w:pPr>
      <w:r>
        <w:rPr/>
        <w:t>in October 1996 and, by early 2005, more than 7 MtCO</w:t>
      </w:r>
      <w:r>
        <w:rPr>
          <w:position w:val="-6"/>
          <w:sz w:val="11"/>
        </w:rPr>
        <w:t>2</w:t>
      </w:r>
    </w:p>
    <w:p>
      <w:pPr>
        <w:pStyle w:val="BodyText"/>
        <w:spacing w:before="5"/>
        <w:ind w:left="16"/>
      </w:pPr>
      <w:r>
        <w:rPr/>
        <w:br w:type="column"/>
      </w:r>
      <w:r>
        <w:rPr/>
        <w:t>had been injected at a rate of approximately 2700 t day</w:t>
      </w:r>
      <w:r>
        <w:rPr>
          <w:position w:val="7"/>
          <w:sz w:val="11"/>
        </w:rPr>
        <w:t>–1</w:t>
      </w:r>
      <w:r>
        <w:rPr/>
        <w:t>. Over the</w:t>
      </w:r>
    </w:p>
    <w:p>
      <w:pPr>
        <w:spacing w:after="0"/>
        <w:sectPr>
          <w:type w:val="continuous"/>
          <w:pgSz w:w="12240" w:h="15840"/>
          <w:pgMar w:top="400" w:bottom="280" w:left="580" w:right="600"/>
          <w:cols w:num="2" w:equalWidth="0">
            <w:col w:w="4909" w:space="40"/>
            <w:col w:w="6111"/>
          </w:cols>
        </w:sectPr>
      </w:pPr>
    </w:p>
    <w:p>
      <w:pPr>
        <w:pStyle w:val="BodyText"/>
        <w:spacing w:line="187" w:lineRule="auto"/>
        <w:ind w:left="332"/>
        <w:jc w:val="both"/>
      </w:pPr>
      <w:r>
        <w:rPr/>
        <w:pict>
          <v:group style="position:absolute;margin-left:36.599998pt;margin-top:75.591003pt;width:519pt;height:659.75pt;mso-position-horizontal-relative:page;mso-position-vertical-relative:page;z-index:-258893824" coordorigin="732,1512" coordsize="10380,13195">
            <v:rect style="position:absolute;left:737;top:1516;width:10370;height:13185" filled="false" stroked="true" strokeweight=".5pt" strokecolor="#000000">
              <v:stroke dashstyle="solid"/>
            </v:rect>
            <v:shape style="position:absolute;left:910;top:7424;width:10018;height:6838" type="#_x0000_t75" stroked="false">
              <v:imagedata r:id="rId16" o:title=""/>
            </v:shape>
            <v:rect style="position:absolute;left:910;top:9170;width:10018;height:5092" filled="true" fillcolor="#e8dad1" stroked="false">
              <v:fill type="solid"/>
            </v:rect>
            <v:shape style="position:absolute;left:910;top:7423;width:10018;height:1410" type="#_x0000_t75" stroked="false">
              <v:imagedata r:id="rId17" o:title=""/>
            </v:shape>
            <v:shape style="position:absolute;left:919;top:10588;width:10009;height:821" coordorigin="919,10588" coordsize="10009,821" path="m10928,10602l10159,10602,10239,10601,10320,10599,10560,10589,10631,10588,10698,10592,10769,10596,10851,10600,10928,10602,10928,10602xm10928,10811l1905,10811,2143,10809,2225,10807,2307,10804,2388,10800,2469,10794,2616,10780,2757,10768,2906,10758,3141,10745,3470,10732,3886,10722,5165,10716,7011,10683,8917,10610,9232,10603,10005,10602,10928,10602,10928,10811xm10928,10820l1354,10820,1440,10820,1601,10813,1689,10811,10928,10811,10928,10820xm924,11409l919,10816,995,10815,1078,10812,1165,10811,1354,10820,10928,10820,10928,10986,5845,10986,5768,10989,5691,10993,5461,11011,5385,11016,5373,11017,5003,11017,4925,11018,4847,11021,4769,11025,4691,11031,4613,11039,4536,11048,4460,11058,4385,11070,4311,11083,4230,11099,4150,11118,4072,11138,3994,11160,3608,11278,3530,11301,3451,11322,3370,11341,3290,11356,3211,11368,3132,11376,3054,11383,2976,11387,2897,11389,2819,11390,2578,11391,1009,11409,924,11409xm6768,11097l6689,11093,6612,11085,6536,11075,6461,11062,6234,11020,6157,11007,6079,10997,5999,10990,5922,10986,5845,10986,10928,10986,10928,11048,8197,11048,8119,11056,7774,11056,7690,11057,6848,11096,6768,11097xm5232,11021l5080,11017,5003,11017,5373,11017,5308,11020,5232,11021xm9627,11167l9547,11167,9467,11165,9387,11161,9308,11155,9225,11147,9150,11137,9013,11118,8946,11108,8875,11100,8799,11092,8716,11086,8621,11082,8513,11081,8418,11076,8341,11064,8271,11053,8197,11048,10928,11048,10928,11109,10567,11109,10488,11109,10409,11111,10331,11114,10254,11118,10179,11125,10027,11144,9948,11152,9868,11158,9788,11163,9708,11166,9627,11167xm8024,11066l7941,11065,7774,11056,8119,11056,8024,11066xm10877,11111l10567,11109,10928,11109,10928,11111,10877,11111xm2739,11391l2578,11391,2791,11391,2739,11391xe" filled="true" fillcolor="#3a89b3" stroked="false">
              <v:path arrowok="t"/>
              <v:fill type="solid"/>
            </v:shape>
            <v:shape style="position:absolute;left:6098;top:10588;width:4830;height:497" coordorigin="6099,10588" coordsize="4830,497" path="m10928,10602l10159,10602,10239,10601,10320,10599,10560,10589,10631,10588,10698,10592,10769,10596,10851,10600,10928,10602,10928,10602xm6593,10732l6509,10732,6431,10731,6360,10729,6296,10726,6241,10723,6194,10718,6156,10712,6128,10705,6125,10703,6957,10684,8917,10610,9232,10603,10005,10602,10928,10602,10928,10611,10380,10611,10315,10613,10253,10619,10192,10628,10133,10643,10103,10655,8685,10655,8656,10655,7185,10718,6776,10730,6593,10732xm10793,10627l10723,10625,10514,10615,10446,10612,10380,10611,10928,10611,10928,10622,10864,10626,10793,10627xm9693,11085l9653,11079,9612,11057,9570,11021,9527,10977,9483,10927,9438,10876,9393,10827,9338,10780,9276,10742,9209,10713,9138,10691,9063,10676,8986,10665,8909,10659,8832,10656,8757,10655,8685,10655,10103,10655,10077,10664,10024,10692,9973,10728,9926,10772,9882,10825,9842,10889,9805,10963,9769,11031,9732,11070,9693,11085xm6099,10704l6105,10687,6111,10697,6125,10703,6099,10704xe" filled="true" fillcolor="#aed3e6" stroked="false">
              <v:path arrowok="t"/>
              <v:fill type="solid"/>
            </v:shape>
            <v:shape style="position:absolute;left:918;top:13873;width:10010;height:389" coordorigin="918,13873" coordsize="10010,389" path="m10928,14004l8132,14004,8215,14003,8298,14000,8382,13995,8884,13959,8965,13955,9048,13952,9213,13949,9296,13946,9378,13941,9460,13933,9545,13920,9666,13899,9709,13892,9791,13880,9875,13873,9961,13873,10501,13899,10928,13919,10928,14004xm7376,13950l4094,13950,4172,13949,4251,13947,4408,13941,4872,13913,4955,13909,5111,13902,5190,13899,5269,13898,5347,13897,6321,13903,6806,13915,6967,13920,7044,13924,7121,13929,7275,13941,7352,13948,7376,13950xm2873,14262l918,14262,918,13920,2428,13913,3064,13918,3540,13930,3791,13941,3936,13948,4015,13949,7376,13950,7738,13984,7893,13996,7969,14000,8050,14003,10928,14004,10928,14046,6731,14046,6098,14052,4990,14087,4584,14104,4055,14104,3978,14105,3901,14107,3814,14114,3730,14125,3647,14140,3484,14174,3401,14190,3315,14203,3234,14210,3152,14214,3071,14219,2989,14232,2916,14250,2873,14262xm9531,14158l9453,14158,9376,14156,9298,14154,9144,14146,8759,14121,8604,14112,8527,14109,8449,14107,8293,14106,8214,14105,8136,14102,7980,14096,7282,14055,7127,14050,7049,14048,6731,14046,10928,14046,10928,14095,10334,14095,10252,14097,10170,14102,10090,14110,9849,14140,9768,14148,9687,14154,9609,14157,9531,14158xm10414,14095l10334,14095,10654,14095,10414,14095xm4361,14110l4055,14104,4584,14104,4515,14107,4438,14110,4361,14110xe" filled="true" fillcolor="#bd634d" stroked="false">
              <v:path arrowok="t"/>
              <v:fill type="solid"/>
            </v:shape>
            <v:rect style="position:absolute;left:910;top:8827;width:10018;height:343" filled="true" fillcolor="#007eab" stroked="false">
              <v:fill type="solid"/>
            </v:rect>
            <v:shape style="position:absolute;left:-443;top:18905;width:109;height:30" coordorigin="-443,18905" coordsize="109,30" path="m5592,8701l5592,8680,5566,8677,5530,8675,5499,8673,5486,8672,5486,8699m5514,8674l5514,8699,5531,8699,5531,8675,5564,8677,5564,8700,5583,8700,5583,8679e" filled="false" stroked="true" strokeweight=".068342pt" strokecolor="#000000">
              <v:path arrowok="t"/>
              <v:stroke dashstyle="solid"/>
            </v:shape>
            <v:shape style="position:absolute;left:5043;top:8796;width:515;height:103" coordorigin="5044,8796" coordsize="515,103" path="m5528,8899l5434,8895,5274,8875,5044,8827,5044,8807,5050,8796,5556,8839,5558,8897,5528,8899xe" filled="true" fillcolor="#b5543f" stroked="false">
              <v:path arrowok="t"/>
              <v:fill type="solid"/>
            </v:shape>
            <v:shape style="position:absolute;left:5466;top:8447;width:38;height:250" coordorigin="5466,8447" coordsize="38,250" path="m5466,8697l5466,8682,5475,8682,5485,8623,5485,8527,5489,8523,5489,8447,5498,8447,5495,8524,5504,8524,5504,8564,5498,8696,5466,8697xe" filled="true" fillcolor="#ffffff" stroked="false">
              <v:path arrowok="t"/>
              <v:fill type="solid"/>
            </v:shape>
            <v:line style="position:absolute" from="5545,8696" to="5545,8630" stroked="true" strokeweight=".135708pt" strokecolor="#000000">
              <v:stroke dashstyle="solid"/>
            </v:line>
            <v:shape style="position:absolute;left:5537;top:8640;width:15;height:16" coordorigin="5538,8640" coordsize="15,16" path="m5549,8656l5541,8656,5538,8652,5538,8644,5541,8640,5549,8640,5552,8644,5552,8652,5549,8656xe" filled="true" fillcolor="#000000" stroked="false">
              <v:path arrowok="t"/>
              <v:fill type="solid"/>
            </v:shape>
            <v:shape style="position:absolute;left:5038;top:8607;width:194;height:184" type="#_x0000_t75" stroked="false">
              <v:imagedata r:id="rId18" o:title=""/>
            </v:shape>
            <v:shape style="position:absolute;left:5041;top:8695;width:567;height:152" coordorigin="5042,8696" coordsize="567,152" path="m5400,8847l5236,8837,5044,8807,5042,8778,5227,8767,5263,8710,5311,8706,5420,8699,5537,8696,5609,8703,5605,8721,5589,8760,5569,8804,5556,8839,5554,8843,5555,8843,5513,8846,5400,8847xm5555,8843l5554,8843,5556,8843,5555,8843xe" filled="true" fillcolor="#000000" stroked="false">
              <v:path arrowok="t"/>
              <v:fill type="solid"/>
            </v:shape>
            <v:shape style="position:absolute;left:-854;top:18902;width:23;height:8" coordorigin="-853,18903" coordsize="23,8" path="m5085,8702l5085,8696m5107,8703l5107,8696e" filled="false" stroked="true" strokeweight=".162068pt" strokecolor="#000000">
              <v:path arrowok="t"/>
              <v:stroke dashstyle="solid"/>
            </v:shape>
            <v:shape style="position:absolute;left:-824;top:18901;width:19;height:9" coordorigin="-824,18901" coordsize="19,9" path="m5114,8703l5114,8696m5132,8704l5132,8698e" filled="false" stroked="true" strokeweight=".163044pt" strokecolor="#000000">
              <v:path arrowok="t"/>
              <v:stroke dashstyle="solid"/>
            </v:shape>
            <v:line style="position:absolute" from="5139,8704" to="5139,8698" stroked="true" strokeweight=".164021pt" strokecolor="#000000">
              <v:stroke dashstyle="solid"/>
            </v:line>
            <v:shape style="position:absolute;left:-780;top:18900;width:8;height:7" coordorigin="-780,18901" coordsize="8,7" path="m5157,8705l5157,8699m5164,8705l5164,8699e" filled="false" stroked="true" strokeweight=".162068pt" strokecolor="#000000">
              <v:path arrowok="t"/>
              <v:stroke dashstyle="solid"/>
            </v:shape>
            <v:line style="position:absolute" from="5107,8721" to="5107,8715" stroked="true" strokeweight=".161093pt" strokecolor="#000000">
              <v:stroke dashstyle="solid"/>
            </v:line>
            <v:line style="position:absolute" from="5114,8721" to="5114,8714" stroked="true" strokeweight=".162069pt" strokecolor="#000000">
              <v:stroke dashstyle="solid"/>
            </v:line>
            <v:line style="position:absolute" from="5132,8721" to="5132,8715" stroked="true" strokeweight=".161093pt" strokecolor="#000000">
              <v:stroke dashstyle="solid"/>
            </v:line>
            <v:shape style="position:absolute;left:-799;top:18865;width:26;height:26" coordorigin="-798,18866" coordsize="26,26" path="m5139,8721l5139,8714m5157,8722l5157,8715m5164,8721l5164,8715m5157,8739l5157,8732m5164,8739l5164,8732e" filled="false" stroked="true" strokeweight=".162068pt" strokecolor="#000000">
              <v:path arrowok="t"/>
              <v:stroke dashstyle="solid"/>
            </v:shape>
            <v:line style="position:absolute" from="5131,8739" to="5131,8732" stroked="true" strokeweight=".163045pt" strokecolor="#000000">
              <v:stroke dashstyle="solid"/>
            </v:line>
            <v:shape style="position:absolute;left:-831;top:18866;width:32;height:8" coordorigin="-831,18866" coordsize="32,8" path="m5138,8739l5138,8732m5107,8738l5107,8731m5114,8738l5114,8731e" filled="false" stroked="true" strokeweight=".162068pt" strokecolor="#000000">
              <v:path arrowok="t"/>
              <v:stroke dashstyle="solid"/>
            </v:shape>
            <v:line style="position:absolute" from="5179,8722" to="5179,8716" stroked="true" strokeweight=".161093pt" strokecolor="#000000">
              <v:stroke dashstyle="solid"/>
            </v:line>
            <v:line style="position:absolute" from="5186,8722" to="5186,8715" stroked="true" strokeweight=".162069pt" strokecolor="#000000">
              <v:stroke dashstyle="solid"/>
            </v:line>
            <v:line style="position:absolute" from="5179,8705" to="5179,8699" stroked="true" strokeweight=".163045pt" strokecolor="#000000">
              <v:stroke dashstyle="solid"/>
            </v:line>
            <v:line style="position:absolute" from="5186,8705" to="5186,8699" stroked="true" strokeweight=".161093pt" strokecolor="#000000">
              <v:stroke dashstyle="solid"/>
            </v:line>
            <v:line style="position:absolute" from="5178,8735" to="5181,8735" stroked="true" strokeweight=".328038pt" strokecolor="#000000">
              <v:stroke dashstyle="solid"/>
            </v:line>
            <v:line style="position:absolute" from="5186,8738" to="5186,8731" stroked="true" strokeweight=".163045pt" strokecolor="#000000">
              <v:stroke dashstyle="solid"/>
            </v:line>
            <v:line style="position:absolute" from="5085,8719" to="5085,8713" stroked="true" strokeweight=".162069pt" strokecolor="#000000">
              <v:stroke dashstyle="solid"/>
            </v:line>
            <v:line style="position:absolute" from="5084,8738" to="5084,8731" stroked="true" strokeweight=".163045pt" strokecolor="#000000">
              <v:stroke dashstyle="solid"/>
            </v:line>
            <v:shape style="position:absolute;left:5089;top:8678;width:90;height:9" coordorigin="5090,8678" coordsize="90,9" path="m5093,8678l5090,8678,5090,8685,5093,8685,5093,8678m5099,8678l5096,8678,5096,8685,5099,8685,5099,8678m5106,8679l5102,8679,5102,8685,5106,8685,5106,8679m5112,8679l5109,8679,5109,8685,5112,8685,5112,8679m5118,8679l5115,8679,5115,8685,5118,8685,5118,8679m5125,8679l5121,8679,5121,8686,5124,8686,5125,8679m5135,8679l5128,8679,5127,8686,5135,8686,5135,8679m5141,8680l5138,8679,5138,8686,5141,8686,5141,8680m5148,8680l5144,8680,5144,8686,5147,8686,5148,8680m5154,8680l5151,8680,5150,8686,5154,8686,5154,8680m5160,8680l5157,8680,5157,8686,5160,8687,5160,8680m5166,8680l5163,8680,5163,8687,5166,8687,5166,8680m5173,8680l5169,8680,5169,8687,5172,8687,5173,8680m5179,8680l5176,8680,5176,8687,5179,8687,5179,8680e" filled="true" fillcolor="#000000" stroked="false">
              <v:path arrowok="t"/>
              <v:fill type="solid"/>
            </v:shape>
            <v:shape style="position:absolute;left:903;top:8249;width:8891;height:5962" type="#_x0000_t75" stroked="false">
              <v:imagedata r:id="rId19" o:title=""/>
            </v:shape>
            <v:shape style="position:absolute;left:8478;top:7569;width:2338;height:2534" type="#_x0000_t75" stroked="false">
              <v:imagedata r:id="rId20" o:title=""/>
            </v:shape>
            <v:shape style="position:absolute;left:3022;top:7950;width:725;height:185" type="#_x0000_t75" stroked="false">
              <v:imagedata r:id="rId21" o:title=""/>
            </v:shape>
            <v:shape style="position:absolute;left:3799;top:7953;width:134;height:143" type="#_x0000_t75" stroked="false">
              <v:imagedata r:id="rId22" o:title=""/>
            </v:shape>
            <v:rect style="position:absolute;left:903;top:7423;width:10025;height:6839" filled="false" stroked="true" strokeweight=".5pt" strokecolor="#000000">
              <v:stroke dashstyle="solid"/>
            </v:rect>
            <w10:wrap type="none"/>
          </v:group>
        </w:pict>
      </w:r>
      <w:r>
        <w:rPr/>
        <w:t>lifetime of the project, a total of 20 MtCO</w:t>
      </w:r>
      <w:r>
        <w:rPr>
          <w:position w:val="-6"/>
          <w:sz w:val="11"/>
        </w:rPr>
        <w:t>2 </w:t>
      </w:r>
      <w:r>
        <w:rPr/>
        <w:t>is expected to be stored. A simplified diagram of the Sleipner scheme is given in</w:t>
      </w:r>
    </w:p>
    <w:p>
      <w:pPr>
        <w:pStyle w:val="BodyText"/>
        <w:spacing w:line="210" w:lineRule="exact"/>
        <w:ind w:left="332"/>
        <w:jc w:val="both"/>
      </w:pPr>
      <w:hyperlink w:history="true" w:anchor="_bookmark6">
        <w:r>
          <w:rPr/>
          <w:t>Figure 5.4.</w:t>
        </w:r>
      </w:hyperlink>
    </w:p>
    <w:p>
      <w:pPr>
        <w:pStyle w:val="BodyText"/>
        <w:spacing w:line="225" w:lineRule="auto" w:before="12"/>
        <w:ind w:left="332" w:right="705" w:firstLine="550"/>
        <w:jc w:val="both"/>
      </w:pPr>
      <w:r>
        <w:rPr/>
        <w:t>The saline formation into which the CO</w:t>
      </w:r>
      <w:r>
        <w:rPr>
          <w:position w:val="-6"/>
          <w:sz w:val="11"/>
        </w:rPr>
        <w:t>2 </w:t>
      </w:r>
      <w:r>
        <w:rPr/>
        <w:t>is injected is a brine-saturated unconsolidated sandstone about 800–1000 m below</w:t>
      </w:r>
      <w:r>
        <w:rPr>
          <w:spacing w:val="-12"/>
        </w:rPr>
        <w:t> </w:t>
      </w:r>
      <w:r>
        <w:rPr/>
        <w:t>the</w:t>
      </w:r>
      <w:r>
        <w:rPr>
          <w:spacing w:val="-11"/>
        </w:rPr>
        <w:t> </w:t>
      </w:r>
      <w:r>
        <w:rPr/>
        <w:t>sea</w:t>
      </w:r>
      <w:r>
        <w:rPr>
          <w:spacing w:val="-11"/>
        </w:rPr>
        <w:t> </w:t>
      </w:r>
      <w:r>
        <w:rPr>
          <w:spacing w:val="-3"/>
        </w:rPr>
        <w:t>floor.</w:t>
      </w:r>
      <w:r>
        <w:rPr>
          <w:spacing w:val="-13"/>
        </w:rPr>
        <w:t> </w:t>
      </w:r>
      <w:r>
        <w:rPr/>
        <w:t>The</w:t>
      </w:r>
      <w:r>
        <w:rPr>
          <w:spacing w:val="-11"/>
        </w:rPr>
        <w:t> </w:t>
      </w:r>
      <w:r>
        <w:rPr/>
        <w:t>formation</w:t>
      </w:r>
      <w:r>
        <w:rPr>
          <w:spacing w:val="-11"/>
        </w:rPr>
        <w:t> </w:t>
      </w:r>
      <w:r>
        <w:rPr/>
        <w:t>also</w:t>
      </w:r>
      <w:r>
        <w:rPr>
          <w:spacing w:val="-11"/>
        </w:rPr>
        <w:t> </w:t>
      </w:r>
      <w:r>
        <w:rPr/>
        <w:t>contains</w:t>
      </w:r>
      <w:r>
        <w:rPr>
          <w:spacing w:val="-11"/>
        </w:rPr>
        <w:t> </w:t>
      </w:r>
      <w:r>
        <w:rPr/>
        <w:t>secondary</w:t>
      </w:r>
      <w:r>
        <w:rPr>
          <w:spacing w:val="-11"/>
        </w:rPr>
        <w:t> </w:t>
      </w:r>
      <w:r>
        <w:rPr/>
        <w:t>thin</w:t>
      </w:r>
      <w:r>
        <w:rPr>
          <w:spacing w:val="-11"/>
        </w:rPr>
        <w:t> </w:t>
      </w:r>
      <w:r>
        <w:rPr/>
        <w:t>shale</w:t>
      </w:r>
      <w:r>
        <w:rPr>
          <w:spacing w:val="-11"/>
        </w:rPr>
        <w:t> </w:t>
      </w:r>
      <w:r>
        <w:rPr/>
        <w:t>layers,</w:t>
      </w:r>
      <w:r>
        <w:rPr>
          <w:spacing w:val="-12"/>
        </w:rPr>
        <w:t> </w:t>
      </w:r>
      <w:r>
        <w:rPr/>
        <w:t>which</w:t>
      </w:r>
      <w:r>
        <w:rPr>
          <w:spacing w:val="-11"/>
        </w:rPr>
        <w:t> </w:t>
      </w:r>
      <w:r>
        <w:rPr/>
        <w:t>influence</w:t>
      </w:r>
      <w:r>
        <w:rPr>
          <w:spacing w:val="-11"/>
        </w:rPr>
        <w:t> </w:t>
      </w:r>
      <w:r>
        <w:rPr/>
        <w:t>the</w:t>
      </w:r>
      <w:r>
        <w:rPr>
          <w:spacing w:val="-11"/>
        </w:rPr>
        <w:t> </w:t>
      </w:r>
      <w:r>
        <w:rPr/>
        <w:t>internal</w:t>
      </w:r>
      <w:r>
        <w:rPr>
          <w:spacing w:val="-11"/>
        </w:rPr>
        <w:t> </w:t>
      </w:r>
      <w:r>
        <w:rPr/>
        <w:t>movement</w:t>
      </w:r>
      <w:r>
        <w:rPr>
          <w:spacing w:val="-11"/>
        </w:rPr>
        <w:t> </w:t>
      </w:r>
      <w:r>
        <w:rPr/>
        <w:t>of</w:t>
      </w:r>
      <w:r>
        <w:rPr>
          <w:spacing w:val="-11"/>
        </w:rPr>
        <w:t> </w:t>
      </w:r>
      <w:r>
        <w:rPr/>
        <w:t>injected CO</w:t>
      </w:r>
      <w:r>
        <w:rPr>
          <w:position w:val="-6"/>
          <w:sz w:val="11"/>
        </w:rPr>
        <w:t>2</w:t>
      </w:r>
      <w:r>
        <w:rPr/>
        <w:t>.</w:t>
      </w:r>
      <w:r>
        <w:rPr>
          <w:spacing w:val="-9"/>
        </w:rPr>
        <w:t> </w:t>
      </w:r>
      <w:r>
        <w:rPr/>
        <w:t>The</w:t>
      </w:r>
      <w:r>
        <w:rPr>
          <w:spacing w:val="-6"/>
        </w:rPr>
        <w:t> </w:t>
      </w:r>
      <w:r>
        <w:rPr/>
        <w:t>saline</w:t>
      </w:r>
      <w:r>
        <w:rPr>
          <w:spacing w:val="-5"/>
        </w:rPr>
        <w:t> </w:t>
      </w:r>
      <w:r>
        <w:rPr/>
        <w:t>formation</w:t>
      </w:r>
      <w:r>
        <w:rPr>
          <w:spacing w:val="-6"/>
        </w:rPr>
        <w:t> </w:t>
      </w:r>
      <w:r>
        <w:rPr/>
        <w:t>has</w:t>
      </w:r>
      <w:r>
        <w:rPr>
          <w:spacing w:val="-5"/>
        </w:rPr>
        <w:t> </w:t>
      </w:r>
      <w:r>
        <w:rPr/>
        <w:t>a</w:t>
      </w:r>
      <w:r>
        <w:rPr>
          <w:spacing w:val="-5"/>
        </w:rPr>
        <w:t> </w:t>
      </w:r>
      <w:r>
        <w:rPr/>
        <w:t>very</w:t>
      </w:r>
      <w:r>
        <w:rPr>
          <w:spacing w:val="-6"/>
        </w:rPr>
        <w:t> </w:t>
      </w:r>
      <w:r>
        <w:rPr/>
        <w:t>large</w:t>
      </w:r>
      <w:r>
        <w:rPr>
          <w:spacing w:val="-6"/>
        </w:rPr>
        <w:t> </w:t>
      </w:r>
      <w:r>
        <w:rPr/>
        <w:t>storage</w:t>
      </w:r>
      <w:r>
        <w:rPr>
          <w:spacing w:val="-5"/>
        </w:rPr>
        <w:t> </w:t>
      </w:r>
      <w:r>
        <w:rPr/>
        <w:t>capacity,</w:t>
      </w:r>
      <w:r>
        <w:rPr>
          <w:spacing w:val="-5"/>
        </w:rPr>
        <w:t> </w:t>
      </w:r>
      <w:r>
        <w:rPr/>
        <w:t>on</w:t>
      </w:r>
      <w:r>
        <w:rPr>
          <w:spacing w:val="-6"/>
        </w:rPr>
        <w:t> </w:t>
      </w:r>
      <w:r>
        <w:rPr/>
        <w:t>the</w:t>
      </w:r>
      <w:r>
        <w:rPr>
          <w:spacing w:val="-5"/>
        </w:rPr>
        <w:t> </w:t>
      </w:r>
      <w:r>
        <w:rPr/>
        <w:t>order</w:t>
      </w:r>
      <w:r>
        <w:rPr>
          <w:spacing w:val="-6"/>
        </w:rPr>
        <w:t> </w:t>
      </w:r>
      <w:r>
        <w:rPr/>
        <w:t>of</w:t>
      </w:r>
      <w:r>
        <w:rPr>
          <w:spacing w:val="-6"/>
        </w:rPr>
        <w:t> </w:t>
      </w:r>
      <w:r>
        <w:rPr/>
        <w:t>1–10</w:t>
      </w:r>
      <w:r>
        <w:rPr>
          <w:spacing w:val="-4"/>
        </w:rPr>
        <w:t> </w:t>
      </w:r>
      <w:r>
        <w:rPr/>
        <w:t>GtCO</w:t>
      </w:r>
      <w:r>
        <w:rPr>
          <w:position w:val="-6"/>
          <w:sz w:val="11"/>
        </w:rPr>
        <w:t>2</w:t>
      </w:r>
      <w:r>
        <w:rPr/>
        <w:t>.</w:t>
      </w:r>
      <w:r>
        <w:rPr>
          <w:spacing w:val="-9"/>
        </w:rPr>
        <w:t> </w:t>
      </w:r>
      <w:r>
        <w:rPr/>
        <w:t>The</w:t>
      </w:r>
      <w:r>
        <w:rPr>
          <w:spacing w:val="-5"/>
        </w:rPr>
        <w:t> </w:t>
      </w:r>
      <w:r>
        <w:rPr/>
        <w:t>top</w:t>
      </w:r>
      <w:r>
        <w:rPr>
          <w:spacing w:val="-6"/>
        </w:rPr>
        <w:t> </w:t>
      </w:r>
      <w:r>
        <w:rPr/>
        <w:t>of</w:t>
      </w:r>
      <w:r>
        <w:rPr>
          <w:spacing w:val="-5"/>
        </w:rPr>
        <w:t> </w:t>
      </w:r>
      <w:r>
        <w:rPr/>
        <w:t>the</w:t>
      </w:r>
      <w:r>
        <w:rPr>
          <w:spacing w:val="-5"/>
        </w:rPr>
        <w:t> </w:t>
      </w:r>
      <w:r>
        <w:rPr/>
        <w:t>formation</w:t>
      </w:r>
      <w:r>
        <w:rPr>
          <w:spacing w:val="-6"/>
        </w:rPr>
        <w:t> </w:t>
      </w:r>
      <w:r>
        <w:rPr/>
        <w:t>is</w:t>
      </w:r>
      <w:r>
        <w:rPr>
          <w:spacing w:val="-6"/>
        </w:rPr>
        <w:t> </w:t>
      </w:r>
      <w:r>
        <w:rPr/>
        <w:t>fairly</w:t>
      </w:r>
      <w:r>
        <w:rPr>
          <w:spacing w:val="-5"/>
        </w:rPr>
        <w:t> </w:t>
      </w:r>
      <w:r>
        <w:rPr/>
        <w:t>flat on a regional scale, although it contains numerous small, low-amplitude closures. The overlying primary seal is an extensive, thick, shale</w:t>
      </w:r>
      <w:r>
        <w:rPr>
          <w:spacing w:val="-2"/>
        </w:rPr>
        <w:t> </w:t>
      </w:r>
      <w:r>
        <w:rPr/>
        <w:t>layer.</w:t>
      </w:r>
    </w:p>
    <w:p>
      <w:pPr>
        <w:pStyle w:val="BodyText"/>
        <w:spacing w:line="240" w:lineRule="exact" w:before="4"/>
        <w:ind w:left="332" w:right="706" w:firstLine="550"/>
        <w:jc w:val="both"/>
      </w:pPr>
      <w:r>
        <w:rPr/>
        <w:t>This project is being carried out in three phases. Phase-0 involved baseline data gathering and evaluation, which was completed in November 1998. Phase-1 involved establishment of project status after three years of CO</w:t>
      </w:r>
      <w:r>
        <w:rPr>
          <w:position w:val="-6"/>
          <w:sz w:val="11"/>
        </w:rPr>
        <w:t>2 </w:t>
      </w:r>
      <w:r>
        <w:rPr/>
        <w:t>injection. Five main project areas involve descriptions of reservoir geology, reservoir simulation, geochemistry, assessment of need and cost for monitoring wells and geophysical modelling. Phase-2, involving data interpretation and model verification, began in April</w:t>
      </w:r>
      <w:bookmarkStart w:name="_bookmark6" w:id="14"/>
      <w:bookmarkEnd w:id="14"/>
      <w:r>
        <w:rPr/>
      </w:r>
      <w:bookmarkStart w:name="_bookmark7" w:id="15"/>
      <w:bookmarkEnd w:id="15"/>
      <w:r>
        <w:rPr/>
      </w:r>
      <w:r>
        <w:rPr/>
        <w:t> 2000.</w:t>
      </w:r>
    </w:p>
    <w:p>
      <w:pPr>
        <w:pStyle w:val="BodyText"/>
        <w:spacing w:line="240" w:lineRule="exact"/>
        <w:ind w:left="332" w:right="706" w:firstLine="550"/>
        <w:jc w:val="both"/>
      </w:pPr>
      <w:r>
        <w:rPr/>
        <w:t>The</w:t>
      </w:r>
      <w:r>
        <w:rPr>
          <w:spacing w:val="-10"/>
        </w:rPr>
        <w:t> </w:t>
      </w:r>
      <w:r>
        <w:rPr/>
        <w:t>fate</w:t>
      </w:r>
      <w:r>
        <w:rPr>
          <w:spacing w:val="-9"/>
        </w:rPr>
        <w:t> </w:t>
      </w:r>
      <w:r>
        <w:rPr/>
        <w:t>and</w:t>
      </w:r>
      <w:r>
        <w:rPr>
          <w:spacing w:val="-9"/>
        </w:rPr>
        <w:t> </w:t>
      </w:r>
      <w:r>
        <w:rPr/>
        <w:t>transport</w:t>
      </w:r>
      <w:r>
        <w:rPr>
          <w:spacing w:val="-9"/>
        </w:rPr>
        <w:t> </w:t>
      </w:r>
      <w:r>
        <w:rPr/>
        <w:t>of</w:t>
      </w:r>
      <w:r>
        <w:rPr>
          <w:spacing w:val="-9"/>
        </w:rPr>
        <w:t> </w:t>
      </w:r>
      <w:r>
        <w:rPr/>
        <w:t>the</w:t>
      </w:r>
      <w:r>
        <w:rPr>
          <w:spacing w:val="-9"/>
        </w:rPr>
        <w:t> </w:t>
      </w:r>
      <w:r>
        <w:rPr/>
        <w:t>CO</w:t>
      </w:r>
      <w:r>
        <w:rPr>
          <w:position w:val="-6"/>
          <w:sz w:val="11"/>
        </w:rPr>
        <w:t>2</w:t>
      </w:r>
      <w:r>
        <w:rPr>
          <w:spacing w:val="13"/>
          <w:position w:val="-6"/>
          <w:sz w:val="11"/>
        </w:rPr>
        <w:t> </w:t>
      </w:r>
      <w:r>
        <w:rPr/>
        <w:t>plume</w:t>
      </w:r>
      <w:r>
        <w:rPr>
          <w:spacing w:val="-9"/>
        </w:rPr>
        <w:t> </w:t>
      </w:r>
      <w:r>
        <w:rPr/>
        <w:t>in</w:t>
      </w:r>
      <w:r>
        <w:rPr>
          <w:spacing w:val="-9"/>
        </w:rPr>
        <w:t> </w:t>
      </w:r>
      <w:r>
        <w:rPr/>
        <w:t>the</w:t>
      </w:r>
      <w:r>
        <w:rPr>
          <w:spacing w:val="-9"/>
        </w:rPr>
        <w:t> </w:t>
      </w:r>
      <w:r>
        <w:rPr/>
        <w:t>storage</w:t>
      </w:r>
      <w:r>
        <w:rPr>
          <w:spacing w:val="-9"/>
        </w:rPr>
        <w:t> </w:t>
      </w:r>
      <w:r>
        <w:rPr/>
        <w:t>formation</w:t>
      </w:r>
      <w:r>
        <w:rPr>
          <w:spacing w:val="-9"/>
        </w:rPr>
        <w:t> </w:t>
      </w:r>
      <w:r>
        <w:rPr/>
        <w:t>has</w:t>
      </w:r>
      <w:r>
        <w:rPr>
          <w:spacing w:val="-9"/>
        </w:rPr>
        <w:t> </w:t>
      </w:r>
      <w:r>
        <w:rPr/>
        <w:t>been</w:t>
      </w:r>
      <w:r>
        <w:rPr>
          <w:spacing w:val="-9"/>
        </w:rPr>
        <w:t> </w:t>
      </w:r>
      <w:r>
        <w:rPr/>
        <w:t>monitored</w:t>
      </w:r>
      <w:r>
        <w:rPr>
          <w:spacing w:val="-9"/>
        </w:rPr>
        <w:t> </w:t>
      </w:r>
      <w:r>
        <w:rPr/>
        <w:t>successfully</w:t>
      </w:r>
      <w:r>
        <w:rPr>
          <w:spacing w:val="-9"/>
        </w:rPr>
        <w:t> </w:t>
      </w:r>
      <w:r>
        <w:rPr/>
        <w:t>by</w:t>
      </w:r>
      <w:r>
        <w:rPr>
          <w:spacing w:val="-10"/>
        </w:rPr>
        <w:t> </w:t>
      </w:r>
      <w:r>
        <w:rPr/>
        <w:t>seismic</w:t>
      </w:r>
      <w:r>
        <w:rPr>
          <w:spacing w:val="-9"/>
        </w:rPr>
        <w:t> </w:t>
      </w:r>
      <w:r>
        <w:rPr/>
        <w:t>time-lapse surveys</w:t>
      </w:r>
      <w:r>
        <w:rPr>
          <w:spacing w:val="-12"/>
        </w:rPr>
        <w:t> </w:t>
      </w:r>
      <w:hyperlink w:history="true" w:anchor="_bookmark28">
        <w:r>
          <w:rPr/>
          <w:t>(Figure</w:t>
        </w:r>
        <w:r>
          <w:rPr>
            <w:spacing w:val="-11"/>
          </w:rPr>
          <w:t> </w:t>
        </w:r>
        <w:r>
          <w:rPr/>
          <w:t>5.16).</w:t>
        </w:r>
        <w:r>
          <w:rPr>
            <w:spacing w:val="-15"/>
          </w:rPr>
          <w:t> </w:t>
        </w:r>
      </w:hyperlink>
      <w:r>
        <w:rPr/>
        <w:t>The</w:t>
      </w:r>
      <w:r>
        <w:rPr>
          <w:spacing w:val="-11"/>
        </w:rPr>
        <w:t> </w:t>
      </w:r>
      <w:r>
        <w:rPr/>
        <w:t>surveys</w:t>
      </w:r>
      <w:r>
        <w:rPr>
          <w:spacing w:val="-11"/>
        </w:rPr>
        <w:t> </w:t>
      </w:r>
      <w:r>
        <w:rPr/>
        <w:t>also</w:t>
      </w:r>
      <w:r>
        <w:rPr>
          <w:spacing w:val="-11"/>
        </w:rPr>
        <w:t> </w:t>
      </w:r>
      <w:r>
        <w:rPr/>
        <w:t>show</w:t>
      </w:r>
      <w:r>
        <w:rPr>
          <w:spacing w:val="-12"/>
        </w:rPr>
        <w:t> </w:t>
      </w:r>
      <w:r>
        <w:rPr/>
        <w:t>that</w:t>
      </w:r>
      <w:r>
        <w:rPr>
          <w:spacing w:val="-11"/>
        </w:rPr>
        <w:t> </w:t>
      </w:r>
      <w:r>
        <w:rPr/>
        <w:t>the</w:t>
      </w:r>
      <w:r>
        <w:rPr>
          <w:spacing w:val="-11"/>
        </w:rPr>
        <w:t> </w:t>
      </w:r>
      <w:r>
        <w:rPr/>
        <w:t>caprock</w:t>
      </w:r>
      <w:r>
        <w:rPr>
          <w:spacing w:val="-11"/>
        </w:rPr>
        <w:t> </w:t>
      </w:r>
      <w:r>
        <w:rPr/>
        <w:t>is</w:t>
      </w:r>
      <w:r>
        <w:rPr>
          <w:spacing w:val="-11"/>
        </w:rPr>
        <w:t> </w:t>
      </w:r>
      <w:r>
        <w:rPr/>
        <w:t>an</w:t>
      </w:r>
      <w:r>
        <w:rPr>
          <w:spacing w:val="-11"/>
        </w:rPr>
        <w:t> </w:t>
      </w:r>
      <w:r>
        <w:rPr/>
        <w:t>effective</w:t>
      </w:r>
      <w:r>
        <w:rPr>
          <w:spacing w:val="-12"/>
        </w:rPr>
        <w:t> </w:t>
      </w:r>
      <w:r>
        <w:rPr/>
        <w:t>seal</w:t>
      </w:r>
      <w:r>
        <w:rPr>
          <w:spacing w:val="-11"/>
        </w:rPr>
        <w:t> </w:t>
      </w:r>
      <w:r>
        <w:rPr/>
        <w:t>that</w:t>
      </w:r>
      <w:r>
        <w:rPr>
          <w:spacing w:val="-11"/>
        </w:rPr>
        <w:t> </w:t>
      </w:r>
      <w:r>
        <w:rPr/>
        <w:t>prevents</w:t>
      </w:r>
      <w:r>
        <w:rPr>
          <w:spacing w:val="-11"/>
        </w:rPr>
        <w:t> </w:t>
      </w:r>
      <w:r>
        <w:rPr/>
        <w:t>CO</w:t>
      </w:r>
      <w:r>
        <w:rPr>
          <w:position w:val="-6"/>
          <w:sz w:val="11"/>
        </w:rPr>
        <w:t>2</w:t>
      </w:r>
      <w:r>
        <w:rPr>
          <w:spacing w:val="11"/>
          <w:position w:val="-6"/>
          <w:sz w:val="11"/>
        </w:rPr>
        <w:t> </w:t>
      </w:r>
      <w:r>
        <w:rPr/>
        <w:t>migration</w:t>
      </w:r>
      <w:r>
        <w:rPr>
          <w:spacing w:val="-12"/>
        </w:rPr>
        <w:t> </w:t>
      </w:r>
      <w:r>
        <w:rPr/>
        <w:t>out</w:t>
      </w:r>
      <w:r>
        <w:rPr>
          <w:spacing w:val="-11"/>
        </w:rPr>
        <w:t> </w:t>
      </w:r>
      <w:r>
        <w:rPr/>
        <w:t>of</w:t>
      </w:r>
      <w:r>
        <w:rPr>
          <w:spacing w:val="-11"/>
        </w:rPr>
        <w:t> </w:t>
      </w:r>
      <w:r>
        <w:rPr/>
        <w:t>the</w:t>
      </w:r>
      <w:r>
        <w:rPr>
          <w:spacing w:val="-11"/>
        </w:rPr>
        <w:t> </w:t>
      </w:r>
      <w:r>
        <w:rPr/>
        <w:t>storage formation. </w:t>
      </w:r>
      <w:r>
        <w:rPr>
          <w:spacing w:val="-5"/>
        </w:rPr>
        <w:t>Today, </w:t>
      </w:r>
      <w:r>
        <w:rPr/>
        <w:t>the footprint of the plume at Sleipner extends over an area of approximately 5 km</w:t>
      </w:r>
      <w:r>
        <w:rPr>
          <w:position w:val="7"/>
          <w:sz w:val="11"/>
        </w:rPr>
        <w:t>2</w:t>
      </w:r>
      <w:r>
        <w:rPr/>
        <w:t>. Reservoir studies and simulations covering hundreds to thousands of years have shown that CO</w:t>
      </w:r>
      <w:r>
        <w:rPr>
          <w:position w:val="-6"/>
          <w:sz w:val="11"/>
        </w:rPr>
        <w:t>2 </w:t>
      </w:r>
      <w:r>
        <w:rPr/>
        <w:t>will eventually dissolve in the pore </w:t>
      </w:r>
      <w:r>
        <w:rPr>
          <w:spacing w:val="-3"/>
        </w:rPr>
        <w:t>water, </w:t>
      </w:r>
      <w:r>
        <w:rPr/>
        <w:t>which will become heavier and sink, thus minimizing the potential for long-term leakage (Lindeberg and Bergmo,</w:t>
      </w:r>
      <w:r>
        <w:rPr>
          <w:spacing w:val="-10"/>
        </w:rPr>
        <w:t> </w:t>
      </w:r>
      <w:r>
        <w:rPr/>
        <w:t>2003).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before="67"/>
        <w:ind w:left="318" w:right="0" w:firstLine="0"/>
        <w:jc w:val="left"/>
        <w:rPr>
          <w:sz w:val="18"/>
        </w:rPr>
      </w:pPr>
      <w:r>
        <w:rPr>
          <w:b/>
          <w:sz w:val="18"/>
        </w:rPr>
        <w:t>Figure 5.4 </w:t>
      </w:r>
      <w:r>
        <w:rPr>
          <w:sz w:val="18"/>
        </w:rPr>
        <w:t>Simplified diagram of the Sleipner CO</w:t>
      </w:r>
      <w:r>
        <w:rPr>
          <w:position w:val="-5"/>
          <w:sz w:val="10"/>
        </w:rPr>
        <w:t>2 </w:t>
      </w:r>
      <w:r>
        <w:rPr>
          <w:sz w:val="18"/>
        </w:rPr>
        <w:t>Storage Project. Inset: location and extent of the Utsira formation.</w:t>
      </w:r>
    </w:p>
    <w:p>
      <w:pPr>
        <w:spacing w:after="0"/>
        <w:jc w:val="left"/>
        <w:rPr>
          <w:sz w:val="18"/>
        </w:rPr>
        <w:sectPr>
          <w:type w:val="continuous"/>
          <w:pgSz w:w="12240" w:h="15840"/>
          <w:pgMar w:top="400" w:bottom="280" w:left="580" w:right="600"/>
        </w:sectPr>
      </w:pPr>
    </w:p>
    <w:p>
      <w:pPr>
        <w:pStyle w:val="BodyText"/>
      </w:pPr>
    </w:p>
    <w:p>
      <w:pPr>
        <w:pStyle w:val="BodyText"/>
        <w:spacing w:before="6"/>
      </w:pPr>
    </w:p>
    <w:p>
      <w:pPr>
        <w:pStyle w:val="BodyText"/>
        <w:ind w:left="548"/>
        <w:jc w:val="both"/>
      </w:pPr>
      <w:r>
        <w:rPr/>
        <w:pict>
          <v:group style="position:absolute;margin-left:56.193001pt;margin-top:13.930965pt;width:519pt;height:509.35pt;mso-position-horizontal-relative:page;mso-position-vertical-relative:paragraph;z-index:-258892800" coordorigin="1124,279" coordsize="10380,10187">
            <v:rect style="position:absolute;left:1128;top:283;width:10370;height:10177" filled="false" stroked="true" strokeweight=".5pt" strokecolor="#000000">
              <v:stroke dashstyle="solid"/>
            </v:rect>
            <v:shape style="position:absolute;left:2864;top:5356;width:8433;height:2032" type="#_x0000_t75" stroked="false">
              <v:imagedata r:id="rId23" o:title=""/>
            </v:shape>
            <v:shape style="position:absolute;left:2864;top:5356;width:8433;height:2032" coordorigin="2864,5357" coordsize="8433,2032" path="m2864,7023l2864,5364,11286,5357,11297,7388,9879,7299,8853,7218,6194,7101,3553,7055,2864,7023xe" filled="false" stroked="true" strokeweight=".742pt" strokecolor="#000000">
              <v:path arrowok="t"/>
              <v:stroke dashstyle="solid"/>
            </v:shape>
            <v:shape style="position:absolute;left:2921;top:6803;width:8377;height:2752" type="#_x0000_t75" stroked="false">
              <v:imagedata r:id="rId24" o:title=""/>
            </v:shape>
            <v:shape style="position:absolute;left:2921;top:6803;width:8377;height:2752" coordorigin="2922,6803" coordsize="8377,2752" path="m2922,6921l4956,6803,7848,7027,10819,7241,11298,7257,11298,9518,10398,9555,9969,9462,9452,9345,9086,9235,8914,9175,8461,9046,7592,8794,7141,8675,6816,8618,6298,8568,6139,8558,6008,8564,5829,8585,5343,8651,4969,8717,4607,8768,4344,8824,3594,9093,3362,9189,3237,9240,2923,9352,2922,6921xe" filled="false" stroked="true" strokeweight=".596pt" strokecolor="#000000">
              <v:path arrowok="t"/>
              <v:stroke dashstyle="solid"/>
            </v:shape>
            <v:shape style="position:absolute;left:2915;top:8442;width:8390;height:1327" coordorigin="2915,8442" coordsize="8390,1327" path="m11305,9319l11156,9343,10733,9369,10066,9329,9187,9156,9126,9139,9062,9119,8994,9096,8885,9056,8505,8915,8312,8845,8156,8792,8085,8769,7992,8740,7878,8706,7760,8672,7638,8640,7575,8625,7512,8609,7447,8595,7382,8580,7315,8567,7248,8553,7179,8541,7110,8529,7039,8517,6968,8506,6895,8496,6822,8487,6747,8478,6672,8471,6595,8464,6518,8458,6439,8453,6359,8449,6279,8446,6197,8443,6115,8442,6031,8442,5946,8444,5861,8446,5774,8449,5686,8454,5597,8460,5507,8468,5417,8476,5325,8486,5232,8498,5138,8511,5043,8525,4947,8541,4850,8558,4752,8577,4653,8598,4552,8620,4451,8644,4349,8670,4246,8697,4141,8726,4036,8757,3929,8790,3822,8825,3713,8862,3603,8900,3493,8941,3381,8984,3268,9028,3154,9075,3039,9124,2923,9176,2915,9622,3025,9565,3134,9511,3242,9459,3350,9409,3456,9361,3562,9315,3666,9272,3770,9231,3873,9191,3975,9154,4077,9119,4177,9085,4276,9054,4375,9024,4473,8997,4570,8971,4666,8946,4761,8924,4855,8903,4948,8884,5041,8866,5132,8851,5223,8836,5313,8823,5402,8812,5490,8802,5577,8793,5663,8786,5748,8780,5833,8776,5916,8772,5999,8770,6080,8769,6161,8770,6241,8771,6320,8773,6398,8777,6476,8781,6552,8787,6627,8793,6702,8800,6775,8809,6848,8818,6920,8827,6990,8838,7060,8849,7129,8861,7197,8874,7264,8887,7331,8901,7396,8915,7460,8930,7524,8945,7586,8961,7648,8977,7768,9010,7885,9044,7998,9080,8117,9119,8264,9169,8412,9223,8954,9429,9024,9454,9089,9475,9150,9494,9943,9701,10328,9769,10771,9769,10803,9767,11297,9665,11303,9369,11305,9319e" filled="true" fillcolor="#c7e3f2" stroked="false">
              <v:path arrowok="t"/>
              <v:fill type="solid"/>
            </v:shape>
            <v:shape style="position:absolute;left:3762;top:8442;width:4429;height:869" coordorigin="3762,8442" coordsize="4429,869" path="m4783,9115l4588,9115,4588,9311,4783,9311,4783,9115m8191,8824l8038,8773,7932,8740,7822,8707,7709,8675,7592,8644,7471,8614,7409,8599,7346,8585,7283,8572,7218,8559,7153,8547,7086,8535,7019,8523,6951,8513,6882,8503,6812,8493,6741,8484,6669,8476,6596,8469,6522,8463,6447,8457,6371,8452,6295,8448,6217,8445,6139,8443,6059,8442,5979,8442,5898,8443,5815,8446,5732,8449,5648,8453,5563,8459,5477,8465,5389,8473,5301,8482,5212,8493,5123,8505,5032,8518,4940,8532,4847,8548,4753,8566,4658,8585,4563,8605,4466,8627,4368,8650,4270,8675,4170,8702,4070,8730,3968,8761,3866,8792,3762,8826,8191,8824e" filled="true" fillcolor="#ba3324" stroked="false">
              <v:path arrowok="t"/>
              <v:fill type="solid"/>
            </v:shape>
            <v:shape style="position:absolute;left:5941;top:8780;width:104;height:44" type="#_x0000_t75" stroked="false">
              <v:imagedata r:id="rId25" o:title=""/>
            </v:shape>
            <v:shape style="position:absolute;left:6219;top:8773;width:107;height:51" type="#_x0000_t75" stroked="false">
              <v:imagedata r:id="rId26" o:title=""/>
            </v:shape>
            <v:shape style="position:absolute;left:5664;top:8778;width:63;height:40" type="#_x0000_t75" stroked="false">
              <v:imagedata r:id="rId27" o:title=""/>
            </v:shape>
            <v:shape style="position:absolute;left:6383;top:8809;width:52;height:15" type="#_x0000_t75" stroked="false">
              <v:imagedata r:id="rId28" o:title=""/>
            </v:shape>
            <v:shape style="position:absolute;left:5262;top:8816;width:52;height:8" type="#_x0000_t75" stroked="false">
              <v:imagedata r:id="rId29" o:title=""/>
            </v:shape>
            <v:rect style="position:absolute;left:4772;top:5291;width:94;height:89" filled="false" stroked="true" strokeweight=".448pt" strokecolor="#000000">
              <v:stroke dashstyle="solid"/>
            </v:rect>
            <w10:wrap type="none"/>
          </v:group>
        </w:pict>
      </w:r>
      <w:bookmarkStart w:name="_bookmark8" w:id="16"/>
      <w:bookmarkEnd w:id="16"/>
      <w:r>
        <w:rPr/>
      </w:r>
      <w:r>
        <w:rPr>
          <w:b/>
        </w:rPr>
        <w:t>Box 5.2 </w:t>
      </w:r>
      <w:r>
        <w:rPr/>
        <w:t>The In Salah, Algeria, CO</w:t>
      </w:r>
      <w:r>
        <w:rPr>
          <w:position w:val="-6"/>
          <w:sz w:val="11"/>
        </w:rPr>
        <w:t>2 </w:t>
      </w:r>
      <w:r>
        <w:rPr/>
        <w:t>Storage Project.</w:t>
      </w:r>
    </w:p>
    <w:p>
      <w:pPr>
        <w:pStyle w:val="BodyText"/>
        <w:spacing w:line="240" w:lineRule="exact" w:before="46"/>
        <w:ind w:left="723" w:right="314"/>
        <w:jc w:val="both"/>
      </w:pPr>
      <w:r>
        <w:rPr/>
        <w:t>The In Salah Gas Project, a joint venture among Sonatrach, BP and Statoil located in the central Saharan region of Algeria, is the </w:t>
      </w:r>
      <w:r>
        <w:rPr>
          <w:spacing w:val="-3"/>
        </w:rPr>
        <w:t>world’s </w:t>
      </w:r>
      <w:r>
        <w:rPr/>
        <w:t>first large-scale CO</w:t>
      </w:r>
      <w:r>
        <w:rPr>
          <w:position w:val="-6"/>
          <w:sz w:val="11"/>
        </w:rPr>
        <w:t>2 </w:t>
      </w:r>
      <w:r>
        <w:rPr/>
        <w:t>storage project in a gas reservoir (Riddiford </w:t>
      </w:r>
      <w:r>
        <w:rPr>
          <w:i/>
        </w:rPr>
        <w:t>et al.</w:t>
      </w:r>
      <w:r>
        <w:rPr/>
        <w:t>, 2003). The Krechba Field at In Salah produces natural gas containing up to 10% CO</w:t>
      </w:r>
      <w:r>
        <w:rPr>
          <w:position w:val="-6"/>
          <w:sz w:val="11"/>
        </w:rPr>
        <w:t>2 </w:t>
      </w:r>
      <w:r>
        <w:rPr/>
        <w:t>from several geological reservoirs and delivers it to markets in Europe, after processing</w:t>
      </w:r>
      <w:r>
        <w:rPr>
          <w:spacing w:val="-11"/>
        </w:rPr>
        <w:t> </w:t>
      </w:r>
      <w:r>
        <w:rPr/>
        <w:t>and</w:t>
      </w:r>
      <w:r>
        <w:rPr>
          <w:spacing w:val="-10"/>
        </w:rPr>
        <w:t> </w:t>
      </w:r>
      <w:r>
        <w:rPr/>
        <w:t>stripping</w:t>
      </w:r>
      <w:r>
        <w:rPr>
          <w:spacing w:val="-10"/>
        </w:rPr>
        <w:t> </w:t>
      </w:r>
      <w:r>
        <w:rPr/>
        <w:t>the</w:t>
      </w:r>
      <w:r>
        <w:rPr>
          <w:spacing w:val="-10"/>
        </w:rPr>
        <w:t> </w:t>
      </w:r>
      <w:r>
        <w:rPr/>
        <w:t>CO</w:t>
      </w:r>
      <w:r>
        <w:rPr>
          <w:position w:val="-6"/>
          <w:sz w:val="11"/>
        </w:rPr>
        <w:t>2</w:t>
      </w:r>
      <w:r>
        <w:rPr>
          <w:spacing w:val="13"/>
          <w:position w:val="-6"/>
          <w:sz w:val="11"/>
        </w:rPr>
        <w:t> </w:t>
      </w:r>
      <w:r>
        <w:rPr/>
        <w:t>to</w:t>
      </w:r>
      <w:r>
        <w:rPr>
          <w:spacing w:val="-10"/>
        </w:rPr>
        <w:t> </w:t>
      </w:r>
      <w:r>
        <w:rPr/>
        <w:t>meet</w:t>
      </w:r>
      <w:r>
        <w:rPr>
          <w:spacing w:val="-10"/>
        </w:rPr>
        <w:t> </w:t>
      </w:r>
      <w:r>
        <w:rPr/>
        <w:t>commercial</w:t>
      </w:r>
      <w:r>
        <w:rPr>
          <w:spacing w:val="-10"/>
        </w:rPr>
        <w:t> </w:t>
      </w:r>
      <w:r>
        <w:rPr/>
        <w:t>specifications.</w:t>
      </w:r>
      <w:r>
        <w:rPr>
          <w:spacing w:val="-14"/>
        </w:rPr>
        <w:t> </w:t>
      </w:r>
      <w:r>
        <w:rPr/>
        <w:t>The</w:t>
      </w:r>
      <w:r>
        <w:rPr>
          <w:spacing w:val="-10"/>
        </w:rPr>
        <w:t> </w:t>
      </w:r>
      <w:r>
        <w:rPr/>
        <w:t>project</w:t>
      </w:r>
      <w:r>
        <w:rPr>
          <w:spacing w:val="-10"/>
        </w:rPr>
        <w:t> </w:t>
      </w:r>
      <w:r>
        <w:rPr/>
        <w:t>involves</w:t>
      </w:r>
      <w:r>
        <w:rPr>
          <w:spacing w:val="-10"/>
        </w:rPr>
        <w:t> </w:t>
      </w:r>
      <w:r>
        <w:rPr/>
        <w:t>re-injecting</w:t>
      </w:r>
      <w:r>
        <w:rPr>
          <w:spacing w:val="-10"/>
        </w:rPr>
        <w:t> </w:t>
      </w:r>
      <w:r>
        <w:rPr/>
        <w:t>the</w:t>
      </w:r>
      <w:r>
        <w:rPr>
          <w:spacing w:val="-10"/>
        </w:rPr>
        <w:t> </w:t>
      </w:r>
      <w:r>
        <w:rPr/>
        <w:t>CO</w:t>
      </w:r>
      <w:r>
        <w:rPr>
          <w:position w:val="-6"/>
          <w:sz w:val="11"/>
        </w:rPr>
        <w:t>2</w:t>
      </w:r>
      <w:r>
        <w:rPr>
          <w:spacing w:val="12"/>
          <w:position w:val="-6"/>
          <w:sz w:val="11"/>
        </w:rPr>
        <w:t> </w:t>
      </w:r>
      <w:r>
        <w:rPr/>
        <w:t>into</w:t>
      </w:r>
      <w:r>
        <w:rPr>
          <w:spacing w:val="-10"/>
        </w:rPr>
        <w:t> </w:t>
      </w:r>
      <w:r>
        <w:rPr/>
        <w:t>a</w:t>
      </w:r>
      <w:r>
        <w:rPr>
          <w:spacing w:val="-10"/>
        </w:rPr>
        <w:t> </w:t>
      </w:r>
      <w:r>
        <w:rPr/>
        <w:t>sandstone</w:t>
      </w:r>
    </w:p>
    <w:p>
      <w:pPr>
        <w:spacing w:after="0" w:line="240" w:lineRule="exact"/>
        <w:jc w:val="both"/>
        <w:sectPr>
          <w:pgSz w:w="12240" w:h="15840"/>
          <w:pgMar w:header="567" w:footer="0" w:top="760" w:bottom="280" w:left="580" w:right="600"/>
        </w:sectPr>
      </w:pPr>
    </w:p>
    <w:p>
      <w:pPr>
        <w:pStyle w:val="BodyText"/>
        <w:spacing w:line="277" w:lineRule="exact" w:before="5"/>
        <w:ind w:left="723"/>
        <w:rPr>
          <w:sz w:val="11"/>
        </w:rPr>
      </w:pPr>
      <w:r>
        <w:rPr/>
        <w:t>reservoir at a depth of 1800 m and storing up to 1.2 MtCO</w:t>
      </w:r>
      <w:r>
        <w:rPr>
          <w:position w:val="-6"/>
          <w:sz w:val="11"/>
        </w:rPr>
        <w:t>2</w:t>
      </w:r>
    </w:p>
    <w:p>
      <w:pPr>
        <w:pStyle w:val="BodyText"/>
        <w:spacing w:before="5"/>
        <w:ind w:left="14"/>
      </w:pPr>
      <w:r>
        <w:rPr/>
        <w:br w:type="column"/>
      </w:r>
      <w:r>
        <w:rPr/>
        <w:t>yr</w:t>
      </w:r>
      <w:r>
        <w:rPr>
          <w:position w:val="7"/>
          <w:sz w:val="11"/>
        </w:rPr>
        <w:t>-1</w:t>
      </w:r>
      <w:r>
        <w:rPr/>
        <w:t>. Carbon dioxide injection started in April 2004 and, over the</w:t>
      </w:r>
    </w:p>
    <w:p>
      <w:pPr>
        <w:spacing w:after="0"/>
        <w:sectPr>
          <w:type w:val="continuous"/>
          <w:pgSz w:w="12240" w:h="15840"/>
          <w:pgMar w:top="400" w:bottom="280" w:left="580" w:right="600"/>
          <w:cols w:num="2" w:equalWidth="0">
            <w:col w:w="5508" w:space="40"/>
            <w:col w:w="5512"/>
          </w:cols>
        </w:sectPr>
      </w:pPr>
    </w:p>
    <w:p>
      <w:pPr>
        <w:pStyle w:val="BodyText"/>
        <w:spacing w:line="187" w:lineRule="auto"/>
        <w:ind w:left="723"/>
        <w:jc w:val="both"/>
      </w:pPr>
      <w:r>
        <w:rPr/>
        <w:t>life of the project, it is estimated that 17 MtCO</w:t>
      </w:r>
      <w:r>
        <w:rPr>
          <w:position w:val="-6"/>
          <w:sz w:val="11"/>
        </w:rPr>
        <w:t>2 </w:t>
      </w:r>
      <w:r>
        <w:rPr/>
        <w:t>will be geologically stored. The project consists of four production and three</w:t>
      </w:r>
    </w:p>
    <w:p>
      <w:pPr>
        <w:pStyle w:val="BodyText"/>
        <w:spacing w:line="206" w:lineRule="auto"/>
        <w:ind w:left="723" w:right="314"/>
        <w:jc w:val="both"/>
      </w:pPr>
      <w:r>
        <w:rPr/>
        <w:t>injection wells (Figure 5.5). Long-reach (up to 1.5 km) horizontal wells are used to inject CO</w:t>
      </w:r>
      <w:r>
        <w:rPr>
          <w:position w:val="-6"/>
          <w:sz w:val="11"/>
        </w:rPr>
        <w:t>2 </w:t>
      </w:r>
      <w:r>
        <w:rPr/>
        <w:t>into the 5-mD permeability reservoir.</w:t>
      </w:r>
    </w:p>
    <w:p>
      <w:pPr>
        <w:pStyle w:val="BodyText"/>
        <w:spacing w:line="240" w:lineRule="exact" w:before="2"/>
        <w:ind w:left="723" w:right="313" w:firstLine="550"/>
        <w:jc w:val="both"/>
      </w:pPr>
      <w:r>
        <w:rPr/>
        <w:t>The Krechba Field is a relatively simple anticline. Carbon dioxide injection takes place down-dip from the gas/water contact in the gas-bearing reservoir. The injected CO</w:t>
      </w:r>
      <w:r>
        <w:rPr>
          <w:position w:val="-6"/>
          <w:sz w:val="11"/>
        </w:rPr>
        <w:t>2 </w:t>
      </w:r>
      <w:r>
        <w:rPr/>
        <w:t>is expected to eventually migrate into the area of the current gas field after depletion of the gas zone. The field has been mapped with three-dimensional seismic and well data from the field. Deep faults</w:t>
      </w:r>
      <w:r>
        <w:rPr>
          <w:spacing w:val="-11"/>
        </w:rPr>
        <w:t> </w:t>
      </w:r>
      <w:r>
        <w:rPr/>
        <w:t>have</w:t>
      </w:r>
      <w:r>
        <w:rPr>
          <w:spacing w:val="-10"/>
        </w:rPr>
        <w:t> </w:t>
      </w:r>
      <w:r>
        <w:rPr/>
        <w:t>been</w:t>
      </w:r>
      <w:r>
        <w:rPr>
          <w:spacing w:val="-10"/>
        </w:rPr>
        <w:t> </w:t>
      </w:r>
      <w:r>
        <w:rPr/>
        <w:t>mapped,</w:t>
      </w:r>
      <w:r>
        <w:rPr>
          <w:spacing w:val="-11"/>
        </w:rPr>
        <w:t> </w:t>
      </w:r>
      <w:r>
        <w:rPr/>
        <w:t>but</w:t>
      </w:r>
      <w:r>
        <w:rPr>
          <w:spacing w:val="-10"/>
        </w:rPr>
        <w:t> </w:t>
      </w:r>
      <w:r>
        <w:rPr/>
        <w:t>at</w:t>
      </w:r>
      <w:r>
        <w:rPr>
          <w:spacing w:val="-10"/>
        </w:rPr>
        <w:t> </w:t>
      </w:r>
      <w:r>
        <w:rPr/>
        <w:t>shallower</w:t>
      </w:r>
      <w:r>
        <w:rPr>
          <w:spacing w:val="-12"/>
        </w:rPr>
        <w:t> </w:t>
      </w:r>
      <w:r>
        <w:rPr/>
        <w:t>levels,</w:t>
      </w:r>
      <w:r>
        <w:rPr>
          <w:spacing w:val="-10"/>
        </w:rPr>
        <w:t> </w:t>
      </w:r>
      <w:r>
        <w:rPr/>
        <w:t>the</w:t>
      </w:r>
      <w:r>
        <w:rPr>
          <w:spacing w:val="-10"/>
        </w:rPr>
        <w:t> </w:t>
      </w:r>
      <w:r>
        <w:rPr/>
        <w:t>structure</w:t>
      </w:r>
      <w:r>
        <w:rPr>
          <w:spacing w:val="-12"/>
        </w:rPr>
        <w:t> </w:t>
      </w:r>
      <w:r>
        <w:rPr/>
        <w:t>is</w:t>
      </w:r>
      <w:r>
        <w:rPr>
          <w:spacing w:val="-10"/>
        </w:rPr>
        <w:t> </w:t>
      </w:r>
      <w:r>
        <w:rPr/>
        <w:t>unfaulted.</w:t>
      </w:r>
      <w:r>
        <w:rPr>
          <w:spacing w:val="-14"/>
        </w:rPr>
        <w:t> </w:t>
      </w:r>
      <w:r>
        <w:rPr/>
        <w:t>The</w:t>
      </w:r>
      <w:r>
        <w:rPr>
          <w:spacing w:val="-11"/>
        </w:rPr>
        <w:t> </w:t>
      </w:r>
      <w:r>
        <w:rPr/>
        <w:t>storage</w:t>
      </w:r>
      <w:r>
        <w:rPr>
          <w:spacing w:val="-11"/>
        </w:rPr>
        <w:t> </w:t>
      </w:r>
      <w:r>
        <w:rPr/>
        <w:t>target</w:t>
      </w:r>
      <w:r>
        <w:rPr>
          <w:spacing w:val="-10"/>
        </w:rPr>
        <w:t> </w:t>
      </w:r>
      <w:r>
        <w:rPr/>
        <w:t>in</w:t>
      </w:r>
      <w:r>
        <w:rPr>
          <w:spacing w:val="-10"/>
        </w:rPr>
        <w:t> </w:t>
      </w:r>
      <w:r>
        <w:rPr/>
        <w:t>the</w:t>
      </w:r>
      <w:r>
        <w:rPr>
          <w:spacing w:val="-11"/>
        </w:rPr>
        <w:t> </w:t>
      </w:r>
      <w:r>
        <w:rPr/>
        <w:t>reservoir</w:t>
      </w:r>
      <w:r>
        <w:rPr>
          <w:spacing w:val="-10"/>
        </w:rPr>
        <w:t> </w:t>
      </w:r>
      <w:r>
        <w:rPr/>
        <w:t>interval</w:t>
      </w:r>
      <w:r>
        <w:rPr>
          <w:spacing w:val="-11"/>
        </w:rPr>
        <w:t> </w:t>
      </w:r>
      <w:r>
        <w:rPr/>
        <w:t>therefore carries minimal structural uncertainty or risk. The top seal is a thick succession of mudstones up to 950 m</w:t>
      </w:r>
      <w:r>
        <w:rPr>
          <w:spacing w:val="-18"/>
        </w:rPr>
        <w:t> </w:t>
      </w:r>
      <w:r>
        <w:rPr/>
        <w:t>thick.</w:t>
      </w:r>
    </w:p>
    <w:p>
      <w:pPr>
        <w:pStyle w:val="BodyText"/>
        <w:spacing w:line="240" w:lineRule="exact"/>
        <w:ind w:left="723" w:right="312" w:firstLine="550"/>
        <w:jc w:val="both"/>
      </w:pPr>
      <w:r>
        <w:rPr/>
        <w:t>A preliminary risk assessment of CO</w:t>
      </w:r>
      <w:r>
        <w:rPr>
          <w:position w:val="-6"/>
          <w:sz w:val="11"/>
        </w:rPr>
        <w:t>2 </w:t>
      </w:r>
      <w:r>
        <w:rPr/>
        <w:t>storage integrity has been carried out and baseline data acquired. Processes that could</w:t>
      </w:r>
      <w:r>
        <w:rPr>
          <w:spacing w:val="-16"/>
        </w:rPr>
        <w:t> </w:t>
      </w:r>
      <w:r>
        <w:rPr/>
        <w:t>result</w:t>
      </w:r>
      <w:r>
        <w:rPr>
          <w:spacing w:val="-15"/>
        </w:rPr>
        <w:t> </w:t>
      </w:r>
      <w:r>
        <w:rPr/>
        <w:t>in</w:t>
      </w:r>
      <w:r>
        <w:rPr>
          <w:spacing w:val="-16"/>
        </w:rPr>
        <w:t> </w:t>
      </w:r>
      <w:r>
        <w:rPr/>
        <w:t>CO</w:t>
      </w:r>
      <w:r>
        <w:rPr>
          <w:position w:val="-6"/>
          <w:sz w:val="11"/>
        </w:rPr>
        <w:t>2</w:t>
      </w:r>
      <w:r>
        <w:rPr>
          <w:spacing w:val="8"/>
          <w:position w:val="-6"/>
          <w:sz w:val="11"/>
        </w:rPr>
        <w:t> </w:t>
      </w:r>
      <w:r>
        <w:rPr/>
        <w:t>migration</w:t>
      </w:r>
      <w:r>
        <w:rPr>
          <w:spacing w:val="-16"/>
        </w:rPr>
        <w:t> </w:t>
      </w:r>
      <w:r>
        <w:rPr/>
        <w:t>from</w:t>
      </w:r>
      <w:r>
        <w:rPr>
          <w:spacing w:val="-15"/>
        </w:rPr>
        <w:t> </w:t>
      </w:r>
      <w:r>
        <w:rPr/>
        <w:t>the</w:t>
      </w:r>
      <w:r>
        <w:rPr>
          <w:spacing w:val="-16"/>
        </w:rPr>
        <w:t> </w:t>
      </w:r>
      <w:r>
        <w:rPr/>
        <w:t>injection</w:t>
      </w:r>
      <w:r>
        <w:rPr>
          <w:spacing w:val="-15"/>
        </w:rPr>
        <w:t> </w:t>
      </w:r>
      <w:r>
        <w:rPr/>
        <w:t>interval</w:t>
      </w:r>
      <w:r>
        <w:rPr>
          <w:spacing w:val="-16"/>
        </w:rPr>
        <w:t> </w:t>
      </w:r>
      <w:r>
        <w:rPr/>
        <w:t>have</w:t>
      </w:r>
      <w:r>
        <w:rPr>
          <w:spacing w:val="-15"/>
        </w:rPr>
        <w:t> </w:t>
      </w:r>
      <w:r>
        <w:rPr/>
        <w:t>been</w:t>
      </w:r>
      <w:r>
        <w:rPr>
          <w:spacing w:val="-16"/>
        </w:rPr>
        <w:t> </w:t>
      </w:r>
      <w:r>
        <w:rPr/>
        <w:t>quantified</w:t>
      </w:r>
      <w:r>
        <w:rPr>
          <w:spacing w:val="-15"/>
        </w:rPr>
        <w:t> </w:t>
      </w:r>
      <w:r>
        <w:rPr/>
        <w:t>and</w:t>
      </w:r>
      <w:r>
        <w:rPr>
          <w:spacing w:val="-16"/>
        </w:rPr>
        <w:t> </w:t>
      </w:r>
      <w:r>
        <w:rPr/>
        <w:t>a</w:t>
      </w:r>
      <w:r>
        <w:rPr>
          <w:spacing w:val="-15"/>
        </w:rPr>
        <w:t> </w:t>
      </w:r>
      <w:r>
        <w:rPr/>
        <w:t>monitoring</w:t>
      </w:r>
      <w:r>
        <w:rPr>
          <w:spacing w:val="-15"/>
        </w:rPr>
        <w:t> </w:t>
      </w:r>
      <w:r>
        <w:rPr/>
        <w:t>programme</w:t>
      </w:r>
      <w:r>
        <w:rPr>
          <w:spacing w:val="-16"/>
        </w:rPr>
        <w:t> </w:t>
      </w:r>
      <w:r>
        <w:rPr/>
        <w:t>is</w:t>
      </w:r>
      <w:r>
        <w:rPr>
          <w:spacing w:val="-15"/>
        </w:rPr>
        <w:t> </w:t>
      </w:r>
      <w:r>
        <w:rPr/>
        <w:t>planned</w:t>
      </w:r>
      <w:r>
        <w:rPr>
          <w:spacing w:val="-16"/>
        </w:rPr>
        <w:t> </w:t>
      </w:r>
      <w:r>
        <w:rPr/>
        <w:t>involving a range of technologies, including noble gas tracers, pressure surveys, tomography, gravity baseline studies, microbiological studies, four-dimensional seismic and geomechanical</w:t>
      </w:r>
      <w:r>
        <w:rPr>
          <w:spacing w:val="-3"/>
        </w:rPr>
        <w:t> </w:t>
      </w:r>
      <w:r>
        <w:rPr/>
        <w:t>monitoring.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spacing w:line="211" w:lineRule="auto" w:before="82"/>
        <w:ind w:left="707" w:right="156" w:firstLine="0"/>
        <w:jc w:val="left"/>
        <w:rPr>
          <w:sz w:val="18"/>
        </w:rPr>
      </w:pPr>
      <w:r>
        <w:rPr>
          <w:b/>
          <w:sz w:val="18"/>
        </w:rPr>
        <w:t>Figure 5.5 </w:t>
      </w:r>
      <w:r>
        <w:rPr>
          <w:sz w:val="18"/>
        </w:rPr>
        <w:t>Schematic of the In Salah Gas Project, Algeria. One MtCO</w:t>
      </w:r>
      <w:r>
        <w:rPr>
          <w:position w:val="-5"/>
          <w:sz w:val="10"/>
        </w:rPr>
        <w:t>2 </w:t>
      </w:r>
      <w:r>
        <w:rPr>
          <w:sz w:val="18"/>
        </w:rPr>
        <w:t>will be stored annually in the gas reservoir. Long-reach horizontal wells with slotted intervals of up to 1.5 km are used to inject CO</w:t>
      </w:r>
      <w:r>
        <w:rPr>
          <w:position w:val="-5"/>
          <w:sz w:val="10"/>
        </w:rPr>
        <w:t>2 </w:t>
      </w:r>
      <w:r>
        <w:rPr>
          <w:sz w:val="18"/>
        </w:rPr>
        <w:t>into the water-filled parts of the gas reservoir.</w:t>
      </w:r>
    </w:p>
    <w:p>
      <w:pPr>
        <w:pStyle w:val="BodyText"/>
      </w:pPr>
    </w:p>
    <w:p>
      <w:pPr>
        <w:pStyle w:val="BodyText"/>
        <w:spacing w:before="7"/>
        <w:rPr>
          <w:sz w:val="16"/>
        </w:rPr>
      </w:pPr>
    </w:p>
    <w:p>
      <w:pPr>
        <w:spacing w:after="0"/>
        <w:rPr>
          <w:sz w:val="16"/>
        </w:rPr>
        <w:sectPr>
          <w:type w:val="continuous"/>
          <w:pgSz w:w="12240" w:h="15840"/>
          <w:pgMar w:top="400" w:bottom="280" w:left="580" w:right="600"/>
        </w:sectPr>
      </w:pPr>
    </w:p>
    <w:p>
      <w:pPr>
        <w:pStyle w:val="BodyText"/>
        <w:spacing w:line="240" w:lineRule="exact" w:before="58"/>
        <w:ind w:left="553" w:firstLine="283"/>
        <w:jc w:val="both"/>
      </w:pPr>
      <w:r>
        <w:rPr/>
        <w:t>Opportunities for enhanced oil recovery (EOR) have increased interest in CO</w:t>
      </w:r>
      <w:r>
        <w:rPr>
          <w:position w:val="-6"/>
          <w:sz w:val="11"/>
        </w:rPr>
        <w:t>2 </w:t>
      </w:r>
      <w:r>
        <w:rPr/>
        <w:t>storage (Stevens </w:t>
      </w:r>
      <w:r>
        <w:rPr>
          <w:i/>
        </w:rPr>
        <w:t>et al.</w:t>
      </w:r>
      <w:r>
        <w:rPr/>
        <w:t>, 2001b; Moberg </w:t>
      </w:r>
      <w:r>
        <w:rPr>
          <w:i/>
        </w:rPr>
        <w:t>et al.</w:t>
      </w:r>
      <w:r>
        <w:rPr/>
        <w:t>, 2003; Moritis, 2003; Riddiford </w:t>
      </w:r>
      <w:r>
        <w:rPr>
          <w:i/>
        </w:rPr>
        <w:t>et al.</w:t>
      </w:r>
      <w:r>
        <w:rPr/>
        <w:t>, 2003; </w:t>
      </w:r>
      <w:r>
        <w:rPr>
          <w:spacing w:val="-4"/>
        </w:rPr>
        <w:t>Torp </w:t>
      </w:r>
      <w:r>
        <w:rPr/>
        <w:t>and Gale, 2003). Although not designed for CO</w:t>
      </w:r>
      <w:r>
        <w:rPr>
          <w:position w:val="-6"/>
          <w:sz w:val="11"/>
        </w:rPr>
        <w:t>2 </w:t>
      </w:r>
      <w:r>
        <w:rPr/>
        <w:t>storage, CO</w:t>
      </w:r>
      <w:r>
        <w:rPr>
          <w:position w:val="-6"/>
          <w:sz w:val="11"/>
        </w:rPr>
        <w:t>2</w:t>
      </w:r>
      <w:r>
        <w:rPr/>
        <w:t>-EOR projects can demonstrate associated storage of CO</w:t>
      </w:r>
      <w:r>
        <w:rPr>
          <w:position w:val="-6"/>
          <w:sz w:val="11"/>
        </w:rPr>
        <w:t>2</w:t>
      </w:r>
      <w:r>
        <w:rPr/>
        <w:t>, although lack of comprehensive monitoring of EOR projects (other</w:t>
      </w:r>
      <w:r>
        <w:rPr>
          <w:spacing w:val="-9"/>
        </w:rPr>
        <w:t> </w:t>
      </w:r>
      <w:r>
        <w:rPr/>
        <w:t>than</w:t>
      </w:r>
      <w:r>
        <w:rPr>
          <w:spacing w:val="-8"/>
        </w:rPr>
        <w:t> </w:t>
      </w:r>
      <w:r>
        <w:rPr/>
        <w:t>at</w:t>
      </w:r>
      <w:r>
        <w:rPr>
          <w:spacing w:val="-9"/>
        </w:rPr>
        <w:t> </w:t>
      </w:r>
      <w:r>
        <w:rPr/>
        <w:t>the</w:t>
      </w:r>
      <w:r>
        <w:rPr>
          <w:spacing w:val="-9"/>
        </w:rPr>
        <w:t> </w:t>
      </w:r>
      <w:r>
        <w:rPr/>
        <w:t>International</w:t>
      </w:r>
      <w:r>
        <w:rPr>
          <w:spacing w:val="-8"/>
        </w:rPr>
        <w:t> </w:t>
      </w:r>
      <w:r>
        <w:rPr/>
        <w:t>Energy</w:t>
      </w:r>
      <w:r>
        <w:rPr>
          <w:spacing w:val="-18"/>
        </w:rPr>
        <w:t> </w:t>
      </w:r>
      <w:r>
        <w:rPr/>
        <w:t>Agency</w:t>
      </w:r>
      <w:r>
        <w:rPr>
          <w:spacing w:val="-8"/>
        </w:rPr>
        <w:t> </w:t>
      </w:r>
      <w:r>
        <w:rPr/>
        <w:t>Greenhouse</w:t>
      </w:r>
      <w:r>
        <w:rPr>
          <w:spacing w:val="-9"/>
        </w:rPr>
        <w:t> </w:t>
      </w:r>
      <w:r>
        <w:rPr/>
        <w:t>Gas (IEA-GHG) </w:t>
      </w:r>
      <w:r>
        <w:rPr>
          <w:spacing w:val="-3"/>
        </w:rPr>
        <w:t>Weyburn </w:t>
      </w:r>
      <w:r>
        <w:rPr/>
        <w:t>Project in Canada) makes it difficult to quantify</w:t>
      </w:r>
      <w:r>
        <w:rPr>
          <w:spacing w:val="11"/>
        </w:rPr>
        <w:t> </w:t>
      </w:r>
      <w:r>
        <w:rPr/>
        <w:t>storage.</w:t>
      </w:r>
      <w:r>
        <w:rPr>
          <w:spacing w:val="11"/>
        </w:rPr>
        <w:t> </w:t>
      </w:r>
      <w:r>
        <w:rPr/>
        <w:t>In</w:t>
      </w:r>
      <w:r>
        <w:rPr>
          <w:spacing w:val="12"/>
        </w:rPr>
        <w:t> </w:t>
      </w:r>
      <w:r>
        <w:rPr/>
        <w:t>the</w:t>
      </w:r>
      <w:r>
        <w:rPr>
          <w:spacing w:val="11"/>
        </w:rPr>
        <w:t> </w:t>
      </w:r>
      <w:r>
        <w:rPr/>
        <w:t>United</w:t>
      </w:r>
      <w:r>
        <w:rPr>
          <w:spacing w:val="11"/>
        </w:rPr>
        <w:t> </w:t>
      </w:r>
      <w:r>
        <w:rPr/>
        <w:t>States,</w:t>
      </w:r>
      <w:r>
        <w:rPr>
          <w:spacing w:val="12"/>
        </w:rPr>
        <w:t> </w:t>
      </w:r>
      <w:r>
        <w:rPr/>
        <w:t>approximately</w:t>
      </w:r>
      <w:r>
        <w:rPr>
          <w:spacing w:val="11"/>
        </w:rPr>
        <w:t> </w:t>
      </w:r>
      <w:r>
        <w:rPr/>
        <w:t>73</w:t>
      </w:r>
      <w:r>
        <w:rPr>
          <w:spacing w:val="11"/>
        </w:rPr>
        <w:t> </w:t>
      </w:r>
      <w:r>
        <w:rPr/>
        <w:t>CO</w:t>
      </w:r>
      <w:r>
        <w:rPr>
          <w:position w:val="-6"/>
          <w:sz w:val="11"/>
        </w:rPr>
        <w:t>2</w:t>
      </w:r>
      <w:r>
        <w:rPr/>
        <w:t>-</w:t>
      </w:r>
    </w:p>
    <w:p>
      <w:pPr>
        <w:pStyle w:val="BodyText"/>
        <w:spacing w:line="240" w:lineRule="exact" w:before="58"/>
        <w:ind w:left="241" w:right="134"/>
        <w:jc w:val="both"/>
      </w:pPr>
      <w:r>
        <w:rPr/>
        <w:br w:type="column"/>
      </w:r>
      <w:r>
        <w:rPr/>
        <w:t>MtCO</w:t>
      </w:r>
      <w:r>
        <w:rPr>
          <w:position w:val="-6"/>
          <w:sz w:val="11"/>
        </w:rPr>
        <w:t>2 </w:t>
      </w:r>
      <w:r>
        <w:rPr/>
        <w:t>is from anthropogenic sources, such as gas processing and fertiliser plants (Stevens </w:t>
      </w:r>
      <w:r>
        <w:rPr>
          <w:i/>
        </w:rPr>
        <w:t>et al.</w:t>
      </w:r>
      <w:r>
        <w:rPr/>
        <w:t>, 2001b). The SACROC project in </w:t>
      </w:r>
      <w:r>
        <w:rPr>
          <w:spacing w:val="-3"/>
        </w:rPr>
        <w:t>Texas </w:t>
      </w:r>
      <w:r>
        <w:rPr/>
        <w:t>was the first large-scale commercial CO</w:t>
      </w:r>
      <w:r>
        <w:rPr>
          <w:position w:val="-6"/>
          <w:sz w:val="11"/>
        </w:rPr>
        <w:t>2</w:t>
      </w:r>
      <w:r>
        <w:rPr/>
        <w:t>- EOR project in the world. It used anthropogenic CO</w:t>
      </w:r>
      <w:r>
        <w:rPr>
          <w:position w:val="-6"/>
          <w:sz w:val="11"/>
        </w:rPr>
        <w:t>2 </w:t>
      </w:r>
      <w:r>
        <w:rPr/>
        <w:t>during the period 1972 to 1995. The Rangely </w:t>
      </w:r>
      <w:r>
        <w:rPr>
          <w:spacing w:val="-4"/>
        </w:rPr>
        <w:t>Weber </w:t>
      </w:r>
      <w:r>
        <w:rPr/>
        <w:t>project  </w:t>
      </w:r>
      <w:hyperlink w:history="true" w:anchor="_bookmark25">
        <w:r>
          <w:rPr>
            <w:spacing w:val="-4"/>
          </w:rPr>
          <w:t>(Box</w:t>
        </w:r>
      </w:hyperlink>
      <w:r>
        <w:rPr>
          <w:spacing w:val="-4"/>
        </w:rPr>
        <w:t> </w:t>
      </w:r>
      <w:hyperlink w:history="true" w:anchor="_bookmark25">
        <w:r>
          <w:rPr/>
          <w:t>5.6) </w:t>
        </w:r>
      </w:hyperlink>
      <w:r>
        <w:rPr/>
        <w:t>injects anthropogenic CO</w:t>
      </w:r>
      <w:r>
        <w:rPr>
          <w:position w:val="-6"/>
          <w:sz w:val="11"/>
        </w:rPr>
        <w:t>2 </w:t>
      </w:r>
      <w:r>
        <w:rPr/>
        <w:t>from a gas-processing plant in Wyoming.</w:t>
      </w:r>
    </w:p>
    <w:p>
      <w:pPr>
        <w:pStyle w:val="BodyText"/>
        <w:spacing w:line="206" w:lineRule="auto" w:before="24"/>
        <w:ind w:left="241" w:right="134" w:firstLine="283"/>
        <w:jc w:val="both"/>
      </w:pPr>
      <w:r>
        <w:rPr/>
        <w:t>In Canada, a CO</w:t>
      </w:r>
      <w:r>
        <w:rPr>
          <w:position w:val="-6"/>
          <w:sz w:val="11"/>
        </w:rPr>
        <w:t>2</w:t>
      </w:r>
      <w:r>
        <w:rPr/>
        <w:t>-EOR project has been established by EnCana at the Weyburn Oil Field in southern Saskatchewan</w:t>
      </w:r>
    </w:p>
    <w:p>
      <w:pPr>
        <w:spacing w:after="0" w:line="206" w:lineRule="auto"/>
        <w:jc w:val="both"/>
        <w:sectPr>
          <w:type w:val="continuous"/>
          <w:pgSz w:w="12240" w:h="15840"/>
          <w:pgMar w:top="400" w:bottom="280" w:left="580" w:right="600"/>
          <w:cols w:num="2" w:equalWidth="0">
            <w:col w:w="5599" w:space="40"/>
            <w:col w:w="5421"/>
          </w:cols>
        </w:sectPr>
      </w:pPr>
    </w:p>
    <w:p>
      <w:pPr>
        <w:pStyle w:val="BodyText"/>
        <w:spacing w:before="5"/>
        <w:ind w:left="553"/>
      </w:pPr>
      <w:r>
        <w:rPr/>
        <w:pict>
          <v:shape style="position:absolute;margin-left:204.135406pt;margin-top:8.543438pt;width:2.95pt;height:5.85pt;mso-position-horizontal-relative:page;mso-position-vertical-relative:paragraph;z-index:-25889177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EOR</w:t>
      </w:r>
      <w:r>
        <w:rPr>
          <w:spacing w:val="-17"/>
        </w:rPr>
        <w:t> </w:t>
      </w:r>
      <w:r>
        <w:rPr/>
        <w:t>operations</w:t>
      </w:r>
      <w:r>
        <w:rPr>
          <w:spacing w:val="-16"/>
        </w:rPr>
        <w:t> </w:t>
      </w:r>
      <w:r>
        <w:rPr/>
        <w:t>inject</w:t>
      </w:r>
      <w:r>
        <w:rPr>
          <w:spacing w:val="-17"/>
        </w:rPr>
        <w:t> </w:t>
      </w:r>
      <w:r>
        <w:rPr/>
        <w:t>up</w:t>
      </w:r>
      <w:r>
        <w:rPr>
          <w:spacing w:val="-16"/>
        </w:rPr>
        <w:t> </w:t>
      </w:r>
      <w:r>
        <w:rPr/>
        <w:t>to</w:t>
      </w:r>
      <w:r>
        <w:rPr>
          <w:spacing w:val="-17"/>
        </w:rPr>
        <w:t> </w:t>
      </w:r>
      <w:r>
        <w:rPr/>
        <w:t>30</w:t>
      </w:r>
      <w:r>
        <w:rPr>
          <w:spacing w:val="-16"/>
        </w:rPr>
        <w:t> </w:t>
      </w:r>
      <w:r>
        <w:rPr/>
        <w:t>MtCO</w:t>
      </w:r>
      <w:r>
        <w:rPr>
          <w:spacing w:val="40"/>
        </w:rPr>
        <w:t> </w:t>
      </w:r>
      <w:r>
        <w:rPr/>
        <w:t>yr</w:t>
      </w:r>
      <w:r>
        <w:rPr>
          <w:position w:val="7"/>
          <w:sz w:val="11"/>
        </w:rPr>
        <w:t>-1</w:t>
      </w:r>
      <w:r>
        <w:rPr/>
        <w:t>,</w:t>
      </w:r>
      <w:r>
        <w:rPr>
          <w:spacing w:val="-17"/>
        </w:rPr>
        <w:t> </w:t>
      </w:r>
      <w:r>
        <w:rPr/>
        <w:t>most</w:t>
      </w:r>
      <w:r>
        <w:rPr>
          <w:spacing w:val="-16"/>
        </w:rPr>
        <w:t> </w:t>
      </w:r>
      <w:r>
        <w:rPr/>
        <w:t>of</w:t>
      </w:r>
      <w:r>
        <w:rPr>
          <w:spacing w:val="-16"/>
        </w:rPr>
        <w:t> </w:t>
      </w:r>
      <w:r>
        <w:rPr/>
        <w:t>which</w:t>
      </w:r>
      <w:r>
        <w:rPr>
          <w:spacing w:val="-18"/>
        </w:rPr>
        <w:t> </w:t>
      </w:r>
      <w:r>
        <w:rPr/>
        <w:t>comes</w:t>
      </w:r>
    </w:p>
    <w:p>
      <w:pPr>
        <w:pStyle w:val="BodyText"/>
        <w:spacing w:line="277" w:lineRule="exact" w:before="5"/>
        <w:ind w:left="243"/>
        <w:rPr>
          <w:sz w:val="11"/>
        </w:rPr>
      </w:pPr>
      <w:r>
        <w:rPr/>
        <w:br w:type="column"/>
      </w:r>
      <w:hyperlink w:history="true" w:anchor="_bookmark9">
        <w:r>
          <w:rPr/>
          <w:t>(Box</w:t>
        </w:r>
      </w:hyperlink>
      <w:r>
        <w:rPr/>
        <w:t> 5.3). The project is expected to inject 23 MtCO</w:t>
      </w:r>
      <w:r>
        <w:rPr>
          <w:position w:val="-6"/>
          <w:sz w:val="11"/>
        </w:rPr>
        <w:t>2</w:t>
      </w:r>
    </w:p>
    <w:p>
      <w:pPr>
        <w:spacing w:before="5"/>
        <w:ind w:left="51" w:right="0" w:firstLine="0"/>
        <w:jc w:val="left"/>
        <w:rPr>
          <w:sz w:val="20"/>
        </w:rPr>
      </w:pPr>
      <w:r>
        <w:rPr/>
        <w:br w:type="column"/>
      </w:r>
      <w:r>
        <w:rPr>
          <w:sz w:val="20"/>
        </w:rPr>
        <w:t>and</w:t>
      </w:r>
    </w:p>
    <w:p>
      <w:pPr>
        <w:spacing w:after="0"/>
        <w:jc w:val="left"/>
        <w:rPr>
          <w:sz w:val="20"/>
        </w:rPr>
        <w:sectPr>
          <w:type w:val="continuous"/>
          <w:pgSz w:w="12240" w:h="15840"/>
          <w:pgMar w:top="400" w:bottom="280" w:left="580" w:right="600"/>
          <w:cols w:num="3" w:equalWidth="0">
            <w:col w:w="5597" w:space="40"/>
            <w:col w:w="4907" w:space="39"/>
            <w:col w:w="477"/>
          </w:cols>
        </w:sectPr>
      </w:pPr>
    </w:p>
    <w:p>
      <w:pPr>
        <w:pStyle w:val="BodyText"/>
        <w:spacing w:line="192" w:lineRule="auto"/>
        <w:ind w:left="553"/>
      </w:pPr>
      <w:r>
        <w:rPr/>
        <w:t>from natural CO</w:t>
      </w:r>
      <w:r>
        <w:rPr>
          <w:position w:val="-6"/>
          <w:sz w:val="11"/>
        </w:rPr>
        <w:t>2 </w:t>
      </w:r>
      <w:r>
        <w:rPr/>
        <w:t>accumulations – although approximately 3</w:t>
      </w:r>
    </w:p>
    <w:p>
      <w:pPr>
        <w:pStyle w:val="BodyText"/>
        <w:spacing w:line="194" w:lineRule="exact"/>
        <w:ind w:left="241"/>
      </w:pPr>
      <w:r>
        <w:rPr/>
        <w:br w:type="column"/>
      </w:r>
      <w:r>
        <w:rPr/>
        <w:t>extend the life of the oil field by 25 years (Moberg </w:t>
      </w:r>
      <w:r>
        <w:rPr>
          <w:i/>
        </w:rPr>
        <w:t>et al.</w:t>
      </w:r>
      <w:r>
        <w:rPr/>
        <w:t>,</w:t>
      </w:r>
    </w:p>
    <w:p>
      <w:pPr>
        <w:spacing w:after="0" w:line="194" w:lineRule="exact"/>
        <w:sectPr>
          <w:type w:val="continuous"/>
          <w:pgSz w:w="12240" w:h="15840"/>
          <w:pgMar w:top="400" w:bottom="280" w:left="580" w:right="600"/>
          <w:cols w:num="2" w:equalWidth="0">
            <w:col w:w="5599" w:space="40"/>
            <w:col w:w="5421"/>
          </w:cols>
        </w:sectPr>
      </w:pPr>
    </w:p>
    <w:p>
      <w:pPr>
        <w:pStyle w:val="BodyText"/>
      </w:pPr>
    </w:p>
    <w:p>
      <w:pPr>
        <w:pStyle w:val="BodyText"/>
        <w:spacing w:before="10"/>
        <w:rPr>
          <w:sz w:val="19"/>
        </w:rPr>
      </w:pPr>
    </w:p>
    <w:p>
      <w:pPr>
        <w:spacing w:before="1"/>
        <w:ind w:left="157" w:right="0" w:firstLine="0"/>
        <w:jc w:val="left"/>
        <w:rPr>
          <w:sz w:val="20"/>
        </w:rPr>
      </w:pPr>
      <w:r>
        <w:rPr/>
        <w:pict>
          <v:rect style="position:absolute;margin-left:36.849998pt;margin-top:16.832354pt;width:518.457pt;height:344.018pt;mso-position-horizontal-relative:page;mso-position-vertical-relative:paragraph;z-index:-258890752" filled="false" stroked="true" strokeweight=".5pt" strokecolor="#000000">
            <v:stroke dashstyle="solid"/>
            <w10:wrap type="none"/>
          </v:rect>
        </w:pict>
      </w:r>
      <w:bookmarkStart w:name="_bookmark9" w:id="17"/>
      <w:bookmarkEnd w:id="17"/>
      <w:r>
        <w:rPr/>
      </w:r>
      <w:r>
        <w:rPr>
          <w:b/>
          <w:sz w:val="20"/>
        </w:rPr>
        <w:t>Box 5.3 </w:t>
      </w:r>
      <w:r>
        <w:rPr>
          <w:sz w:val="20"/>
        </w:rPr>
        <w:t>The Weyburn CO</w:t>
      </w:r>
      <w:r>
        <w:rPr>
          <w:position w:val="-6"/>
          <w:sz w:val="11"/>
        </w:rPr>
        <w:t>2</w:t>
      </w:r>
      <w:r>
        <w:rPr>
          <w:sz w:val="20"/>
        </w:rPr>
        <w:t>-EOR Project.</w:t>
      </w:r>
    </w:p>
    <w:p>
      <w:pPr>
        <w:pStyle w:val="BodyText"/>
        <w:spacing w:line="225" w:lineRule="auto" w:before="151"/>
        <w:ind w:left="332" w:right="706"/>
        <w:jc w:val="both"/>
      </w:pPr>
      <w:r>
        <w:rPr/>
        <w:t>The</w:t>
      </w:r>
      <w:r>
        <w:rPr>
          <w:spacing w:val="-13"/>
        </w:rPr>
        <w:t> </w:t>
      </w:r>
      <w:r>
        <w:rPr>
          <w:spacing w:val="-3"/>
        </w:rPr>
        <w:t>Weyburn</w:t>
      </w:r>
      <w:r>
        <w:rPr>
          <w:spacing w:val="-9"/>
        </w:rPr>
        <w:t> </w:t>
      </w:r>
      <w:r>
        <w:rPr/>
        <w:t>CO</w:t>
      </w:r>
      <w:r>
        <w:rPr>
          <w:position w:val="-6"/>
          <w:sz w:val="11"/>
        </w:rPr>
        <w:t>2</w:t>
      </w:r>
      <w:r>
        <w:rPr/>
        <w:t>-enhanced</w:t>
      </w:r>
      <w:r>
        <w:rPr>
          <w:spacing w:val="-9"/>
        </w:rPr>
        <w:t> </w:t>
      </w:r>
      <w:r>
        <w:rPr/>
        <w:t>oil</w:t>
      </w:r>
      <w:r>
        <w:rPr>
          <w:spacing w:val="-10"/>
        </w:rPr>
        <w:t> </w:t>
      </w:r>
      <w:r>
        <w:rPr/>
        <w:t>recovery</w:t>
      </w:r>
      <w:r>
        <w:rPr>
          <w:spacing w:val="-9"/>
        </w:rPr>
        <w:t> </w:t>
      </w:r>
      <w:r>
        <w:rPr/>
        <w:t>(CO</w:t>
      </w:r>
      <w:r>
        <w:rPr>
          <w:position w:val="-6"/>
          <w:sz w:val="11"/>
        </w:rPr>
        <w:t>2</w:t>
      </w:r>
      <w:r>
        <w:rPr/>
        <w:t>-EOR)</w:t>
      </w:r>
      <w:r>
        <w:rPr>
          <w:spacing w:val="-9"/>
        </w:rPr>
        <w:t> </w:t>
      </w:r>
      <w:r>
        <w:rPr/>
        <w:t>project</w:t>
      </w:r>
      <w:r>
        <w:rPr>
          <w:spacing w:val="-10"/>
        </w:rPr>
        <w:t> </w:t>
      </w:r>
      <w:r>
        <w:rPr/>
        <w:t>is</w:t>
      </w:r>
      <w:r>
        <w:rPr>
          <w:spacing w:val="-9"/>
        </w:rPr>
        <w:t> </w:t>
      </w:r>
      <w:r>
        <w:rPr/>
        <w:t>located</w:t>
      </w:r>
      <w:r>
        <w:rPr>
          <w:spacing w:val="-9"/>
        </w:rPr>
        <w:t> </w:t>
      </w:r>
      <w:r>
        <w:rPr/>
        <w:t>in</w:t>
      </w:r>
      <w:r>
        <w:rPr>
          <w:spacing w:val="-10"/>
        </w:rPr>
        <w:t> </w:t>
      </w:r>
      <w:r>
        <w:rPr/>
        <w:t>the</w:t>
      </w:r>
      <w:r>
        <w:rPr>
          <w:spacing w:val="-12"/>
        </w:rPr>
        <w:t> </w:t>
      </w:r>
      <w:r>
        <w:rPr/>
        <w:t>Williston</w:t>
      </w:r>
      <w:r>
        <w:rPr>
          <w:spacing w:val="-9"/>
        </w:rPr>
        <w:t> </w:t>
      </w:r>
      <w:r>
        <w:rPr/>
        <w:t>Basin,</w:t>
      </w:r>
      <w:r>
        <w:rPr>
          <w:spacing w:val="-10"/>
        </w:rPr>
        <w:t> </w:t>
      </w:r>
      <w:r>
        <w:rPr/>
        <w:t>a</w:t>
      </w:r>
      <w:r>
        <w:rPr>
          <w:spacing w:val="-9"/>
        </w:rPr>
        <w:t> </w:t>
      </w:r>
      <w:r>
        <w:rPr/>
        <w:t>geological</w:t>
      </w:r>
      <w:r>
        <w:rPr>
          <w:spacing w:val="-9"/>
        </w:rPr>
        <w:t> </w:t>
      </w:r>
      <w:r>
        <w:rPr/>
        <w:t>structure</w:t>
      </w:r>
      <w:r>
        <w:rPr>
          <w:spacing w:val="-10"/>
        </w:rPr>
        <w:t> </w:t>
      </w:r>
      <w:r>
        <w:rPr/>
        <w:t>extending from south-central Canada into north-central United States. The project aims to permanently store almost all of the injected CO</w:t>
      </w:r>
      <w:r>
        <w:rPr>
          <w:position w:val="-6"/>
          <w:sz w:val="11"/>
        </w:rPr>
        <w:t>2 </w:t>
      </w:r>
      <w:r>
        <w:rPr/>
        <w:t>by eliminating the CO</w:t>
      </w:r>
      <w:r>
        <w:rPr>
          <w:position w:val="-6"/>
          <w:sz w:val="11"/>
        </w:rPr>
        <w:t>2 </w:t>
      </w:r>
      <w:r>
        <w:rPr/>
        <w:t>that would normally be released during the end of the field</w:t>
      </w:r>
      <w:r>
        <w:rPr>
          <w:spacing w:val="-16"/>
        </w:rPr>
        <w:t> </w:t>
      </w:r>
      <w:r>
        <w:rPr/>
        <w:t>life.</w:t>
      </w:r>
    </w:p>
    <w:p>
      <w:pPr>
        <w:pStyle w:val="BodyText"/>
        <w:spacing w:line="187" w:lineRule="auto"/>
        <w:ind w:left="882"/>
        <w:jc w:val="both"/>
      </w:pPr>
      <w:r>
        <w:rPr/>
        <w:t>The</w:t>
      </w:r>
      <w:r>
        <w:rPr>
          <w:spacing w:val="36"/>
        </w:rPr>
        <w:t> </w:t>
      </w:r>
      <w:r>
        <w:rPr/>
        <w:t>source</w:t>
      </w:r>
      <w:r>
        <w:rPr>
          <w:spacing w:val="36"/>
        </w:rPr>
        <w:t> </w:t>
      </w:r>
      <w:r>
        <w:rPr/>
        <w:t>of</w:t>
      </w:r>
      <w:r>
        <w:rPr>
          <w:spacing w:val="37"/>
        </w:rPr>
        <w:t> </w:t>
      </w:r>
      <w:r>
        <w:rPr/>
        <w:t>the</w:t>
      </w:r>
      <w:r>
        <w:rPr>
          <w:spacing w:val="36"/>
        </w:rPr>
        <w:t> </w:t>
      </w:r>
      <w:r>
        <w:rPr/>
        <w:t>CO</w:t>
      </w:r>
      <w:r>
        <w:rPr>
          <w:position w:val="-6"/>
          <w:sz w:val="11"/>
        </w:rPr>
        <w:t>2  </w:t>
      </w:r>
      <w:r>
        <w:rPr>
          <w:spacing w:val="5"/>
          <w:position w:val="-6"/>
          <w:sz w:val="11"/>
        </w:rPr>
        <w:t> </w:t>
      </w:r>
      <w:r>
        <w:rPr/>
        <w:t>for</w:t>
      </w:r>
      <w:r>
        <w:rPr>
          <w:spacing w:val="36"/>
        </w:rPr>
        <w:t> </w:t>
      </w:r>
      <w:r>
        <w:rPr/>
        <w:t>the</w:t>
      </w:r>
      <w:r>
        <w:rPr>
          <w:spacing w:val="33"/>
        </w:rPr>
        <w:t> </w:t>
      </w:r>
      <w:r>
        <w:rPr>
          <w:spacing w:val="-3"/>
        </w:rPr>
        <w:t>Weyburn</w:t>
      </w:r>
      <w:r>
        <w:rPr>
          <w:spacing w:val="37"/>
        </w:rPr>
        <w:t> </w:t>
      </w:r>
      <w:r>
        <w:rPr/>
        <w:t>CO</w:t>
      </w:r>
      <w:r>
        <w:rPr>
          <w:position w:val="-6"/>
          <w:sz w:val="11"/>
        </w:rPr>
        <w:t>2</w:t>
      </w:r>
      <w:r>
        <w:rPr/>
        <w:t>-EOR</w:t>
      </w:r>
      <w:r>
        <w:rPr>
          <w:spacing w:val="36"/>
        </w:rPr>
        <w:t> </w:t>
      </w:r>
      <w:r>
        <w:rPr/>
        <w:t>Project</w:t>
      </w:r>
      <w:r>
        <w:rPr>
          <w:spacing w:val="37"/>
        </w:rPr>
        <w:t> </w:t>
      </w:r>
      <w:r>
        <w:rPr/>
        <w:t>is</w:t>
      </w:r>
      <w:r>
        <w:rPr>
          <w:spacing w:val="36"/>
        </w:rPr>
        <w:t> </w:t>
      </w:r>
      <w:r>
        <w:rPr/>
        <w:t>the</w:t>
      </w:r>
      <w:r>
        <w:rPr>
          <w:spacing w:val="37"/>
        </w:rPr>
        <w:t> </w:t>
      </w:r>
      <w:r>
        <w:rPr/>
        <w:t>Dakota</w:t>
      </w:r>
      <w:r>
        <w:rPr>
          <w:spacing w:val="36"/>
        </w:rPr>
        <w:t> </w:t>
      </w:r>
      <w:r>
        <w:rPr/>
        <w:t>Gasification</w:t>
      </w:r>
      <w:r>
        <w:rPr>
          <w:spacing w:val="36"/>
        </w:rPr>
        <w:t> </w:t>
      </w:r>
      <w:r>
        <w:rPr/>
        <w:t>Company</w:t>
      </w:r>
      <w:r>
        <w:rPr>
          <w:spacing w:val="37"/>
        </w:rPr>
        <w:t> </w:t>
      </w:r>
      <w:r>
        <w:rPr/>
        <w:t>facility,</w:t>
      </w:r>
      <w:r>
        <w:rPr>
          <w:spacing w:val="36"/>
        </w:rPr>
        <w:t> </w:t>
      </w:r>
      <w:r>
        <w:rPr/>
        <w:t>located</w:t>
      </w:r>
    </w:p>
    <w:p>
      <w:pPr>
        <w:pStyle w:val="BodyText"/>
        <w:spacing w:line="210" w:lineRule="exact"/>
        <w:ind w:left="332"/>
        <w:jc w:val="both"/>
      </w:pPr>
      <w:bookmarkStart w:name="5.1.3 Key questions" w:id="18"/>
      <w:bookmarkEnd w:id="18"/>
      <w:r>
        <w:rPr/>
      </w:r>
      <w:r>
        <w:rPr/>
        <w:t>approximately 325 km south of Weyburn, in Beulah, North Dakota, USA. At the plant, coal is gasified to make synthetic</w:t>
      </w:r>
      <w:r>
        <w:rPr>
          <w:spacing w:val="-8"/>
        </w:rPr>
        <w:t> </w:t>
      </w:r>
      <w:r>
        <w:rPr/>
        <w:t>gas</w:t>
      </w:r>
    </w:p>
    <w:p>
      <w:pPr>
        <w:pStyle w:val="BodyText"/>
        <w:spacing w:line="240" w:lineRule="exact"/>
        <w:ind w:left="332" w:right="706"/>
        <w:jc w:val="both"/>
      </w:pPr>
      <w:r>
        <w:rPr/>
        <w:t>(methane), with a relatively pure stream of CO</w:t>
      </w:r>
      <w:r>
        <w:rPr>
          <w:position w:val="-6"/>
          <w:sz w:val="11"/>
        </w:rPr>
        <w:t>2 </w:t>
      </w:r>
      <w:r>
        <w:rPr/>
        <w:t>as a by-product. This CO</w:t>
      </w:r>
      <w:r>
        <w:rPr>
          <w:position w:val="-6"/>
          <w:sz w:val="11"/>
        </w:rPr>
        <w:t>2 </w:t>
      </w:r>
      <w:r>
        <w:rPr/>
        <w:t>stream is dehydrated, compressed and piped to </w:t>
      </w:r>
      <w:r>
        <w:rPr>
          <w:spacing w:val="-3"/>
        </w:rPr>
        <w:t>Weyburn </w:t>
      </w:r>
      <w:r>
        <w:rPr/>
        <w:t>in southeastern Saskatchewan, Canada, for use in the field. The </w:t>
      </w:r>
      <w:r>
        <w:rPr>
          <w:spacing w:val="-3"/>
        </w:rPr>
        <w:t>Weyburn </w:t>
      </w:r>
      <w:r>
        <w:rPr/>
        <w:t>CO</w:t>
      </w:r>
      <w:r>
        <w:rPr>
          <w:position w:val="-6"/>
          <w:sz w:val="11"/>
        </w:rPr>
        <w:t>2</w:t>
      </w:r>
      <w:r>
        <w:rPr/>
        <w:t>-EOR Project is designed to take CO</w:t>
      </w:r>
      <w:r>
        <w:rPr>
          <w:position w:val="-6"/>
          <w:sz w:val="11"/>
        </w:rPr>
        <w:t>2 </w:t>
      </w:r>
      <w:r>
        <w:rPr/>
        <w:t>from the pipeline for about 15 years, with delivered volumes dropping from 5000 to about 3000 t day</w:t>
      </w:r>
      <w:r>
        <w:rPr>
          <w:position w:val="7"/>
          <w:sz w:val="11"/>
        </w:rPr>
        <w:t>–1 </w:t>
      </w:r>
      <w:r>
        <w:rPr/>
        <w:t>over the life of </w:t>
      </w:r>
      <w:r>
        <w:rPr>
          <w:spacing w:val="-4"/>
        </w:rPr>
        <w:t>the </w:t>
      </w:r>
      <w:r>
        <w:rPr/>
        <w:t>project.</w:t>
      </w:r>
    </w:p>
    <w:p>
      <w:pPr>
        <w:pStyle w:val="BodyText"/>
        <w:spacing w:line="240" w:lineRule="exact"/>
        <w:ind w:left="332" w:right="704" w:firstLine="550"/>
        <w:jc w:val="both"/>
      </w:pPr>
      <w:r>
        <w:rPr/>
        <w:t>The </w:t>
      </w:r>
      <w:r>
        <w:rPr>
          <w:spacing w:val="-3"/>
        </w:rPr>
        <w:t>Weyburn </w:t>
      </w:r>
      <w:r>
        <w:rPr/>
        <w:t>field covers an area of 180 km</w:t>
      </w:r>
      <w:r>
        <w:rPr>
          <w:position w:val="7"/>
          <w:sz w:val="11"/>
        </w:rPr>
        <w:t>2</w:t>
      </w:r>
      <w:r>
        <w:rPr/>
        <w:t>, with original oil in place on the order of 222 million m</w:t>
      </w:r>
      <w:r>
        <w:rPr>
          <w:position w:val="7"/>
          <w:sz w:val="11"/>
        </w:rPr>
        <w:t>3 </w:t>
      </w:r>
      <w:r>
        <w:rPr/>
        <w:t>(1396 million barrels). Over the life of the CO</w:t>
      </w:r>
      <w:r>
        <w:rPr>
          <w:position w:val="-6"/>
          <w:sz w:val="11"/>
        </w:rPr>
        <w:t>2</w:t>
      </w:r>
      <w:r>
        <w:rPr/>
        <w:t>-EOR project (20–25 years), it is expected that some 20 MtCO</w:t>
      </w:r>
      <w:r>
        <w:rPr>
          <w:position w:val="-6"/>
          <w:sz w:val="11"/>
        </w:rPr>
        <w:t>2 </w:t>
      </w:r>
      <w:r>
        <w:rPr/>
        <w:t>will be stored in the field, under current economic conditions and oil recovery technology. The oil field layout and operation is relatively conventional for</w:t>
      </w:r>
      <w:r>
        <w:rPr>
          <w:spacing w:val="-4"/>
        </w:rPr>
        <w:t> </w:t>
      </w:r>
      <w:r>
        <w:rPr/>
        <w:t>oil</w:t>
      </w:r>
      <w:r>
        <w:rPr>
          <w:spacing w:val="-3"/>
        </w:rPr>
        <w:t> </w:t>
      </w:r>
      <w:r>
        <w:rPr/>
        <w:t>field</w:t>
      </w:r>
      <w:r>
        <w:rPr>
          <w:spacing w:val="-3"/>
        </w:rPr>
        <w:t> </w:t>
      </w:r>
      <w:r>
        <w:rPr/>
        <w:t>operations.</w:t>
      </w:r>
      <w:r>
        <w:rPr>
          <w:spacing w:val="-6"/>
        </w:rPr>
        <w:t> </w:t>
      </w:r>
      <w:r>
        <w:rPr/>
        <w:t>The</w:t>
      </w:r>
      <w:r>
        <w:rPr>
          <w:spacing w:val="-4"/>
        </w:rPr>
        <w:t> </w:t>
      </w:r>
      <w:r>
        <w:rPr/>
        <w:t>field</w:t>
      </w:r>
      <w:r>
        <w:rPr>
          <w:spacing w:val="-3"/>
        </w:rPr>
        <w:t> </w:t>
      </w:r>
      <w:r>
        <w:rPr/>
        <w:t>has</w:t>
      </w:r>
      <w:r>
        <w:rPr>
          <w:spacing w:val="-3"/>
        </w:rPr>
        <w:t> </w:t>
      </w:r>
      <w:r>
        <w:rPr/>
        <w:t>been</w:t>
      </w:r>
      <w:r>
        <w:rPr>
          <w:spacing w:val="-3"/>
        </w:rPr>
        <w:t> </w:t>
      </w:r>
      <w:r>
        <w:rPr/>
        <w:t>designed</w:t>
      </w:r>
      <w:r>
        <w:rPr>
          <w:spacing w:val="-3"/>
        </w:rPr>
        <w:t> </w:t>
      </w:r>
      <w:r>
        <w:rPr/>
        <w:t>with</w:t>
      </w:r>
      <w:r>
        <w:rPr>
          <w:spacing w:val="-3"/>
        </w:rPr>
        <w:t> </w:t>
      </w:r>
      <w:r>
        <w:rPr/>
        <w:t>a</w:t>
      </w:r>
      <w:r>
        <w:rPr>
          <w:spacing w:val="-3"/>
        </w:rPr>
        <w:t> </w:t>
      </w:r>
      <w:r>
        <w:rPr/>
        <w:t>combination</w:t>
      </w:r>
      <w:r>
        <w:rPr>
          <w:spacing w:val="-3"/>
        </w:rPr>
        <w:t> </w:t>
      </w:r>
      <w:r>
        <w:rPr/>
        <w:t>of</w:t>
      </w:r>
      <w:r>
        <w:rPr>
          <w:spacing w:val="-3"/>
        </w:rPr>
        <w:t> </w:t>
      </w:r>
      <w:r>
        <w:rPr/>
        <w:t>vertical</w:t>
      </w:r>
      <w:r>
        <w:rPr>
          <w:spacing w:val="-3"/>
        </w:rPr>
        <w:t> </w:t>
      </w:r>
      <w:r>
        <w:rPr/>
        <w:t>and</w:t>
      </w:r>
      <w:r>
        <w:rPr>
          <w:spacing w:val="-3"/>
        </w:rPr>
        <w:t> </w:t>
      </w:r>
      <w:r>
        <w:rPr/>
        <w:t>horizontal</w:t>
      </w:r>
      <w:r>
        <w:rPr>
          <w:spacing w:val="-3"/>
        </w:rPr>
        <w:t> </w:t>
      </w:r>
      <w:r>
        <w:rPr/>
        <w:t>wells</w:t>
      </w:r>
      <w:r>
        <w:rPr>
          <w:spacing w:val="-3"/>
        </w:rPr>
        <w:t> </w:t>
      </w:r>
      <w:r>
        <w:rPr/>
        <w:t>to</w:t>
      </w:r>
      <w:r>
        <w:rPr>
          <w:spacing w:val="-3"/>
        </w:rPr>
        <w:t> </w:t>
      </w:r>
      <w:r>
        <w:rPr/>
        <w:t>optimize</w:t>
      </w:r>
      <w:r>
        <w:rPr>
          <w:spacing w:val="-3"/>
        </w:rPr>
        <w:t> </w:t>
      </w:r>
      <w:r>
        <w:rPr/>
        <w:t>the</w:t>
      </w:r>
      <w:r>
        <w:rPr>
          <w:spacing w:val="-3"/>
        </w:rPr>
        <w:t> </w:t>
      </w:r>
      <w:r>
        <w:rPr/>
        <w:t>sweep efficiency of the CO</w:t>
      </w:r>
      <w:r>
        <w:rPr>
          <w:position w:val="-6"/>
          <w:sz w:val="11"/>
        </w:rPr>
        <w:t>2</w:t>
      </w:r>
      <w:r>
        <w:rPr/>
        <w:t>. In all cases, production and injection strings are used within the wells to protect the integrity of the casing of the</w:t>
      </w:r>
      <w:r>
        <w:rPr>
          <w:spacing w:val="-1"/>
        </w:rPr>
        <w:t> </w:t>
      </w:r>
      <w:r>
        <w:rPr/>
        <w:t>well.</w:t>
      </w:r>
    </w:p>
    <w:p>
      <w:pPr>
        <w:pStyle w:val="BodyText"/>
        <w:spacing w:line="240" w:lineRule="exact"/>
        <w:ind w:left="332" w:right="704" w:firstLine="550"/>
        <w:jc w:val="both"/>
      </w:pPr>
      <w:r>
        <w:rPr/>
        <w:t>The</w:t>
      </w:r>
      <w:r>
        <w:rPr>
          <w:spacing w:val="-3"/>
        </w:rPr>
        <w:t> </w:t>
      </w:r>
      <w:r>
        <w:rPr/>
        <w:t>oil</w:t>
      </w:r>
      <w:r>
        <w:rPr>
          <w:spacing w:val="-3"/>
        </w:rPr>
        <w:t> </w:t>
      </w:r>
      <w:r>
        <w:rPr/>
        <w:t>reservoir</w:t>
      </w:r>
      <w:r>
        <w:rPr>
          <w:spacing w:val="-2"/>
        </w:rPr>
        <w:t> </w:t>
      </w:r>
      <w:r>
        <w:rPr/>
        <w:t>is</w:t>
      </w:r>
      <w:r>
        <w:rPr>
          <w:spacing w:val="-2"/>
        </w:rPr>
        <w:t> </w:t>
      </w:r>
      <w:r>
        <w:rPr/>
        <w:t>a</w:t>
      </w:r>
      <w:r>
        <w:rPr>
          <w:spacing w:val="-2"/>
        </w:rPr>
        <w:t> </w:t>
      </w:r>
      <w:r>
        <w:rPr/>
        <w:t>fractured</w:t>
      </w:r>
      <w:r>
        <w:rPr>
          <w:spacing w:val="-3"/>
        </w:rPr>
        <w:t> </w:t>
      </w:r>
      <w:r>
        <w:rPr/>
        <w:t>carbonate,</w:t>
      </w:r>
      <w:r>
        <w:rPr>
          <w:spacing w:val="-4"/>
        </w:rPr>
        <w:t> </w:t>
      </w:r>
      <w:r>
        <w:rPr/>
        <w:t>20–27</w:t>
      </w:r>
      <w:r>
        <w:rPr>
          <w:spacing w:val="-2"/>
        </w:rPr>
        <w:t> </w:t>
      </w:r>
      <w:r>
        <w:rPr/>
        <w:t>m</w:t>
      </w:r>
      <w:r>
        <w:rPr>
          <w:spacing w:val="-2"/>
        </w:rPr>
        <w:t> </w:t>
      </w:r>
      <w:r>
        <w:rPr/>
        <w:t>thick.</w:t>
      </w:r>
      <w:r>
        <w:rPr>
          <w:spacing w:val="-6"/>
        </w:rPr>
        <w:t> </w:t>
      </w:r>
      <w:r>
        <w:rPr/>
        <w:t>The</w:t>
      </w:r>
      <w:r>
        <w:rPr>
          <w:spacing w:val="-2"/>
        </w:rPr>
        <w:t> </w:t>
      </w:r>
      <w:r>
        <w:rPr/>
        <w:t>primary</w:t>
      </w:r>
      <w:r>
        <w:rPr>
          <w:spacing w:val="-3"/>
        </w:rPr>
        <w:t> </w:t>
      </w:r>
      <w:r>
        <w:rPr/>
        <w:t>upper</w:t>
      </w:r>
      <w:r>
        <w:rPr>
          <w:spacing w:val="-2"/>
        </w:rPr>
        <w:t> </w:t>
      </w:r>
      <w:r>
        <w:rPr/>
        <w:t>seal</w:t>
      </w:r>
      <w:r>
        <w:rPr>
          <w:spacing w:val="-4"/>
        </w:rPr>
        <w:t> </w:t>
      </w:r>
      <w:r>
        <w:rPr/>
        <w:t>for</w:t>
      </w:r>
      <w:r>
        <w:rPr>
          <w:spacing w:val="-2"/>
        </w:rPr>
        <w:t> </w:t>
      </w:r>
      <w:r>
        <w:rPr/>
        <w:t>the</w:t>
      </w:r>
      <w:r>
        <w:rPr>
          <w:spacing w:val="-2"/>
        </w:rPr>
        <w:t> </w:t>
      </w:r>
      <w:r>
        <w:rPr/>
        <w:t>reservoir</w:t>
      </w:r>
      <w:r>
        <w:rPr>
          <w:spacing w:val="-2"/>
        </w:rPr>
        <w:t> </w:t>
      </w:r>
      <w:r>
        <w:rPr/>
        <w:t>is</w:t>
      </w:r>
      <w:r>
        <w:rPr>
          <w:spacing w:val="-2"/>
        </w:rPr>
        <w:t> </w:t>
      </w:r>
      <w:r>
        <w:rPr/>
        <w:t>an</w:t>
      </w:r>
      <w:r>
        <w:rPr>
          <w:spacing w:val="-2"/>
        </w:rPr>
        <w:t> </w:t>
      </w:r>
      <w:r>
        <w:rPr/>
        <w:t>anhydrite</w:t>
      </w:r>
      <w:r>
        <w:rPr>
          <w:spacing w:val="-3"/>
        </w:rPr>
        <w:t> </w:t>
      </w:r>
      <w:r>
        <w:rPr/>
        <w:t>zone. At</w:t>
      </w:r>
      <w:r>
        <w:rPr>
          <w:spacing w:val="-4"/>
        </w:rPr>
        <w:t> </w:t>
      </w:r>
      <w:r>
        <w:rPr/>
        <w:t>the</w:t>
      </w:r>
      <w:r>
        <w:rPr>
          <w:spacing w:val="-3"/>
        </w:rPr>
        <w:t> </w:t>
      </w:r>
      <w:r>
        <w:rPr/>
        <w:t>northern</w:t>
      </w:r>
      <w:r>
        <w:rPr>
          <w:spacing w:val="-3"/>
        </w:rPr>
        <w:t> </w:t>
      </w:r>
      <w:r>
        <w:rPr/>
        <w:t>limit</w:t>
      </w:r>
      <w:r>
        <w:rPr>
          <w:spacing w:val="-4"/>
        </w:rPr>
        <w:t> </w:t>
      </w:r>
      <w:r>
        <w:rPr/>
        <w:t>of</w:t>
      </w:r>
      <w:r>
        <w:rPr>
          <w:spacing w:val="-3"/>
        </w:rPr>
        <w:t> </w:t>
      </w:r>
      <w:r>
        <w:rPr/>
        <w:t>the</w:t>
      </w:r>
      <w:r>
        <w:rPr>
          <w:spacing w:val="-3"/>
        </w:rPr>
        <w:t> </w:t>
      </w:r>
      <w:r>
        <w:rPr/>
        <w:t>reservoir,</w:t>
      </w:r>
      <w:r>
        <w:rPr>
          <w:spacing w:val="-3"/>
        </w:rPr>
        <w:t> </w:t>
      </w:r>
      <w:r>
        <w:rPr/>
        <w:t>the</w:t>
      </w:r>
      <w:r>
        <w:rPr>
          <w:spacing w:val="-4"/>
        </w:rPr>
        <w:t> </w:t>
      </w:r>
      <w:r>
        <w:rPr/>
        <w:t>carbonate</w:t>
      </w:r>
      <w:r>
        <w:rPr>
          <w:spacing w:val="-3"/>
        </w:rPr>
        <w:t> </w:t>
      </w:r>
      <w:r>
        <w:rPr/>
        <w:t>thins</w:t>
      </w:r>
      <w:r>
        <w:rPr>
          <w:spacing w:val="-3"/>
        </w:rPr>
        <w:t> </w:t>
      </w:r>
      <w:r>
        <w:rPr/>
        <w:t>against</w:t>
      </w:r>
      <w:r>
        <w:rPr>
          <w:spacing w:val="-4"/>
        </w:rPr>
        <w:t> </w:t>
      </w:r>
      <w:r>
        <w:rPr/>
        <w:t>a</w:t>
      </w:r>
      <w:r>
        <w:rPr>
          <w:spacing w:val="-3"/>
        </w:rPr>
        <w:t> </w:t>
      </w:r>
      <w:r>
        <w:rPr/>
        <w:t>regional</w:t>
      </w:r>
      <w:r>
        <w:rPr>
          <w:spacing w:val="-3"/>
        </w:rPr>
        <w:t> </w:t>
      </w:r>
      <w:r>
        <w:rPr/>
        <w:t>unconformity.</w:t>
      </w:r>
      <w:r>
        <w:rPr>
          <w:spacing w:val="-7"/>
        </w:rPr>
        <w:t> </w:t>
      </w:r>
      <w:r>
        <w:rPr/>
        <w:t>The</w:t>
      </w:r>
      <w:r>
        <w:rPr>
          <w:spacing w:val="-4"/>
        </w:rPr>
        <w:t> </w:t>
      </w:r>
      <w:r>
        <w:rPr/>
        <w:t>basal</w:t>
      </w:r>
      <w:r>
        <w:rPr>
          <w:spacing w:val="-3"/>
        </w:rPr>
        <w:t> </w:t>
      </w:r>
      <w:r>
        <w:rPr/>
        <w:t>seal</w:t>
      </w:r>
      <w:r>
        <w:rPr>
          <w:spacing w:val="-4"/>
        </w:rPr>
        <w:t> </w:t>
      </w:r>
      <w:r>
        <w:rPr/>
        <w:t>is</w:t>
      </w:r>
      <w:r>
        <w:rPr>
          <w:spacing w:val="-4"/>
        </w:rPr>
        <w:t> </w:t>
      </w:r>
      <w:r>
        <w:rPr/>
        <w:t>also</w:t>
      </w:r>
      <w:r>
        <w:rPr>
          <w:spacing w:val="-3"/>
        </w:rPr>
        <w:t> </w:t>
      </w:r>
      <w:r>
        <w:rPr/>
        <w:t>anhydrite,</w:t>
      </w:r>
      <w:r>
        <w:rPr>
          <w:spacing w:val="-3"/>
        </w:rPr>
        <w:t> </w:t>
      </w:r>
      <w:r>
        <w:rPr/>
        <w:t>but is</w:t>
      </w:r>
      <w:r>
        <w:rPr>
          <w:spacing w:val="-9"/>
        </w:rPr>
        <w:t> </w:t>
      </w:r>
      <w:r>
        <w:rPr/>
        <w:t>less</w:t>
      </w:r>
      <w:r>
        <w:rPr>
          <w:spacing w:val="-9"/>
        </w:rPr>
        <w:t> </w:t>
      </w:r>
      <w:r>
        <w:rPr/>
        <w:t>consistent</w:t>
      </w:r>
      <w:r>
        <w:rPr>
          <w:spacing w:val="-9"/>
        </w:rPr>
        <w:t> </w:t>
      </w:r>
      <w:r>
        <w:rPr/>
        <w:t>across</w:t>
      </w:r>
      <w:r>
        <w:rPr>
          <w:spacing w:val="-8"/>
        </w:rPr>
        <w:t> </w:t>
      </w:r>
      <w:r>
        <w:rPr/>
        <w:t>the</w:t>
      </w:r>
      <w:r>
        <w:rPr>
          <w:spacing w:val="-9"/>
        </w:rPr>
        <w:t> </w:t>
      </w:r>
      <w:r>
        <w:rPr/>
        <w:t>area</w:t>
      </w:r>
      <w:r>
        <w:rPr>
          <w:spacing w:val="-9"/>
        </w:rPr>
        <w:t> </w:t>
      </w:r>
      <w:r>
        <w:rPr/>
        <w:t>of</w:t>
      </w:r>
      <w:r>
        <w:rPr>
          <w:spacing w:val="-9"/>
        </w:rPr>
        <w:t> </w:t>
      </w:r>
      <w:r>
        <w:rPr/>
        <w:t>the</w:t>
      </w:r>
      <w:r>
        <w:rPr>
          <w:spacing w:val="-8"/>
        </w:rPr>
        <w:t> </w:t>
      </w:r>
      <w:r>
        <w:rPr/>
        <w:t>reservoir.</w:t>
      </w:r>
      <w:r>
        <w:rPr>
          <w:spacing w:val="-19"/>
        </w:rPr>
        <w:t> </w:t>
      </w:r>
      <w:r>
        <w:rPr/>
        <w:t>A</w:t>
      </w:r>
      <w:r>
        <w:rPr>
          <w:spacing w:val="-19"/>
        </w:rPr>
        <w:t> </w:t>
      </w:r>
      <w:r>
        <w:rPr/>
        <w:t>thick,</w:t>
      </w:r>
      <w:r>
        <w:rPr>
          <w:spacing w:val="-9"/>
        </w:rPr>
        <w:t> </w:t>
      </w:r>
      <w:r>
        <w:rPr/>
        <w:t>flat-lying</w:t>
      </w:r>
      <w:r>
        <w:rPr>
          <w:spacing w:val="-8"/>
        </w:rPr>
        <w:t> </w:t>
      </w:r>
      <w:r>
        <w:rPr/>
        <w:t>shale</w:t>
      </w:r>
      <w:r>
        <w:rPr>
          <w:spacing w:val="-9"/>
        </w:rPr>
        <w:t> </w:t>
      </w:r>
      <w:r>
        <w:rPr/>
        <w:t>above</w:t>
      </w:r>
      <w:r>
        <w:rPr>
          <w:spacing w:val="-9"/>
        </w:rPr>
        <w:t> </w:t>
      </w:r>
      <w:r>
        <w:rPr/>
        <w:t>the</w:t>
      </w:r>
      <w:r>
        <w:rPr>
          <w:spacing w:val="-8"/>
        </w:rPr>
        <w:t> </w:t>
      </w:r>
      <w:r>
        <w:rPr/>
        <w:t>unconformity</w:t>
      </w:r>
      <w:r>
        <w:rPr>
          <w:spacing w:val="-9"/>
        </w:rPr>
        <w:t> </w:t>
      </w:r>
      <w:r>
        <w:rPr/>
        <w:t>forms</w:t>
      </w:r>
      <w:r>
        <w:rPr>
          <w:spacing w:val="-9"/>
        </w:rPr>
        <w:t> </w:t>
      </w:r>
      <w:r>
        <w:rPr/>
        <w:t>a</w:t>
      </w:r>
      <w:r>
        <w:rPr>
          <w:spacing w:val="-9"/>
        </w:rPr>
        <w:t> </w:t>
      </w:r>
      <w:r>
        <w:rPr/>
        <w:t>good</w:t>
      </w:r>
      <w:r>
        <w:rPr>
          <w:spacing w:val="-8"/>
        </w:rPr>
        <w:t> </w:t>
      </w:r>
      <w:r>
        <w:rPr/>
        <w:t>regional</w:t>
      </w:r>
      <w:r>
        <w:rPr>
          <w:spacing w:val="-9"/>
        </w:rPr>
        <w:t> </w:t>
      </w:r>
      <w:r>
        <w:rPr/>
        <w:t>barrier to leakage from the reservoir. In addition, several high-permeability formations containing saline groundwater would form good</w:t>
      </w:r>
      <w:r>
        <w:rPr>
          <w:spacing w:val="-5"/>
        </w:rPr>
        <w:t> </w:t>
      </w:r>
      <w:r>
        <w:rPr/>
        <w:t>conduits</w:t>
      </w:r>
      <w:r>
        <w:rPr>
          <w:spacing w:val="-6"/>
        </w:rPr>
        <w:t> </w:t>
      </w:r>
      <w:r>
        <w:rPr/>
        <w:t>for</w:t>
      </w:r>
      <w:r>
        <w:rPr>
          <w:spacing w:val="-5"/>
        </w:rPr>
        <w:t> </w:t>
      </w:r>
      <w:r>
        <w:rPr/>
        <w:t>lateral</w:t>
      </w:r>
      <w:r>
        <w:rPr>
          <w:spacing w:val="-6"/>
        </w:rPr>
        <w:t> </w:t>
      </w:r>
      <w:r>
        <w:rPr/>
        <w:t>migration</w:t>
      </w:r>
      <w:r>
        <w:rPr>
          <w:spacing w:val="-6"/>
        </w:rPr>
        <w:t> </w:t>
      </w:r>
      <w:r>
        <w:rPr/>
        <w:t>of</w:t>
      </w:r>
      <w:r>
        <w:rPr>
          <w:spacing w:val="-5"/>
        </w:rPr>
        <w:t> </w:t>
      </w:r>
      <w:r>
        <w:rPr/>
        <w:t>any</w:t>
      </w:r>
      <w:r>
        <w:rPr>
          <w:spacing w:val="-6"/>
        </w:rPr>
        <w:t> </w:t>
      </w:r>
      <w:r>
        <w:rPr/>
        <w:t>CO</w:t>
      </w:r>
      <w:r>
        <w:rPr>
          <w:position w:val="-6"/>
          <w:sz w:val="11"/>
        </w:rPr>
        <w:t>2</w:t>
      </w:r>
      <w:r>
        <w:rPr>
          <w:spacing w:val="17"/>
          <w:position w:val="-6"/>
          <w:sz w:val="11"/>
        </w:rPr>
        <w:t> </w:t>
      </w:r>
      <w:r>
        <w:rPr/>
        <w:t>that</w:t>
      </w:r>
      <w:r>
        <w:rPr>
          <w:spacing w:val="-6"/>
        </w:rPr>
        <w:t> </w:t>
      </w:r>
      <w:r>
        <w:rPr/>
        <w:t>might</w:t>
      </w:r>
      <w:r>
        <w:rPr>
          <w:spacing w:val="-6"/>
        </w:rPr>
        <w:t> </w:t>
      </w:r>
      <w:r>
        <w:rPr/>
        <w:t>reach</w:t>
      </w:r>
      <w:r>
        <w:rPr>
          <w:spacing w:val="-6"/>
        </w:rPr>
        <w:t> </w:t>
      </w:r>
      <w:r>
        <w:rPr/>
        <w:t>these</w:t>
      </w:r>
      <w:r>
        <w:rPr>
          <w:spacing w:val="-6"/>
        </w:rPr>
        <w:t> </w:t>
      </w:r>
      <w:r>
        <w:rPr/>
        <w:t>zones,</w:t>
      </w:r>
      <w:r>
        <w:rPr>
          <w:spacing w:val="-6"/>
        </w:rPr>
        <w:t> </w:t>
      </w:r>
      <w:r>
        <w:rPr/>
        <w:t>with</w:t>
      </w:r>
      <w:r>
        <w:rPr>
          <w:spacing w:val="-6"/>
        </w:rPr>
        <w:t> </w:t>
      </w:r>
      <w:r>
        <w:rPr/>
        <w:t>rapid</w:t>
      </w:r>
      <w:r>
        <w:rPr>
          <w:spacing w:val="-6"/>
        </w:rPr>
        <w:t> </w:t>
      </w:r>
      <w:r>
        <w:rPr/>
        <w:t>dissolution</w:t>
      </w:r>
      <w:r>
        <w:rPr>
          <w:spacing w:val="-6"/>
        </w:rPr>
        <w:t> </w:t>
      </w:r>
      <w:r>
        <w:rPr/>
        <w:t>of</w:t>
      </w:r>
      <w:r>
        <w:rPr>
          <w:spacing w:val="-5"/>
        </w:rPr>
        <w:t> </w:t>
      </w:r>
      <w:r>
        <w:rPr/>
        <w:t>the</w:t>
      </w:r>
      <w:r>
        <w:rPr>
          <w:spacing w:val="-5"/>
        </w:rPr>
        <w:t> </w:t>
      </w:r>
      <w:r>
        <w:rPr/>
        <w:t>CO</w:t>
      </w:r>
      <w:r>
        <w:rPr>
          <w:position w:val="-6"/>
          <w:sz w:val="11"/>
        </w:rPr>
        <w:t>2</w:t>
      </w:r>
      <w:r>
        <w:rPr>
          <w:spacing w:val="17"/>
          <w:position w:val="-6"/>
          <w:sz w:val="11"/>
        </w:rPr>
        <w:t> </w:t>
      </w:r>
      <w:r>
        <w:rPr/>
        <w:t>in</w:t>
      </w:r>
      <w:r>
        <w:rPr>
          <w:spacing w:val="-6"/>
        </w:rPr>
        <w:t> </w:t>
      </w:r>
      <w:r>
        <w:rPr/>
        <w:t>the</w:t>
      </w:r>
      <w:r>
        <w:rPr>
          <w:spacing w:val="-6"/>
        </w:rPr>
        <w:t> </w:t>
      </w:r>
      <w:r>
        <w:rPr/>
        <w:t>formation fluids.</w:t>
      </w:r>
    </w:p>
    <w:p>
      <w:pPr>
        <w:spacing w:after="0" w:line="240" w:lineRule="exact"/>
        <w:jc w:val="both"/>
        <w:sectPr>
          <w:pgSz w:w="12240" w:h="15840"/>
          <w:pgMar w:header="567" w:footer="0" w:top="760" w:bottom="280" w:left="580" w:right="600"/>
        </w:sectPr>
      </w:pPr>
    </w:p>
    <w:p>
      <w:pPr>
        <w:pStyle w:val="BodyText"/>
        <w:spacing w:line="273" w:lineRule="exact" w:before="3"/>
        <w:ind w:left="882"/>
        <w:rPr>
          <w:sz w:val="11"/>
        </w:rPr>
      </w:pPr>
      <w:r>
        <w:rPr/>
        <w:t>Since CO</w:t>
      </w:r>
      <w:r>
        <w:rPr>
          <w:position w:val="-6"/>
          <w:sz w:val="11"/>
        </w:rPr>
        <w:t>2</w:t>
      </w:r>
    </w:p>
    <w:p>
      <w:pPr>
        <w:pStyle w:val="BodyText"/>
        <w:spacing w:before="3"/>
        <w:ind w:left="13"/>
        <w:rPr>
          <w:sz w:val="11"/>
        </w:rPr>
      </w:pPr>
      <w:r>
        <w:rPr/>
        <w:br w:type="column"/>
      </w:r>
      <w:r>
        <w:rPr/>
        <w:t>injection began in late 2000, the EOR project has performed largely as predicted. Currently, some 1600 m</w:t>
      </w:r>
      <w:r>
        <w:rPr>
          <w:position w:val="7"/>
          <w:sz w:val="11"/>
        </w:rPr>
        <w:t>3</w:t>
      </w:r>
    </w:p>
    <w:p>
      <w:pPr>
        <w:spacing w:after="0"/>
        <w:rPr>
          <w:sz w:val="11"/>
        </w:rPr>
        <w:sectPr>
          <w:type w:val="continuous"/>
          <w:pgSz w:w="12240" w:h="15840"/>
          <w:pgMar w:top="400" w:bottom="280" w:left="580" w:right="600"/>
          <w:cols w:num="2" w:equalWidth="0">
            <w:col w:w="1717" w:space="40"/>
            <w:col w:w="9303"/>
          </w:cols>
        </w:sectPr>
      </w:pPr>
    </w:p>
    <w:p>
      <w:pPr>
        <w:pStyle w:val="BodyText"/>
        <w:spacing w:line="197" w:lineRule="exact"/>
        <w:ind w:left="332"/>
      </w:pPr>
      <w:r>
        <w:rPr/>
        <w:pict>
          <v:shape style="position:absolute;margin-left:409.15741pt;margin-top:6.650794pt;width:2.95pt;height:5.85pt;mso-position-horizontal-relative:page;mso-position-vertical-relative:paragraph;z-index:-25888870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(10,063 barrels) day</w:t>
      </w:r>
      <w:r>
        <w:rPr>
          <w:position w:val="7"/>
          <w:sz w:val="11"/>
        </w:rPr>
        <w:t>–1 </w:t>
      </w:r>
      <w:r>
        <w:rPr/>
        <w:t>of incremental oil is being produced from the field. All produced CO is captured and recompressed for</w:t>
      </w:r>
    </w:p>
    <w:p>
      <w:pPr>
        <w:spacing w:after="0" w:line="197" w:lineRule="exact"/>
        <w:sectPr>
          <w:type w:val="continuous"/>
          <w:pgSz w:w="12240" w:h="15840"/>
          <w:pgMar w:top="400" w:bottom="280" w:left="580" w:right="600"/>
        </w:sectPr>
      </w:pPr>
    </w:p>
    <w:p>
      <w:pPr>
        <w:pStyle w:val="BodyText"/>
        <w:spacing w:line="277" w:lineRule="exact" w:before="10"/>
        <w:ind w:left="332"/>
        <w:rPr>
          <w:sz w:val="11"/>
        </w:rPr>
      </w:pPr>
      <w:r>
        <w:rPr/>
        <w:t>reinjection into the production zone. Currently, some 1000 tCO</w:t>
      </w:r>
      <w:r>
        <w:rPr>
          <w:position w:val="-6"/>
          <w:sz w:val="11"/>
        </w:rPr>
        <w:t>2</w:t>
      </w:r>
    </w:p>
    <w:p>
      <w:pPr>
        <w:pStyle w:val="BodyText"/>
        <w:spacing w:before="10"/>
        <w:ind w:left="15"/>
      </w:pPr>
      <w:r>
        <w:rPr/>
        <w:br w:type="column"/>
      </w:r>
      <w:r>
        <w:rPr/>
        <w:t>day</w:t>
      </w:r>
      <w:r>
        <w:rPr>
          <w:position w:val="7"/>
          <w:sz w:val="11"/>
        </w:rPr>
        <w:t>–1 </w:t>
      </w:r>
      <w:r>
        <w:rPr/>
        <w:t>is reinjected; this will increase as the project matures.</w:t>
      </w:r>
    </w:p>
    <w:p>
      <w:pPr>
        <w:spacing w:after="0"/>
        <w:sectPr>
          <w:type w:val="continuous"/>
          <w:pgSz w:w="12240" w:h="15840"/>
          <w:pgMar w:top="400" w:bottom="280" w:left="580" w:right="600"/>
          <w:cols w:num="2" w:equalWidth="0">
            <w:col w:w="5503" w:space="40"/>
            <w:col w:w="5517"/>
          </w:cols>
        </w:sectPr>
      </w:pPr>
    </w:p>
    <w:p>
      <w:pPr>
        <w:pStyle w:val="BodyText"/>
        <w:spacing w:line="193" w:lineRule="exact"/>
        <w:ind w:left="332"/>
        <w:jc w:val="both"/>
      </w:pPr>
      <w:r>
        <w:rPr/>
        <w:t>Monitoring is extensive, with high-resolution seismic surveys and surface monitoring to determine any potential leakage.</w:t>
      </w:r>
    </w:p>
    <w:p>
      <w:pPr>
        <w:pStyle w:val="BodyText"/>
        <w:spacing w:line="225" w:lineRule="auto" w:before="21"/>
        <w:ind w:left="332" w:right="706"/>
        <w:jc w:val="both"/>
      </w:pPr>
      <w:r>
        <w:rPr/>
        <w:t>Surface</w:t>
      </w:r>
      <w:r>
        <w:rPr>
          <w:spacing w:val="-8"/>
        </w:rPr>
        <w:t> </w:t>
      </w:r>
      <w:r>
        <w:rPr/>
        <w:t>monitoring</w:t>
      </w:r>
      <w:r>
        <w:rPr>
          <w:spacing w:val="-7"/>
        </w:rPr>
        <w:t> </w:t>
      </w:r>
      <w:r>
        <w:rPr/>
        <w:t>includes</w:t>
      </w:r>
      <w:r>
        <w:rPr>
          <w:spacing w:val="-6"/>
        </w:rPr>
        <w:t> </w:t>
      </w:r>
      <w:r>
        <w:rPr/>
        <w:t>sampling</w:t>
      </w:r>
      <w:r>
        <w:rPr>
          <w:spacing w:val="-7"/>
        </w:rPr>
        <w:t> </w:t>
      </w:r>
      <w:r>
        <w:rPr/>
        <w:t>and</w:t>
      </w:r>
      <w:r>
        <w:rPr>
          <w:spacing w:val="-6"/>
        </w:rPr>
        <w:t> </w:t>
      </w:r>
      <w:r>
        <w:rPr/>
        <w:t>analysis</w:t>
      </w:r>
      <w:r>
        <w:rPr>
          <w:spacing w:val="-6"/>
        </w:rPr>
        <w:t> </w:t>
      </w:r>
      <w:r>
        <w:rPr/>
        <w:t>of</w:t>
      </w:r>
      <w:r>
        <w:rPr>
          <w:spacing w:val="-6"/>
        </w:rPr>
        <w:t> </w:t>
      </w:r>
      <w:r>
        <w:rPr/>
        <w:t>potable</w:t>
      </w:r>
      <w:r>
        <w:rPr>
          <w:spacing w:val="-7"/>
        </w:rPr>
        <w:t> </w:t>
      </w:r>
      <w:r>
        <w:rPr/>
        <w:t>groundwater,</w:t>
      </w:r>
      <w:r>
        <w:rPr>
          <w:spacing w:val="-6"/>
        </w:rPr>
        <w:t> </w:t>
      </w:r>
      <w:r>
        <w:rPr/>
        <w:t>as</w:t>
      </w:r>
      <w:r>
        <w:rPr>
          <w:spacing w:val="-6"/>
        </w:rPr>
        <w:t> </w:t>
      </w:r>
      <w:r>
        <w:rPr/>
        <w:t>well</w:t>
      </w:r>
      <w:r>
        <w:rPr>
          <w:spacing w:val="-7"/>
        </w:rPr>
        <w:t> </w:t>
      </w:r>
      <w:r>
        <w:rPr/>
        <w:t>as</w:t>
      </w:r>
      <w:r>
        <w:rPr>
          <w:spacing w:val="-6"/>
        </w:rPr>
        <w:t> </w:t>
      </w:r>
      <w:r>
        <w:rPr/>
        <w:t>soil</w:t>
      </w:r>
      <w:r>
        <w:rPr>
          <w:spacing w:val="-7"/>
        </w:rPr>
        <w:t> </w:t>
      </w:r>
      <w:r>
        <w:rPr/>
        <w:t>gas</w:t>
      </w:r>
      <w:r>
        <w:rPr>
          <w:spacing w:val="-6"/>
        </w:rPr>
        <w:t> </w:t>
      </w:r>
      <w:r>
        <w:rPr/>
        <w:t>sampling</w:t>
      </w:r>
      <w:r>
        <w:rPr>
          <w:spacing w:val="-7"/>
        </w:rPr>
        <w:t> </w:t>
      </w:r>
      <w:r>
        <w:rPr/>
        <w:t>and</w:t>
      </w:r>
      <w:r>
        <w:rPr>
          <w:spacing w:val="-7"/>
        </w:rPr>
        <w:t> </w:t>
      </w:r>
      <w:r>
        <w:rPr/>
        <w:t>analysis</w:t>
      </w:r>
      <w:r>
        <w:rPr>
          <w:spacing w:val="-6"/>
        </w:rPr>
        <w:t> </w:t>
      </w:r>
      <w:r>
        <w:rPr/>
        <w:t>(Moberg </w:t>
      </w:r>
      <w:r>
        <w:rPr>
          <w:i/>
        </w:rPr>
        <w:t>et al.</w:t>
      </w:r>
      <w:r>
        <w:rPr/>
        <w:t>, 2003). </w:t>
      </w:r>
      <w:r>
        <w:rPr>
          <w:spacing w:val="-7"/>
        </w:rPr>
        <w:t>To </w:t>
      </w:r>
      <w:r>
        <w:rPr/>
        <w:t>date, there has been no indication of CO</w:t>
      </w:r>
      <w:r>
        <w:rPr>
          <w:position w:val="-6"/>
          <w:sz w:val="11"/>
        </w:rPr>
        <w:t>2 </w:t>
      </w:r>
      <w:r>
        <w:rPr/>
        <w:t>leakage to the surface and near-surface environment (White, 2005; Strutt </w:t>
      </w:r>
      <w:r>
        <w:rPr>
          <w:i/>
        </w:rPr>
        <w:t>et al.</w:t>
      </w:r>
      <w:r>
        <w:rPr/>
        <w:t>,</w:t>
      </w:r>
      <w:r>
        <w:rPr>
          <w:spacing w:val="-1"/>
        </w:rPr>
        <w:t> </w:t>
      </w:r>
      <w:r>
        <w:rPr/>
        <w:t>2003).</w:t>
      </w:r>
    </w:p>
    <w:p>
      <w:pPr>
        <w:pStyle w:val="BodyText"/>
        <w:spacing w:before="5"/>
        <w:rPr>
          <w:sz w:val="23"/>
        </w:rPr>
      </w:pPr>
    </w:p>
    <w:p>
      <w:pPr>
        <w:spacing w:after="0"/>
        <w:rPr>
          <w:sz w:val="23"/>
        </w:rPr>
        <w:sectPr>
          <w:type w:val="continuous"/>
          <w:pgSz w:w="12240" w:h="15840"/>
          <w:pgMar w:top="400" w:bottom="280" w:left="580" w:right="600"/>
        </w:sectPr>
      </w:pPr>
    </w:p>
    <w:p>
      <w:pPr>
        <w:pStyle w:val="BodyText"/>
        <w:spacing w:line="240" w:lineRule="exact" w:before="58"/>
        <w:ind w:left="157" w:right="38"/>
        <w:jc w:val="both"/>
      </w:pPr>
      <w:r>
        <w:rPr/>
        <w:t>2003; </w:t>
      </w:r>
      <w:r>
        <w:rPr>
          <w:spacing w:val="-4"/>
        </w:rPr>
        <w:t>Law, </w:t>
      </w:r>
      <w:r>
        <w:rPr/>
        <w:t>2005). The fate of the injected CO</w:t>
      </w:r>
      <w:r>
        <w:rPr>
          <w:position w:val="-6"/>
          <w:sz w:val="11"/>
        </w:rPr>
        <w:t>2 </w:t>
      </w:r>
      <w:r>
        <w:rPr/>
        <w:t>is being closely monitored</w:t>
      </w:r>
      <w:r>
        <w:rPr>
          <w:spacing w:val="-5"/>
        </w:rPr>
        <w:t> </w:t>
      </w:r>
      <w:r>
        <w:rPr/>
        <w:t>through</w:t>
      </w:r>
      <w:r>
        <w:rPr>
          <w:spacing w:val="-4"/>
        </w:rPr>
        <w:t> </w:t>
      </w:r>
      <w:r>
        <w:rPr/>
        <w:t>the</w:t>
      </w:r>
      <w:r>
        <w:rPr>
          <w:spacing w:val="-5"/>
        </w:rPr>
        <w:t> </w:t>
      </w:r>
      <w:r>
        <w:rPr/>
        <w:t>IEA</w:t>
      </w:r>
      <w:r>
        <w:rPr>
          <w:spacing w:val="-15"/>
        </w:rPr>
        <w:t> </w:t>
      </w:r>
      <w:r>
        <w:rPr/>
        <w:t>GHG</w:t>
      </w:r>
      <w:r>
        <w:rPr>
          <w:spacing w:val="-7"/>
        </w:rPr>
        <w:t> </w:t>
      </w:r>
      <w:r>
        <w:rPr>
          <w:spacing w:val="-3"/>
        </w:rPr>
        <w:t>Weyburn</w:t>
      </w:r>
      <w:r>
        <w:rPr>
          <w:spacing w:val="-4"/>
        </w:rPr>
        <w:t> </w:t>
      </w:r>
      <w:r>
        <w:rPr/>
        <w:t>Project</w:t>
      </w:r>
      <w:r>
        <w:rPr>
          <w:spacing w:val="-5"/>
        </w:rPr>
        <w:t> </w:t>
      </w:r>
      <w:r>
        <w:rPr/>
        <w:t>(Wilson</w:t>
      </w:r>
      <w:r>
        <w:rPr>
          <w:spacing w:val="-4"/>
        </w:rPr>
        <w:t> </w:t>
      </w:r>
      <w:r>
        <w:rPr/>
        <w:t>and Monea, 2005). Carbon dioxide-EOR is under consideration for the North Sea, although there is as yet little, if </w:t>
      </w:r>
      <w:r>
        <w:rPr>
          <w:spacing w:val="-4"/>
        </w:rPr>
        <w:t>any, </w:t>
      </w:r>
      <w:r>
        <w:rPr/>
        <w:t>operational experience for offshore CO</w:t>
      </w:r>
      <w:r>
        <w:rPr>
          <w:position w:val="-6"/>
          <w:sz w:val="11"/>
        </w:rPr>
        <w:t>2</w:t>
      </w:r>
      <w:r>
        <w:rPr/>
        <w:t>-EOR. Carbon dioxide-EOR projects are also currently under way in a number of countries including Trinidad, Turkey and Brazil (Moritis, 2002). Saudi Aramco, the </w:t>
      </w:r>
      <w:r>
        <w:rPr>
          <w:spacing w:val="-3"/>
        </w:rPr>
        <w:t>world’s </w:t>
      </w:r>
      <w:r>
        <w:rPr/>
        <w:t>largest producer and exporter of crude</w:t>
      </w:r>
      <w:r>
        <w:rPr>
          <w:spacing w:val="-21"/>
        </w:rPr>
        <w:t> </w:t>
      </w:r>
      <w:r>
        <w:rPr/>
        <w:t>oil, is</w:t>
      </w:r>
      <w:r>
        <w:rPr>
          <w:spacing w:val="-11"/>
        </w:rPr>
        <w:t> </w:t>
      </w:r>
      <w:r>
        <w:rPr/>
        <w:t>evaluating</w:t>
      </w:r>
      <w:r>
        <w:rPr>
          <w:spacing w:val="-10"/>
        </w:rPr>
        <w:t> </w:t>
      </w:r>
      <w:r>
        <w:rPr/>
        <w:t>the</w:t>
      </w:r>
      <w:r>
        <w:rPr>
          <w:spacing w:val="-10"/>
        </w:rPr>
        <w:t> </w:t>
      </w:r>
      <w:r>
        <w:rPr/>
        <w:t>technical</w:t>
      </w:r>
      <w:r>
        <w:rPr>
          <w:spacing w:val="-10"/>
        </w:rPr>
        <w:t> </w:t>
      </w:r>
      <w:r>
        <w:rPr/>
        <w:t>feasibility</w:t>
      </w:r>
      <w:r>
        <w:rPr>
          <w:spacing w:val="-10"/>
        </w:rPr>
        <w:t> </w:t>
      </w:r>
      <w:r>
        <w:rPr/>
        <w:t>of</w:t>
      </w:r>
      <w:r>
        <w:rPr>
          <w:spacing w:val="-10"/>
        </w:rPr>
        <w:t> </w:t>
      </w:r>
      <w:r>
        <w:rPr/>
        <w:t>CO</w:t>
      </w:r>
      <w:r>
        <w:rPr>
          <w:position w:val="-6"/>
          <w:sz w:val="11"/>
        </w:rPr>
        <w:t>2</w:t>
      </w:r>
      <w:r>
        <w:rPr/>
        <w:t>-EOR</w:t>
      </w:r>
      <w:r>
        <w:rPr>
          <w:spacing w:val="-10"/>
        </w:rPr>
        <w:t> </w:t>
      </w:r>
      <w:r>
        <w:rPr/>
        <w:t>in</w:t>
      </w:r>
      <w:r>
        <w:rPr>
          <w:spacing w:val="-10"/>
        </w:rPr>
        <w:t> </w:t>
      </w:r>
      <w:r>
        <w:rPr/>
        <w:t>some</w:t>
      </w:r>
      <w:r>
        <w:rPr>
          <w:spacing w:val="-10"/>
        </w:rPr>
        <w:t> </w:t>
      </w:r>
      <w:r>
        <w:rPr/>
        <w:t>of</w:t>
      </w:r>
      <w:r>
        <w:rPr>
          <w:spacing w:val="-10"/>
        </w:rPr>
        <w:t> </w:t>
      </w:r>
      <w:r>
        <w:rPr/>
        <w:t>its Saudi Arabian</w:t>
      </w:r>
      <w:r>
        <w:rPr>
          <w:spacing w:val="-14"/>
        </w:rPr>
        <w:t> </w:t>
      </w:r>
      <w:r>
        <w:rPr/>
        <w:t>reservoirs.</w:t>
      </w:r>
    </w:p>
    <w:p>
      <w:pPr>
        <w:pStyle w:val="BodyText"/>
        <w:spacing w:line="240" w:lineRule="exact"/>
        <w:ind w:left="157" w:right="38" w:firstLine="283"/>
        <w:jc w:val="both"/>
      </w:pPr>
      <w:r>
        <w:rPr/>
        <w:pict>
          <v:shape style="position:absolute;margin-left:367.59491pt;margin-top:152.557495pt;width:2.95pt;height:5.85pt;mso-position-horizontal-relative:page;mso-position-vertical-relative:paragraph;z-index:25166950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In addition to these commercial storage or EOR projects,   a number of pilot storage projects are under way or planned. The Frio Brine Project in </w:t>
      </w:r>
      <w:r>
        <w:rPr>
          <w:spacing w:val="-3"/>
        </w:rPr>
        <w:t>Texas, </w:t>
      </w:r>
      <w:r>
        <w:rPr/>
        <w:t>USA, involved injection and storage of 1900 tCO</w:t>
      </w:r>
      <w:r>
        <w:rPr>
          <w:position w:val="-6"/>
          <w:sz w:val="11"/>
        </w:rPr>
        <w:t>2 </w:t>
      </w:r>
      <w:r>
        <w:rPr/>
        <w:t>in a highly permeable formation with a regionally extensive shale seal (Hovorka </w:t>
      </w:r>
      <w:r>
        <w:rPr>
          <w:i/>
        </w:rPr>
        <w:t>et al.</w:t>
      </w:r>
      <w:r>
        <w:rPr/>
        <w:t>, 2005). Pilot projects are proposed for Ketzin, west of Berlin, </w:t>
      </w:r>
      <w:r>
        <w:rPr>
          <w:spacing w:val="-3"/>
        </w:rPr>
        <w:t>Germany, </w:t>
      </w:r>
      <w:r>
        <w:rPr/>
        <w:t>for the Otway Basin of southeast Australia and for </w:t>
      </w:r>
      <w:r>
        <w:rPr>
          <w:spacing w:val="-3"/>
        </w:rPr>
        <w:t>Teapot </w:t>
      </w:r>
      <w:r>
        <w:rPr/>
        <w:t>Dome, Wyoming,</w:t>
      </w:r>
      <w:r>
        <w:rPr>
          <w:spacing w:val="-11"/>
        </w:rPr>
        <w:t> </w:t>
      </w:r>
      <w:r>
        <w:rPr/>
        <w:t>USA</w:t>
      </w:r>
      <w:r>
        <w:rPr>
          <w:spacing w:val="-19"/>
        </w:rPr>
        <w:t> </w:t>
      </w:r>
      <w:hyperlink w:history="true" w:anchor="_bookmark0">
        <w:r>
          <w:rPr/>
          <w:t>(Figure</w:t>
        </w:r>
        <w:r>
          <w:rPr>
            <w:spacing w:val="-9"/>
          </w:rPr>
          <w:t> </w:t>
        </w:r>
        <w:r>
          <w:rPr/>
          <w:t>5.1).</w:t>
        </w:r>
        <w:r>
          <w:rPr>
            <w:spacing w:val="-13"/>
          </w:rPr>
          <w:t> </w:t>
        </w:r>
      </w:hyperlink>
      <w:r>
        <w:rPr/>
        <w:t>The</w:t>
      </w:r>
      <w:r>
        <w:rPr>
          <w:spacing w:val="-19"/>
        </w:rPr>
        <w:t> </w:t>
      </w:r>
      <w:r>
        <w:rPr/>
        <w:t>American</w:t>
      </w:r>
      <w:r>
        <w:rPr>
          <w:spacing w:val="-10"/>
        </w:rPr>
        <w:t> </w:t>
      </w:r>
      <w:r>
        <w:rPr/>
        <w:t>FutureGen</w:t>
      </w:r>
      <w:r>
        <w:rPr>
          <w:spacing w:val="-10"/>
        </w:rPr>
        <w:t> </w:t>
      </w:r>
      <w:r>
        <w:rPr/>
        <w:t>project, proposed for late this decade, will be a geological</w:t>
      </w:r>
      <w:r>
        <w:rPr>
          <w:spacing w:val="31"/>
        </w:rPr>
        <w:t> </w:t>
      </w:r>
      <w:r>
        <w:rPr/>
        <w:t>storage project</w:t>
      </w:r>
      <w:r>
        <w:rPr>
          <w:spacing w:val="-5"/>
        </w:rPr>
        <w:t> </w:t>
      </w:r>
      <w:r>
        <w:rPr/>
        <w:t>linked</w:t>
      </w:r>
      <w:r>
        <w:rPr>
          <w:spacing w:val="-3"/>
        </w:rPr>
        <w:t> </w:t>
      </w:r>
      <w:r>
        <w:rPr/>
        <w:t>to</w:t>
      </w:r>
      <w:r>
        <w:rPr>
          <w:spacing w:val="-3"/>
        </w:rPr>
        <w:t> </w:t>
      </w:r>
      <w:r>
        <w:rPr/>
        <w:t>coal-fired</w:t>
      </w:r>
      <w:r>
        <w:rPr>
          <w:spacing w:val="-3"/>
        </w:rPr>
        <w:t> </w:t>
      </w:r>
      <w:r>
        <w:rPr/>
        <w:t>electricity</w:t>
      </w:r>
      <w:r>
        <w:rPr>
          <w:spacing w:val="-4"/>
        </w:rPr>
        <w:t> </w:t>
      </w:r>
      <w:r>
        <w:rPr/>
        <w:t>generation.</w:t>
      </w:r>
      <w:r>
        <w:rPr>
          <w:spacing w:val="-14"/>
        </w:rPr>
        <w:t> </w:t>
      </w:r>
      <w:r>
        <w:rPr/>
        <w:t>A</w:t>
      </w:r>
      <w:r>
        <w:rPr>
          <w:spacing w:val="-14"/>
        </w:rPr>
        <w:t> </w:t>
      </w:r>
      <w:r>
        <w:rPr/>
        <w:t>small-scale CO</w:t>
      </w:r>
      <w:r>
        <w:rPr>
          <w:position w:val="-6"/>
          <w:sz w:val="11"/>
        </w:rPr>
        <w:t>2 </w:t>
      </w:r>
      <w:r>
        <w:rPr/>
        <w:t>injection and monitoring project is being carried out </w:t>
      </w:r>
      <w:r>
        <w:rPr>
          <w:spacing w:val="-8"/>
        </w:rPr>
        <w:t>by </w:t>
      </w:r>
      <w:r>
        <w:rPr/>
        <w:t>RITE at Nagoaka in northwest Honshu, Japan.</w:t>
      </w:r>
      <w:r>
        <w:rPr>
          <w:spacing w:val="9"/>
        </w:rPr>
        <w:t> </w:t>
      </w:r>
      <w:r>
        <w:rPr/>
        <w:t>Small-scale</w:t>
      </w:r>
    </w:p>
    <w:p>
      <w:pPr>
        <w:pStyle w:val="BodyText"/>
        <w:spacing w:line="240" w:lineRule="exact" w:before="58"/>
        <w:ind w:left="157" w:right="531"/>
        <w:jc w:val="both"/>
      </w:pPr>
      <w:r>
        <w:rPr/>
        <w:br w:type="column"/>
      </w:r>
      <w:r>
        <w:rPr/>
        <w:t>demonstration project has been undertaken in the  northern San Juan Basin of New Mexico, USA (Reeves, 2003a) </w:t>
      </w:r>
      <w:hyperlink w:history="true" w:anchor="_bookmark30">
        <w:r>
          <w:rPr/>
          <w:t>(Box</w:t>
        </w:r>
      </w:hyperlink>
      <w:r>
        <w:rPr/>
        <w:t> </w:t>
      </w:r>
      <w:hyperlink w:history="true" w:anchor="_bookmark30">
        <w:r>
          <w:rPr/>
          <w:t>5.7). </w:t>
        </w:r>
      </w:hyperlink>
      <w:r>
        <w:rPr/>
        <w:t>Further CO</w:t>
      </w:r>
      <w:r>
        <w:rPr>
          <w:position w:val="-6"/>
          <w:sz w:val="11"/>
        </w:rPr>
        <w:t>2</w:t>
      </w:r>
      <w:r>
        <w:rPr/>
        <w:t>-ECBM projects are under consideration for China, Canada, Italy and Poland (Gale, 2003). In all, some 59 opportunities for CO</w:t>
      </w:r>
      <w:r>
        <w:rPr>
          <w:position w:val="-6"/>
          <w:sz w:val="11"/>
        </w:rPr>
        <w:t>2</w:t>
      </w:r>
      <w:r>
        <w:rPr/>
        <w:t>-ECBM have been identified worldwide, the majority in China (van Bergen </w:t>
      </w:r>
      <w:r>
        <w:rPr>
          <w:i/>
        </w:rPr>
        <w:t>et al.</w:t>
      </w:r>
      <w:r>
        <w:rPr/>
        <w:t>,</w:t>
      </w:r>
      <w:r>
        <w:rPr>
          <w:spacing w:val="-3"/>
        </w:rPr>
        <w:t> </w:t>
      </w:r>
      <w:r>
        <w:rPr/>
        <w:t>2003a).</w:t>
      </w:r>
    </w:p>
    <w:p>
      <w:pPr>
        <w:pStyle w:val="BodyText"/>
        <w:spacing w:line="240" w:lineRule="exact"/>
        <w:ind w:left="157" w:right="530" w:firstLine="283"/>
        <w:jc w:val="both"/>
      </w:pPr>
      <w:r>
        <w:rPr/>
        <w:t>These projects </w:t>
      </w:r>
      <w:hyperlink w:history="true" w:anchor="_bookmark0">
        <w:r>
          <w:rPr/>
          <w:t>(Figure 5.1;</w:t>
        </w:r>
      </w:hyperlink>
      <w:r>
        <w:rPr/>
        <w:t> </w:t>
      </w:r>
      <w:hyperlink w:history="true" w:anchor="_bookmark4">
        <w:r>
          <w:rPr/>
          <w:t>Table 5.1)</w:t>
        </w:r>
      </w:hyperlink>
      <w:r>
        <w:rPr/>
        <w:t> demonstrate that subsurface injection of CO</w:t>
      </w:r>
      <w:r>
        <w:rPr>
          <w:position w:val="-6"/>
          <w:sz w:val="11"/>
        </w:rPr>
        <w:t>2 </w:t>
      </w:r>
      <w:r>
        <w:rPr/>
        <w:t>is not for the distant future, but is being implemented now for environmental and/or commercial reasons.</w:t>
      </w:r>
    </w:p>
    <w:p>
      <w:pPr>
        <w:pStyle w:val="BodyText"/>
        <w:spacing w:before="3"/>
        <w:rPr>
          <w:sz w:val="21"/>
        </w:rPr>
      </w:pPr>
    </w:p>
    <w:p>
      <w:pPr>
        <w:pStyle w:val="Heading2"/>
        <w:numPr>
          <w:ilvl w:val="2"/>
          <w:numId w:val="1"/>
        </w:numPr>
        <w:tabs>
          <w:tab w:pos="976" w:val="left" w:leader="none"/>
          <w:tab w:pos="977" w:val="left" w:leader="none"/>
        </w:tabs>
        <w:spacing w:line="240" w:lineRule="auto" w:before="1" w:after="0"/>
        <w:ind w:left="977" w:right="0" w:hanging="820"/>
        <w:jc w:val="left"/>
        <w:rPr>
          <w:i/>
        </w:rPr>
      </w:pPr>
      <w:r>
        <w:rPr>
          <w:i/>
        </w:rPr>
        <w:t>Key questions</w:t>
      </w:r>
    </w:p>
    <w:p>
      <w:pPr>
        <w:pStyle w:val="BodyText"/>
        <w:spacing w:before="3"/>
        <w:rPr>
          <w:b/>
          <w:i/>
          <w:sz w:val="21"/>
        </w:rPr>
      </w:pPr>
    </w:p>
    <w:p>
      <w:pPr>
        <w:pStyle w:val="BodyText"/>
        <w:spacing w:line="240" w:lineRule="exact"/>
        <w:ind w:left="157" w:right="530"/>
        <w:jc w:val="both"/>
      </w:pPr>
      <w:r>
        <w:rPr/>
        <w:t>In the previous section, the point is made that deep injection of CO</w:t>
      </w:r>
      <w:r>
        <w:rPr>
          <w:position w:val="-6"/>
          <w:sz w:val="11"/>
        </w:rPr>
        <w:t>2 </w:t>
      </w:r>
      <w:r>
        <w:rPr/>
        <w:t>is under way in a number of places </w:t>
      </w:r>
      <w:hyperlink w:history="true" w:anchor="_bookmark0">
        <w:r>
          <w:rPr/>
          <w:t>(Figure </w:t>
        </w:r>
      </w:hyperlink>
      <w:r>
        <w:rPr/>
        <w:t>5.1). However, if</w:t>
      </w:r>
      <w:r>
        <w:rPr>
          <w:spacing w:val="-16"/>
        </w:rPr>
        <w:t> </w:t>
      </w:r>
      <w:r>
        <w:rPr/>
        <w:t>CO</w:t>
      </w:r>
      <w:r>
        <w:rPr>
          <w:position w:val="-6"/>
          <w:sz w:val="11"/>
        </w:rPr>
        <w:t>2</w:t>
      </w:r>
      <w:r>
        <w:rPr>
          <w:spacing w:val="8"/>
          <w:position w:val="-6"/>
          <w:sz w:val="11"/>
        </w:rPr>
        <w:t> </w:t>
      </w:r>
      <w:r>
        <w:rPr/>
        <w:t>storage</w:t>
      </w:r>
      <w:r>
        <w:rPr>
          <w:spacing w:val="-15"/>
        </w:rPr>
        <w:t> </w:t>
      </w:r>
      <w:r>
        <w:rPr/>
        <w:t>is</w:t>
      </w:r>
      <w:r>
        <w:rPr>
          <w:spacing w:val="-15"/>
        </w:rPr>
        <w:t> </w:t>
      </w:r>
      <w:r>
        <w:rPr/>
        <w:t>to</w:t>
      </w:r>
      <w:r>
        <w:rPr>
          <w:spacing w:val="-16"/>
        </w:rPr>
        <w:t> </w:t>
      </w:r>
      <w:r>
        <w:rPr/>
        <w:t>be</w:t>
      </w:r>
      <w:r>
        <w:rPr>
          <w:spacing w:val="-15"/>
        </w:rPr>
        <w:t> </w:t>
      </w:r>
      <w:r>
        <w:rPr/>
        <w:t>undertaken</w:t>
      </w:r>
      <w:r>
        <w:rPr>
          <w:spacing w:val="-15"/>
        </w:rPr>
        <w:t> </w:t>
      </w:r>
      <w:r>
        <w:rPr/>
        <w:t>on</w:t>
      </w:r>
      <w:r>
        <w:rPr>
          <w:spacing w:val="-15"/>
        </w:rPr>
        <w:t> </w:t>
      </w:r>
      <w:r>
        <w:rPr/>
        <w:t>the</w:t>
      </w:r>
      <w:r>
        <w:rPr>
          <w:spacing w:val="-15"/>
        </w:rPr>
        <w:t> </w:t>
      </w:r>
      <w:r>
        <w:rPr/>
        <w:t>scale</w:t>
      </w:r>
      <w:r>
        <w:rPr>
          <w:spacing w:val="-16"/>
        </w:rPr>
        <w:t> </w:t>
      </w:r>
      <w:r>
        <w:rPr/>
        <w:t>necessary</w:t>
      </w:r>
      <w:r>
        <w:rPr>
          <w:spacing w:val="-15"/>
        </w:rPr>
        <w:t> </w:t>
      </w:r>
      <w:r>
        <w:rPr/>
        <w:t>to</w:t>
      </w:r>
      <w:r>
        <w:rPr>
          <w:spacing w:val="-15"/>
        </w:rPr>
        <w:t> </w:t>
      </w:r>
      <w:r>
        <w:rPr/>
        <w:t>make deep</w:t>
      </w:r>
      <w:r>
        <w:rPr>
          <w:spacing w:val="-20"/>
        </w:rPr>
        <w:t> </w:t>
      </w:r>
      <w:r>
        <w:rPr/>
        <w:t>cuts</w:t>
      </w:r>
      <w:r>
        <w:rPr>
          <w:spacing w:val="-20"/>
        </w:rPr>
        <w:t> </w:t>
      </w:r>
      <w:r>
        <w:rPr/>
        <w:t>to</w:t>
      </w:r>
      <w:r>
        <w:rPr>
          <w:spacing w:val="-20"/>
        </w:rPr>
        <w:t> </w:t>
      </w:r>
      <w:r>
        <w:rPr/>
        <w:t>atmospheric</w:t>
      </w:r>
      <w:r>
        <w:rPr>
          <w:spacing w:val="-20"/>
        </w:rPr>
        <w:t> </w:t>
      </w:r>
      <w:r>
        <w:rPr/>
        <w:t>CO</w:t>
      </w:r>
      <w:r>
        <w:rPr>
          <w:position w:val="-6"/>
          <w:sz w:val="11"/>
        </w:rPr>
        <w:t>2</w:t>
      </w:r>
      <w:r>
        <w:rPr>
          <w:spacing w:val="3"/>
          <w:position w:val="-6"/>
          <w:sz w:val="11"/>
        </w:rPr>
        <w:t> </w:t>
      </w:r>
      <w:r>
        <w:rPr/>
        <w:t>emissions,</w:t>
      </w:r>
      <w:r>
        <w:rPr>
          <w:spacing w:val="-20"/>
        </w:rPr>
        <w:t> </w:t>
      </w:r>
      <w:r>
        <w:rPr/>
        <w:t>there</w:t>
      </w:r>
      <w:r>
        <w:rPr>
          <w:spacing w:val="-20"/>
        </w:rPr>
        <w:t> </w:t>
      </w:r>
      <w:r>
        <w:rPr/>
        <w:t>must</w:t>
      </w:r>
      <w:r>
        <w:rPr>
          <w:spacing w:val="-20"/>
        </w:rPr>
        <w:t> </w:t>
      </w:r>
      <w:r>
        <w:rPr/>
        <w:t>be</w:t>
      </w:r>
      <w:r>
        <w:rPr>
          <w:spacing w:val="-19"/>
        </w:rPr>
        <w:t> </w:t>
      </w:r>
      <w:r>
        <w:rPr/>
        <w:t>hundreds, and perhaps even thousands, of large-scale geological storage projects under way worldwide. The extent to which this is or might be, feasible depends on the answers to the key questions outlined below and addressed subsequently in this</w:t>
      </w:r>
      <w:r>
        <w:rPr>
          <w:spacing w:val="-33"/>
        </w:rPr>
        <w:t> </w:t>
      </w:r>
      <w:r>
        <w:rPr/>
        <w:t>chapter:</w:t>
      </w:r>
    </w:p>
    <w:p>
      <w:pPr>
        <w:spacing w:after="0" w:line="240" w:lineRule="exact"/>
        <w:jc w:val="both"/>
        <w:sectPr>
          <w:type w:val="continuous"/>
          <w:pgSz w:w="12240" w:h="15840"/>
          <w:pgMar w:top="400" w:bottom="280" w:left="580" w:right="600"/>
          <w:cols w:num="2" w:equalWidth="0">
            <w:col w:w="5242" w:space="85"/>
            <w:col w:w="5733"/>
          </w:cols>
        </w:sectPr>
      </w:pPr>
    </w:p>
    <w:p>
      <w:pPr>
        <w:pStyle w:val="BodyText"/>
        <w:spacing w:line="277" w:lineRule="exact" w:before="5"/>
        <w:ind w:left="157"/>
        <w:rPr>
          <w:sz w:val="11"/>
        </w:rPr>
      </w:pPr>
      <w:r>
        <w:rPr/>
        <w:t>injection projects to test CO</w:t>
      </w:r>
      <w:r>
        <w:rPr>
          <w:position w:val="-6"/>
          <w:sz w:val="11"/>
        </w:rPr>
        <w:t>2</w:t>
      </w:r>
    </w:p>
    <w:p>
      <w:pPr>
        <w:pStyle w:val="BodyText"/>
        <w:spacing w:before="5"/>
        <w:ind w:left="16"/>
      </w:pPr>
      <w:r>
        <w:rPr/>
        <w:br w:type="column"/>
      </w:r>
      <w:r>
        <w:rPr/>
        <w:t>storage in coal have been carried</w:t>
      </w:r>
    </w:p>
    <w:p>
      <w:pPr>
        <w:pStyle w:val="ListParagraph"/>
        <w:numPr>
          <w:ilvl w:val="0"/>
          <w:numId w:val="2"/>
        </w:numPr>
        <w:tabs>
          <w:tab w:pos="441" w:val="left" w:leader="none"/>
        </w:tabs>
        <w:spacing w:line="236" w:lineRule="exact" w:before="0" w:after="0"/>
        <w:ind w:left="440" w:right="0" w:hanging="284"/>
        <w:jc w:val="left"/>
        <w:rPr>
          <w:sz w:val="20"/>
        </w:rPr>
      </w:pPr>
      <w:r>
        <w:rPr>
          <w:spacing w:val="-1"/>
          <w:w w:val="100"/>
          <w:sz w:val="20"/>
        </w:rPr>
        <w:br w:type="column"/>
      </w:r>
      <w:r>
        <w:rPr>
          <w:sz w:val="20"/>
        </w:rPr>
        <w:t>How is</w:t>
      </w:r>
      <w:r>
        <w:rPr>
          <w:spacing w:val="3"/>
          <w:sz w:val="20"/>
        </w:rPr>
        <w:t> </w:t>
      </w:r>
      <w:r>
        <w:rPr>
          <w:spacing w:val="-9"/>
          <w:sz w:val="20"/>
        </w:rPr>
        <w:t>CO</w:t>
      </w:r>
    </w:p>
    <w:p>
      <w:pPr>
        <w:pStyle w:val="BodyText"/>
        <w:spacing w:before="5"/>
        <w:ind w:left="120"/>
      </w:pPr>
      <w:r>
        <w:rPr/>
        <w:br w:type="column"/>
      </w:r>
      <w:r>
        <w:rPr/>
        <w:t>stored underground? What happens to the</w:t>
      </w:r>
    </w:p>
    <w:p>
      <w:pPr>
        <w:spacing w:after="0"/>
        <w:sectPr>
          <w:type w:val="continuous"/>
          <w:pgSz w:w="12240" w:h="15840"/>
          <w:pgMar w:top="400" w:bottom="280" w:left="580" w:right="600"/>
          <w:cols w:num="4" w:equalWidth="0">
            <w:col w:w="2486" w:space="40"/>
            <w:col w:w="2716" w:space="85"/>
            <w:col w:w="1446" w:space="39"/>
            <w:col w:w="4248"/>
          </w:cols>
        </w:sectPr>
      </w:pPr>
    </w:p>
    <w:p>
      <w:pPr>
        <w:pStyle w:val="BodyText"/>
        <w:spacing w:line="194" w:lineRule="exact"/>
        <w:ind w:left="157"/>
      </w:pPr>
      <w:r>
        <w:rPr/>
        <w:t>out </w:t>
      </w:r>
      <w:r>
        <w:rPr>
          <w:spacing w:val="9"/>
        </w:rPr>
        <w:t> </w:t>
      </w:r>
      <w:r>
        <w:rPr/>
        <w:t>in </w:t>
      </w:r>
      <w:r>
        <w:rPr>
          <w:spacing w:val="9"/>
        </w:rPr>
        <w:t> </w:t>
      </w:r>
      <w:r>
        <w:rPr/>
        <w:t>Europe </w:t>
      </w:r>
      <w:r>
        <w:rPr>
          <w:spacing w:val="8"/>
        </w:rPr>
        <w:t> </w:t>
      </w:r>
      <w:r>
        <w:rPr/>
        <w:t>(RECOPOL) </w:t>
      </w:r>
      <w:r>
        <w:rPr>
          <w:spacing w:val="9"/>
        </w:rPr>
        <w:t> </w:t>
      </w:r>
      <w:r>
        <w:rPr/>
        <w:t>and </w:t>
      </w:r>
      <w:r>
        <w:rPr>
          <w:spacing w:val="9"/>
        </w:rPr>
        <w:t> </w:t>
      </w:r>
      <w:r>
        <w:rPr/>
        <w:t>Japan </w:t>
      </w:r>
      <w:r>
        <w:rPr>
          <w:spacing w:val="9"/>
        </w:rPr>
        <w:t> </w:t>
      </w:r>
      <w:r>
        <w:rPr/>
        <w:t>(Yamaguchi </w:t>
      </w:r>
      <w:r>
        <w:rPr>
          <w:spacing w:val="9"/>
        </w:rPr>
        <w:t> </w:t>
      </w:r>
      <w:r>
        <w:rPr>
          <w:i/>
        </w:rPr>
        <w:t>et </w:t>
      </w:r>
      <w:r>
        <w:rPr>
          <w:i/>
          <w:spacing w:val="9"/>
        </w:rPr>
        <w:t> </w:t>
      </w:r>
      <w:r>
        <w:rPr>
          <w:i/>
        </w:rPr>
        <w:t>al.</w:t>
      </w:r>
      <w:r>
        <w:rPr/>
        <w:t>,</w:t>
      </w:r>
    </w:p>
    <w:p>
      <w:pPr>
        <w:pStyle w:val="BodyText"/>
        <w:spacing w:before="10"/>
        <w:ind w:left="157"/>
      </w:pPr>
      <w:r>
        <w:rPr/>
        <w:t>2005). A CO</w:t>
      </w:r>
      <w:r>
        <w:rPr>
          <w:position w:val="-6"/>
          <w:sz w:val="11"/>
        </w:rPr>
        <w:t>2</w:t>
      </w:r>
      <w:r>
        <w:rPr/>
        <w:t>-enhanced  coal  bed  methane  (ECBM)</w:t>
      </w:r>
      <w:r>
        <w:rPr>
          <w:spacing w:val="-23"/>
        </w:rPr>
        <w:t> </w:t>
      </w:r>
      <w:r>
        <w:rPr/>
        <w:t>recovery</w:t>
      </w:r>
    </w:p>
    <w:p>
      <w:pPr>
        <w:pStyle w:val="BodyText"/>
        <w:spacing w:line="187" w:lineRule="auto"/>
        <w:ind w:left="157"/>
      </w:pPr>
      <w:r>
        <w:rPr/>
        <w:br w:type="column"/>
      </w:r>
      <w:r>
        <w:rPr/>
        <w:t>CO</w:t>
      </w:r>
      <w:r>
        <w:rPr>
          <w:position w:val="-6"/>
          <w:sz w:val="11"/>
        </w:rPr>
        <w:t>2   </w:t>
      </w:r>
      <w:r>
        <w:rPr/>
        <w:t>when  it  is  injected? What  are  the</w:t>
      </w:r>
      <w:r>
        <w:rPr>
          <w:spacing w:val="3"/>
        </w:rPr>
        <w:t> </w:t>
      </w:r>
      <w:r>
        <w:rPr/>
        <w:t>physico-chemical</w:t>
      </w:r>
    </w:p>
    <w:p>
      <w:pPr>
        <w:pStyle w:val="BodyText"/>
        <w:spacing w:line="210" w:lineRule="exact"/>
        <w:ind w:left="157"/>
      </w:pPr>
      <w:r>
        <w:rPr/>
        <w:t>and</w:t>
      </w:r>
      <w:r>
        <w:rPr>
          <w:spacing w:val="13"/>
        </w:rPr>
        <w:t> </w:t>
      </w:r>
      <w:r>
        <w:rPr/>
        <w:t>chemical</w:t>
      </w:r>
      <w:r>
        <w:rPr>
          <w:spacing w:val="13"/>
        </w:rPr>
        <w:t> </w:t>
      </w:r>
      <w:r>
        <w:rPr/>
        <w:t>processes</w:t>
      </w:r>
      <w:r>
        <w:rPr>
          <w:spacing w:val="13"/>
        </w:rPr>
        <w:t> </w:t>
      </w:r>
      <w:r>
        <w:rPr/>
        <w:t>involved?</w:t>
      </w:r>
      <w:r>
        <w:rPr>
          <w:spacing w:val="9"/>
        </w:rPr>
        <w:t> </w:t>
      </w:r>
      <w:r>
        <w:rPr/>
        <w:t>What</w:t>
      </w:r>
      <w:r>
        <w:rPr>
          <w:spacing w:val="13"/>
        </w:rPr>
        <w:t> </w:t>
      </w:r>
      <w:r>
        <w:rPr/>
        <w:t>are</w:t>
      </w:r>
      <w:r>
        <w:rPr>
          <w:spacing w:val="13"/>
        </w:rPr>
        <w:t> </w:t>
      </w:r>
      <w:r>
        <w:rPr/>
        <w:t>the</w:t>
      </w:r>
      <w:r>
        <w:rPr>
          <w:spacing w:val="13"/>
        </w:rPr>
        <w:t> </w:t>
      </w:r>
      <w:r>
        <w:rPr/>
        <w:t>geological</w:t>
      </w:r>
    </w:p>
    <w:p>
      <w:pPr>
        <w:spacing w:after="0" w:line="210" w:lineRule="exact"/>
        <w:sectPr>
          <w:type w:val="continuous"/>
          <w:pgSz w:w="12240" w:h="15840"/>
          <w:pgMar w:top="400" w:bottom="280" w:left="580" w:right="600"/>
          <w:cols w:num="2" w:equalWidth="0">
            <w:col w:w="5241" w:space="369"/>
            <w:col w:w="5450"/>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28" w:lineRule="exact" w:before="63"/>
        <w:ind w:left="837"/>
      </w:pPr>
      <w:bookmarkStart w:name="5.2 Storage mechanisms and storage secur" w:id="19"/>
      <w:bookmarkEnd w:id="19"/>
      <w:r>
        <w:rPr/>
      </w:r>
      <w:r>
        <w:rPr/>
        <w:t>controls? (Sections 5.2 and 5.3)</w:t>
      </w:r>
    </w:p>
    <w:p>
      <w:pPr>
        <w:pStyle w:val="ListParagraph"/>
        <w:numPr>
          <w:ilvl w:val="1"/>
          <w:numId w:val="2"/>
        </w:numPr>
        <w:tabs>
          <w:tab w:pos="838" w:val="left" w:leader="none"/>
        </w:tabs>
        <w:spacing w:line="249" w:lineRule="auto" w:before="0" w:after="0"/>
        <w:ind w:left="837" w:right="0" w:hanging="284"/>
        <w:jc w:val="left"/>
        <w:rPr>
          <w:sz w:val="20"/>
        </w:rPr>
      </w:pPr>
      <w:r>
        <w:rPr/>
        <w:pict>
          <v:shape style="position:absolute;margin-left:148.359802pt;margin-top:9.011211pt;width:2.95pt;height:5.85pt;mso-position-horizontal-relative:page;mso-position-vertical-relative:paragraph;z-index:-25888768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How long can CO remain stored underground? (Section 5.2)</w:t>
      </w:r>
    </w:p>
    <w:p>
      <w:pPr>
        <w:pStyle w:val="BodyText"/>
        <w:spacing w:line="225" w:lineRule="auto" w:before="71"/>
        <w:ind w:left="244" w:right="134"/>
        <w:jc w:val="both"/>
      </w:pPr>
      <w:r>
        <w:rPr/>
        <w:br w:type="column"/>
      </w:r>
      <w:r>
        <w:rPr/>
        <w:t>allowing CO</w:t>
      </w:r>
      <w:r>
        <w:rPr>
          <w:position w:val="-6"/>
          <w:sz w:val="11"/>
        </w:rPr>
        <w:t>2 </w:t>
      </w:r>
      <w:r>
        <w:rPr/>
        <w:t>to enter the pore spaces initially occupied by the </w:t>
      </w:r>
      <w:r>
        <w:rPr>
          <w:i/>
        </w:rPr>
        <w:t>in situ </w:t>
      </w:r>
      <w:r>
        <w:rPr/>
        <w:t>formation fluids. The amount and spatial distribution  of</w:t>
      </w:r>
      <w:r>
        <w:rPr>
          <w:spacing w:val="26"/>
        </w:rPr>
        <w:t> </w:t>
      </w:r>
      <w:r>
        <w:rPr/>
        <w:t>pressure</w:t>
      </w:r>
      <w:r>
        <w:rPr>
          <w:spacing w:val="27"/>
        </w:rPr>
        <w:t> </w:t>
      </w:r>
      <w:r>
        <w:rPr/>
        <w:t>buildup</w:t>
      </w:r>
      <w:r>
        <w:rPr>
          <w:spacing w:val="27"/>
        </w:rPr>
        <w:t> </w:t>
      </w:r>
      <w:r>
        <w:rPr/>
        <w:t>in</w:t>
      </w:r>
      <w:r>
        <w:rPr>
          <w:spacing w:val="26"/>
        </w:rPr>
        <w:t> </w:t>
      </w:r>
      <w:r>
        <w:rPr/>
        <w:t>the</w:t>
      </w:r>
      <w:r>
        <w:rPr>
          <w:spacing w:val="27"/>
        </w:rPr>
        <w:t> </w:t>
      </w:r>
      <w:r>
        <w:rPr/>
        <w:t>formation</w:t>
      </w:r>
      <w:r>
        <w:rPr>
          <w:spacing w:val="27"/>
        </w:rPr>
        <w:t> </w:t>
      </w:r>
      <w:r>
        <w:rPr/>
        <w:t>will</w:t>
      </w:r>
      <w:r>
        <w:rPr>
          <w:spacing w:val="26"/>
        </w:rPr>
        <w:t> </w:t>
      </w:r>
      <w:r>
        <w:rPr/>
        <w:t>depend</w:t>
      </w:r>
      <w:r>
        <w:rPr>
          <w:spacing w:val="27"/>
        </w:rPr>
        <w:t> </w:t>
      </w:r>
      <w:r>
        <w:rPr/>
        <w:t>on</w:t>
      </w:r>
      <w:r>
        <w:rPr>
          <w:spacing w:val="27"/>
        </w:rPr>
        <w:t> </w:t>
      </w:r>
      <w:r>
        <w:rPr/>
        <w:t>the</w:t>
      </w:r>
      <w:r>
        <w:rPr>
          <w:spacing w:val="27"/>
        </w:rPr>
        <w:t> </w:t>
      </w:r>
      <w:r>
        <w:rPr/>
        <w:t>rate</w:t>
      </w:r>
    </w:p>
    <w:p>
      <w:pPr>
        <w:spacing w:after="0" w:line="225" w:lineRule="auto"/>
        <w:jc w:val="both"/>
        <w:sectPr>
          <w:type w:val="continuous"/>
          <w:pgSz w:w="12240" w:h="15840"/>
          <w:pgMar w:top="400" w:bottom="280" w:left="580" w:right="600"/>
          <w:cols w:num="2" w:equalWidth="0">
            <w:col w:w="5597" w:space="40"/>
            <w:col w:w="5423"/>
          </w:cols>
        </w:sectPr>
      </w:pPr>
    </w:p>
    <w:p>
      <w:pPr>
        <w:pStyle w:val="ListParagraph"/>
        <w:numPr>
          <w:ilvl w:val="1"/>
          <w:numId w:val="2"/>
        </w:numPr>
        <w:tabs>
          <w:tab w:pos="838" w:val="left" w:leader="none"/>
        </w:tabs>
        <w:spacing w:line="229" w:lineRule="exact" w:before="0" w:after="0"/>
        <w:ind w:left="837" w:right="0" w:hanging="285"/>
        <w:jc w:val="left"/>
        <w:rPr>
          <w:sz w:val="20"/>
        </w:rPr>
      </w:pPr>
      <w:r>
        <w:rPr/>
        <w:pict>
          <v:shape style="position:absolute;margin-left:192.975403pt;margin-top:8.222233pt;width:2.95pt;height:5.85pt;mso-position-horizontal-relative:page;mso-position-vertical-relative:paragraph;z-index:-25888665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How much and where can</w:t>
      </w:r>
      <w:r>
        <w:rPr>
          <w:spacing w:val="19"/>
          <w:sz w:val="20"/>
        </w:rPr>
        <w:t> </w:t>
      </w:r>
      <w:r>
        <w:rPr>
          <w:spacing w:val="-6"/>
          <w:sz w:val="20"/>
        </w:rPr>
        <w:t>CO</w:t>
      </w:r>
    </w:p>
    <w:p>
      <w:pPr>
        <w:pStyle w:val="BodyText"/>
        <w:spacing w:line="229" w:lineRule="exact"/>
        <w:ind w:left="73"/>
      </w:pPr>
      <w:r>
        <w:rPr/>
        <w:br w:type="column"/>
      </w:r>
      <w:r>
        <w:rPr/>
        <w:t>be stored in the subsurface,</w:t>
      </w:r>
    </w:p>
    <w:p>
      <w:pPr>
        <w:pStyle w:val="BodyText"/>
        <w:spacing w:line="229" w:lineRule="exact"/>
        <w:ind w:left="244"/>
      </w:pPr>
      <w:r>
        <w:rPr/>
        <w:br w:type="column"/>
      </w:r>
      <w:r>
        <w:rPr/>
        <w:t>of injection, the permeability and thickness of the injection</w:t>
      </w:r>
    </w:p>
    <w:p>
      <w:pPr>
        <w:spacing w:after="0" w:line="229" w:lineRule="exact"/>
        <w:sectPr>
          <w:type w:val="continuous"/>
          <w:pgSz w:w="12240" w:h="15840"/>
          <w:pgMar w:top="400" w:bottom="280" w:left="580" w:right="600"/>
          <w:cols w:num="3" w:equalWidth="0">
            <w:col w:w="3280" w:space="40"/>
            <w:col w:w="2277" w:space="39"/>
            <w:col w:w="5424"/>
          </w:cols>
        </w:sectPr>
      </w:pPr>
    </w:p>
    <w:p>
      <w:pPr>
        <w:pStyle w:val="BodyText"/>
        <w:spacing w:line="240" w:lineRule="exact" w:before="4"/>
        <w:ind w:left="837"/>
        <w:jc w:val="both"/>
      </w:pPr>
      <w:r>
        <w:rPr/>
        <w:t>locally,</w:t>
      </w:r>
      <w:r>
        <w:rPr>
          <w:spacing w:val="-18"/>
        </w:rPr>
        <w:t> </w:t>
      </w:r>
      <w:r>
        <w:rPr/>
        <w:t>regionally,</w:t>
      </w:r>
      <w:r>
        <w:rPr>
          <w:spacing w:val="-18"/>
        </w:rPr>
        <w:t> </w:t>
      </w:r>
      <w:r>
        <w:rPr/>
        <w:t>globally?</w:t>
      </w:r>
      <w:r>
        <w:rPr>
          <w:spacing w:val="-18"/>
        </w:rPr>
        <w:t> </w:t>
      </w:r>
      <w:r>
        <w:rPr/>
        <w:t>Is</w:t>
      </w:r>
      <w:r>
        <w:rPr>
          <w:spacing w:val="-18"/>
        </w:rPr>
        <w:t> </w:t>
      </w:r>
      <w:r>
        <w:rPr/>
        <w:t>it</w:t>
      </w:r>
      <w:r>
        <w:rPr>
          <w:spacing w:val="-18"/>
        </w:rPr>
        <w:t> </w:t>
      </w:r>
      <w:r>
        <w:rPr/>
        <w:t>a</w:t>
      </w:r>
      <w:r>
        <w:rPr>
          <w:spacing w:val="-18"/>
        </w:rPr>
        <w:t> </w:t>
      </w:r>
      <w:r>
        <w:rPr/>
        <w:t>modest</w:t>
      </w:r>
      <w:r>
        <w:rPr>
          <w:spacing w:val="-18"/>
        </w:rPr>
        <w:t> </w:t>
      </w:r>
      <w:r>
        <w:rPr/>
        <w:t>niche</w:t>
      </w:r>
      <w:r>
        <w:rPr>
          <w:spacing w:val="-18"/>
        </w:rPr>
        <w:t> </w:t>
      </w:r>
      <w:r>
        <w:rPr/>
        <w:t>opportunity or is the total storage capacity sufficient to contain a large</w:t>
      </w:r>
      <w:bookmarkStart w:name="5.2.1 CO2 flow and transport processes" w:id="20"/>
      <w:bookmarkEnd w:id="20"/>
      <w:r>
        <w:rPr/>
      </w:r>
      <w:r>
        <w:rPr/>
        <w:t> proportion of the CO</w:t>
      </w:r>
      <w:r>
        <w:rPr>
          <w:position w:val="-6"/>
          <w:sz w:val="11"/>
        </w:rPr>
        <w:t>2 </w:t>
      </w:r>
      <w:r>
        <w:rPr/>
        <w:t>currently emitted to the atmosphere? (Section 5.3)</w:t>
      </w:r>
    </w:p>
    <w:p>
      <w:pPr>
        <w:pStyle w:val="ListParagraph"/>
        <w:numPr>
          <w:ilvl w:val="1"/>
          <w:numId w:val="2"/>
        </w:numPr>
        <w:tabs>
          <w:tab w:pos="838" w:val="left" w:leader="none"/>
        </w:tabs>
        <w:spacing w:line="249" w:lineRule="auto" w:before="0" w:after="0"/>
        <w:ind w:left="837" w:right="1" w:hanging="284"/>
        <w:jc w:val="both"/>
        <w:rPr>
          <w:sz w:val="20"/>
        </w:rPr>
      </w:pPr>
      <w:r>
        <w:rPr/>
        <w:pict>
          <v:shape style="position:absolute;margin-left:235.838104pt;margin-top:9.011211pt;width:2.95pt;height:5.85pt;mso-position-horizontal-relative:page;mso-position-vertical-relative:paragraph;z-index:-25888563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Are</w:t>
      </w:r>
      <w:r>
        <w:rPr>
          <w:spacing w:val="-14"/>
          <w:sz w:val="20"/>
        </w:rPr>
        <w:t> </w:t>
      </w:r>
      <w:r>
        <w:rPr>
          <w:sz w:val="20"/>
        </w:rPr>
        <w:t>there</w:t>
      </w:r>
      <w:r>
        <w:rPr>
          <w:spacing w:val="-13"/>
          <w:sz w:val="20"/>
        </w:rPr>
        <w:t> </w:t>
      </w:r>
      <w:r>
        <w:rPr>
          <w:sz w:val="20"/>
        </w:rPr>
        <w:t>significant</w:t>
      </w:r>
      <w:r>
        <w:rPr>
          <w:spacing w:val="-13"/>
          <w:sz w:val="20"/>
        </w:rPr>
        <w:t> </w:t>
      </w:r>
      <w:r>
        <w:rPr>
          <w:sz w:val="20"/>
        </w:rPr>
        <w:t>opportunities</w:t>
      </w:r>
      <w:r>
        <w:rPr>
          <w:spacing w:val="-14"/>
          <w:sz w:val="20"/>
        </w:rPr>
        <w:t> </w:t>
      </w:r>
      <w:r>
        <w:rPr>
          <w:sz w:val="20"/>
        </w:rPr>
        <w:t>for</w:t>
      </w:r>
      <w:r>
        <w:rPr>
          <w:spacing w:val="-12"/>
          <w:sz w:val="20"/>
        </w:rPr>
        <w:t> </w:t>
      </w:r>
      <w:r>
        <w:rPr>
          <w:sz w:val="20"/>
        </w:rPr>
        <w:t>CO</w:t>
      </w:r>
      <w:r>
        <w:rPr>
          <w:spacing w:val="5"/>
          <w:sz w:val="20"/>
        </w:rPr>
        <w:t> </w:t>
      </w:r>
      <w:r>
        <w:rPr>
          <w:sz w:val="20"/>
        </w:rPr>
        <w:t>-enhanced</w:t>
      </w:r>
      <w:r>
        <w:rPr>
          <w:spacing w:val="-14"/>
          <w:sz w:val="20"/>
        </w:rPr>
        <w:t> </w:t>
      </w:r>
      <w:r>
        <w:rPr>
          <w:sz w:val="20"/>
        </w:rPr>
        <w:t>oil</w:t>
      </w:r>
      <w:r>
        <w:rPr>
          <w:spacing w:val="-12"/>
          <w:sz w:val="20"/>
        </w:rPr>
        <w:t> </w:t>
      </w:r>
      <w:r>
        <w:rPr>
          <w:sz w:val="20"/>
        </w:rPr>
        <w:t>and gas recovery? (Section 5.3)</w:t>
      </w:r>
    </w:p>
    <w:p>
      <w:pPr>
        <w:pStyle w:val="ListParagraph"/>
        <w:numPr>
          <w:ilvl w:val="1"/>
          <w:numId w:val="2"/>
        </w:numPr>
        <w:tabs>
          <w:tab w:pos="838" w:val="left" w:leader="none"/>
        </w:tabs>
        <w:spacing w:line="231" w:lineRule="exact" w:before="0" w:after="0"/>
        <w:ind w:left="837" w:right="0" w:hanging="285"/>
        <w:jc w:val="both"/>
        <w:rPr>
          <w:sz w:val="20"/>
        </w:rPr>
      </w:pPr>
      <w:r>
        <w:rPr>
          <w:sz w:val="20"/>
        </w:rPr>
        <w:t>How</w:t>
      </w:r>
      <w:r>
        <w:rPr>
          <w:spacing w:val="26"/>
          <w:sz w:val="20"/>
        </w:rPr>
        <w:t> </w:t>
      </w:r>
      <w:r>
        <w:rPr>
          <w:sz w:val="20"/>
        </w:rPr>
        <w:t>is</w:t>
      </w:r>
      <w:r>
        <w:rPr>
          <w:spacing w:val="27"/>
          <w:sz w:val="20"/>
        </w:rPr>
        <w:t> </w:t>
      </w:r>
      <w:r>
        <w:rPr>
          <w:sz w:val="20"/>
        </w:rPr>
        <w:t>a</w:t>
      </w:r>
      <w:r>
        <w:rPr>
          <w:spacing w:val="27"/>
          <w:sz w:val="20"/>
        </w:rPr>
        <w:t> </w:t>
      </w:r>
      <w:r>
        <w:rPr>
          <w:sz w:val="20"/>
        </w:rPr>
        <w:t>suitable</w:t>
      </w:r>
      <w:r>
        <w:rPr>
          <w:spacing w:val="27"/>
          <w:sz w:val="20"/>
        </w:rPr>
        <w:t> </w:t>
      </w:r>
      <w:r>
        <w:rPr>
          <w:sz w:val="20"/>
        </w:rPr>
        <w:t>storage</w:t>
      </w:r>
      <w:r>
        <w:rPr>
          <w:spacing w:val="27"/>
          <w:sz w:val="20"/>
        </w:rPr>
        <w:t> </w:t>
      </w:r>
      <w:r>
        <w:rPr>
          <w:sz w:val="20"/>
        </w:rPr>
        <w:t>site</w:t>
      </w:r>
      <w:r>
        <w:rPr>
          <w:spacing w:val="27"/>
          <w:sz w:val="20"/>
        </w:rPr>
        <w:t> </w:t>
      </w:r>
      <w:r>
        <w:rPr>
          <w:sz w:val="20"/>
        </w:rPr>
        <w:t>identified</w:t>
      </w:r>
      <w:r>
        <w:rPr>
          <w:spacing w:val="27"/>
          <w:sz w:val="20"/>
        </w:rPr>
        <w:t> </w:t>
      </w:r>
      <w:r>
        <w:rPr>
          <w:sz w:val="20"/>
        </w:rPr>
        <w:t>and</w:t>
      </w:r>
      <w:r>
        <w:rPr>
          <w:spacing w:val="27"/>
          <w:sz w:val="20"/>
        </w:rPr>
        <w:t> </w:t>
      </w:r>
      <w:r>
        <w:rPr>
          <w:sz w:val="20"/>
        </w:rPr>
        <w:t>what</w:t>
      </w:r>
      <w:r>
        <w:rPr>
          <w:spacing w:val="27"/>
          <w:sz w:val="20"/>
        </w:rPr>
        <w:t> </w:t>
      </w:r>
      <w:r>
        <w:rPr>
          <w:sz w:val="20"/>
        </w:rPr>
        <w:t>are</w:t>
      </w:r>
      <w:r>
        <w:rPr>
          <w:spacing w:val="27"/>
          <w:sz w:val="20"/>
        </w:rPr>
        <w:t> </w:t>
      </w:r>
      <w:r>
        <w:rPr>
          <w:sz w:val="20"/>
        </w:rPr>
        <w:t>its</w:t>
      </w:r>
    </w:p>
    <w:p>
      <w:pPr>
        <w:pStyle w:val="BodyText"/>
        <w:spacing w:line="228" w:lineRule="exact"/>
        <w:ind w:left="837"/>
        <w:jc w:val="both"/>
      </w:pPr>
      <w:r>
        <w:rPr/>
        <w:t>geological characteristics? (see Section 5.4)</w:t>
      </w:r>
    </w:p>
    <w:p>
      <w:pPr>
        <w:pStyle w:val="ListParagraph"/>
        <w:numPr>
          <w:ilvl w:val="1"/>
          <w:numId w:val="2"/>
        </w:numPr>
        <w:tabs>
          <w:tab w:pos="838" w:val="left" w:leader="none"/>
        </w:tabs>
        <w:spacing w:line="240" w:lineRule="exact" w:before="7" w:after="0"/>
        <w:ind w:left="837" w:right="0" w:hanging="284"/>
        <w:jc w:val="left"/>
        <w:rPr>
          <w:sz w:val="20"/>
        </w:rPr>
      </w:pPr>
      <w:r>
        <w:rPr>
          <w:sz w:val="20"/>
        </w:rPr>
        <w:t>What technologies are currently available for geological storage of CO</w:t>
      </w:r>
      <w:r>
        <w:rPr>
          <w:position w:val="-6"/>
          <w:sz w:val="11"/>
        </w:rPr>
        <w:t>2</w:t>
      </w:r>
      <w:r>
        <w:rPr>
          <w:sz w:val="20"/>
        </w:rPr>
        <w:t>? (Section</w:t>
      </w:r>
      <w:r>
        <w:rPr>
          <w:spacing w:val="-2"/>
          <w:sz w:val="20"/>
        </w:rPr>
        <w:t> </w:t>
      </w:r>
      <w:r>
        <w:rPr>
          <w:sz w:val="20"/>
        </w:rPr>
        <w:t>5.5)</w:t>
      </w:r>
    </w:p>
    <w:p>
      <w:pPr>
        <w:pStyle w:val="ListParagraph"/>
        <w:numPr>
          <w:ilvl w:val="1"/>
          <w:numId w:val="2"/>
        </w:numPr>
        <w:tabs>
          <w:tab w:pos="838" w:val="left" w:leader="none"/>
        </w:tabs>
        <w:spacing w:line="249" w:lineRule="auto" w:before="0" w:after="0"/>
        <w:ind w:left="837" w:right="0" w:hanging="284"/>
        <w:jc w:val="left"/>
        <w:rPr>
          <w:sz w:val="20"/>
        </w:rPr>
      </w:pPr>
      <w:r>
        <w:rPr/>
        <w:pict>
          <v:shape style="position:absolute;margin-left:150.522705pt;margin-top:9.011211pt;width:2.95pt;height:5.85pt;mso-position-horizontal-relative:page;mso-position-vertical-relative:paragraph;z-index:-25888460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Can</w:t>
      </w:r>
      <w:r>
        <w:rPr>
          <w:spacing w:val="-9"/>
          <w:sz w:val="20"/>
        </w:rPr>
        <w:t> </w:t>
      </w:r>
      <w:r>
        <w:rPr>
          <w:sz w:val="20"/>
        </w:rPr>
        <w:t>we</w:t>
      </w:r>
      <w:r>
        <w:rPr>
          <w:spacing w:val="-9"/>
          <w:sz w:val="20"/>
        </w:rPr>
        <w:t> </w:t>
      </w:r>
      <w:r>
        <w:rPr>
          <w:sz w:val="20"/>
        </w:rPr>
        <w:t>monitor</w:t>
      </w:r>
      <w:r>
        <w:rPr>
          <w:spacing w:val="-8"/>
          <w:sz w:val="20"/>
        </w:rPr>
        <w:t> </w:t>
      </w:r>
      <w:r>
        <w:rPr>
          <w:sz w:val="20"/>
        </w:rPr>
        <w:t>CO</w:t>
      </w:r>
      <w:r>
        <w:rPr>
          <w:spacing w:val="48"/>
          <w:sz w:val="20"/>
        </w:rPr>
        <w:t> </w:t>
      </w:r>
      <w:r>
        <w:rPr>
          <w:sz w:val="20"/>
        </w:rPr>
        <w:t>once</w:t>
      </w:r>
      <w:r>
        <w:rPr>
          <w:spacing w:val="-8"/>
          <w:sz w:val="20"/>
        </w:rPr>
        <w:t> </w:t>
      </w:r>
      <w:r>
        <w:rPr>
          <w:sz w:val="20"/>
        </w:rPr>
        <w:t>it</w:t>
      </w:r>
      <w:r>
        <w:rPr>
          <w:spacing w:val="-9"/>
          <w:sz w:val="20"/>
        </w:rPr>
        <w:t> </w:t>
      </w:r>
      <w:r>
        <w:rPr>
          <w:sz w:val="20"/>
        </w:rPr>
        <w:t>is</w:t>
      </w:r>
      <w:r>
        <w:rPr>
          <w:spacing w:val="-9"/>
          <w:sz w:val="20"/>
        </w:rPr>
        <w:t> </w:t>
      </w:r>
      <w:r>
        <w:rPr>
          <w:sz w:val="20"/>
        </w:rPr>
        <w:t>geologically</w:t>
      </w:r>
      <w:r>
        <w:rPr>
          <w:spacing w:val="-8"/>
          <w:sz w:val="20"/>
        </w:rPr>
        <w:t> </w:t>
      </w:r>
      <w:r>
        <w:rPr>
          <w:sz w:val="20"/>
        </w:rPr>
        <w:t>stored?</w:t>
      </w:r>
      <w:r>
        <w:rPr>
          <w:spacing w:val="-9"/>
          <w:sz w:val="20"/>
        </w:rPr>
        <w:t> </w:t>
      </w:r>
      <w:r>
        <w:rPr>
          <w:sz w:val="20"/>
        </w:rPr>
        <w:t>(Section 5.6)</w:t>
      </w:r>
    </w:p>
    <w:p>
      <w:pPr>
        <w:pStyle w:val="ListParagraph"/>
        <w:numPr>
          <w:ilvl w:val="1"/>
          <w:numId w:val="2"/>
        </w:numPr>
        <w:tabs>
          <w:tab w:pos="838" w:val="left" w:leader="none"/>
        </w:tabs>
        <w:spacing w:line="231" w:lineRule="exact" w:before="0" w:after="0"/>
        <w:ind w:left="837" w:right="0" w:hanging="285"/>
        <w:jc w:val="left"/>
        <w:rPr>
          <w:sz w:val="20"/>
        </w:rPr>
      </w:pPr>
      <w:r>
        <w:rPr>
          <w:sz w:val="20"/>
        </w:rPr>
        <w:t>Will a storage site leak and what would be the</w:t>
      </w:r>
      <w:r>
        <w:rPr>
          <w:spacing w:val="36"/>
          <w:sz w:val="20"/>
        </w:rPr>
        <w:t> </w:t>
      </w:r>
      <w:r>
        <w:rPr>
          <w:sz w:val="20"/>
        </w:rPr>
        <w:t>likely</w:t>
      </w:r>
    </w:p>
    <w:p>
      <w:pPr>
        <w:pStyle w:val="BodyText"/>
        <w:spacing w:line="228" w:lineRule="exact"/>
        <w:ind w:left="837"/>
        <w:jc w:val="both"/>
      </w:pPr>
      <w:r>
        <w:rPr/>
        <w:t>consequences? (Sections 5.6 and 5.7)</w:t>
      </w:r>
    </w:p>
    <w:p>
      <w:pPr>
        <w:pStyle w:val="ListParagraph"/>
        <w:numPr>
          <w:ilvl w:val="1"/>
          <w:numId w:val="2"/>
        </w:numPr>
        <w:tabs>
          <w:tab w:pos="838" w:val="left" w:leader="none"/>
        </w:tabs>
        <w:spacing w:line="237" w:lineRule="exact" w:before="0" w:after="0"/>
        <w:ind w:left="837" w:right="0" w:hanging="285"/>
        <w:jc w:val="left"/>
        <w:rPr>
          <w:sz w:val="20"/>
        </w:rPr>
      </w:pPr>
      <w:r>
        <w:rPr/>
        <w:pict>
          <v:shape style="position:absolute;margin-left:110.882698pt;margin-top:8.902813pt;width:2.95pt;height:5.85pt;mso-position-horizontal-relative:page;mso-position-vertical-relative:paragraph;z-index:-25888358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Can a CO storage site be remediated if something does</w:t>
      </w:r>
      <w:r>
        <w:rPr>
          <w:spacing w:val="42"/>
          <w:sz w:val="20"/>
        </w:rPr>
        <w:t> </w:t>
      </w:r>
      <w:r>
        <w:rPr>
          <w:sz w:val="20"/>
        </w:rPr>
        <w:t>go</w:t>
      </w:r>
    </w:p>
    <w:p>
      <w:pPr>
        <w:pStyle w:val="BodyText"/>
        <w:spacing w:line="249" w:lineRule="auto" w:before="9"/>
        <w:ind w:left="241" w:right="135"/>
        <w:jc w:val="both"/>
      </w:pPr>
      <w:r>
        <w:rPr/>
        <w:br w:type="column"/>
      </w:r>
      <w:r>
        <w:rPr/>
        <w:t>formation, the presence or absence of permeability barriers within it and the geometry of the regional underground water (hydrogeological) system.</w:t>
      </w:r>
    </w:p>
    <w:p>
      <w:pPr>
        <w:pStyle w:val="BodyText"/>
        <w:spacing w:before="2"/>
        <w:ind w:left="525"/>
        <w:jc w:val="both"/>
      </w:pPr>
      <w:r>
        <w:rPr/>
        <w:t>Once injected into the formation, the primary flow and</w:t>
      </w:r>
    </w:p>
    <w:p>
      <w:pPr>
        <w:pStyle w:val="BodyText"/>
        <w:spacing w:line="253" w:lineRule="exact" w:before="11"/>
        <w:ind w:left="241"/>
        <w:jc w:val="both"/>
      </w:pPr>
      <w:r>
        <w:rPr/>
        <w:t>transport mechanisms that control the spread of CO</w:t>
      </w:r>
      <w:r>
        <w:rPr>
          <w:position w:val="-6"/>
          <w:sz w:val="11"/>
        </w:rPr>
        <w:t>2 </w:t>
      </w:r>
      <w:r>
        <w:rPr/>
        <w:t>include:</w:t>
      </w:r>
    </w:p>
    <w:p>
      <w:pPr>
        <w:pStyle w:val="ListParagraph"/>
        <w:numPr>
          <w:ilvl w:val="0"/>
          <w:numId w:val="3"/>
        </w:numPr>
        <w:tabs>
          <w:tab w:pos="526" w:val="left" w:leader="none"/>
        </w:tabs>
        <w:spacing w:line="218" w:lineRule="exact" w:before="0" w:after="0"/>
        <w:ind w:left="525" w:right="0" w:hanging="285"/>
        <w:jc w:val="left"/>
        <w:rPr>
          <w:sz w:val="20"/>
        </w:rPr>
      </w:pPr>
      <w:r>
        <w:rPr>
          <w:sz w:val="20"/>
        </w:rPr>
        <w:t>Fluid flow (migration) in response to pressure</w:t>
      </w:r>
      <w:r>
        <w:rPr>
          <w:spacing w:val="-7"/>
          <w:sz w:val="20"/>
        </w:rPr>
        <w:t> </w:t>
      </w:r>
      <w:r>
        <w:rPr>
          <w:sz w:val="20"/>
        </w:rPr>
        <w:t>gradients</w:t>
      </w:r>
    </w:p>
    <w:p>
      <w:pPr>
        <w:pStyle w:val="BodyText"/>
        <w:spacing w:line="228" w:lineRule="exact" w:before="9"/>
        <w:ind w:left="525"/>
        <w:jc w:val="both"/>
      </w:pPr>
      <w:r>
        <w:rPr/>
        <w:t>created by the injection process;</w:t>
      </w:r>
    </w:p>
    <w:p>
      <w:pPr>
        <w:pStyle w:val="ListParagraph"/>
        <w:numPr>
          <w:ilvl w:val="0"/>
          <w:numId w:val="3"/>
        </w:numPr>
        <w:tabs>
          <w:tab w:pos="526" w:val="left" w:leader="none"/>
        </w:tabs>
        <w:spacing w:line="240" w:lineRule="exact" w:before="0" w:after="0"/>
        <w:ind w:left="525" w:right="0" w:hanging="285"/>
        <w:jc w:val="left"/>
        <w:rPr>
          <w:sz w:val="20"/>
        </w:rPr>
      </w:pPr>
      <w:r>
        <w:rPr>
          <w:sz w:val="20"/>
        </w:rPr>
        <w:t>Fluid flow in response to natural hydraulic</w:t>
      </w:r>
      <w:r>
        <w:rPr>
          <w:spacing w:val="-9"/>
          <w:sz w:val="20"/>
        </w:rPr>
        <w:t> </w:t>
      </w:r>
      <w:r>
        <w:rPr>
          <w:sz w:val="20"/>
        </w:rPr>
        <w:t>gradients;</w:t>
      </w:r>
    </w:p>
    <w:p>
      <w:pPr>
        <w:pStyle w:val="ListParagraph"/>
        <w:numPr>
          <w:ilvl w:val="0"/>
          <w:numId w:val="3"/>
        </w:numPr>
        <w:tabs>
          <w:tab w:pos="526" w:val="left" w:leader="none"/>
        </w:tabs>
        <w:spacing w:line="243" w:lineRule="exact" w:before="0" w:after="0"/>
        <w:ind w:left="525" w:right="0" w:hanging="285"/>
        <w:jc w:val="left"/>
        <w:rPr>
          <w:sz w:val="20"/>
        </w:rPr>
      </w:pPr>
      <w:r>
        <w:rPr/>
        <w:pict>
          <v:shape style="position:absolute;margin-left:572.234619pt;margin-top:8.885723pt;width:2.95pt;height:5.85pt;mso-position-horizontal-relative:page;mso-position-vertical-relative:paragraph;z-index:25167872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Buoyancy</w:t>
      </w:r>
      <w:r>
        <w:rPr>
          <w:spacing w:val="19"/>
          <w:sz w:val="20"/>
        </w:rPr>
        <w:t> </w:t>
      </w:r>
      <w:r>
        <w:rPr>
          <w:sz w:val="20"/>
        </w:rPr>
        <w:t>caused</w:t>
      </w:r>
      <w:r>
        <w:rPr>
          <w:spacing w:val="20"/>
          <w:sz w:val="20"/>
        </w:rPr>
        <w:t> </w:t>
      </w:r>
      <w:r>
        <w:rPr>
          <w:sz w:val="20"/>
        </w:rPr>
        <w:t>by</w:t>
      </w:r>
      <w:r>
        <w:rPr>
          <w:spacing w:val="19"/>
          <w:sz w:val="20"/>
        </w:rPr>
        <w:t> </w:t>
      </w:r>
      <w:r>
        <w:rPr>
          <w:sz w:val="20"/>
        </w:rPr>
        <w:t>the</w:t>
      </w:r>
      <w:r>
        <w:rPr>
          <w:spacing w:val="20"/>
          <w:sz w:val="20"/>
        </w:rPr>
        <w:t> </w:t>
      </w:r>
      <w:r>
        <w:rPr>
          <w:sz w:val="20"/>
        </w:rPr>
        <w:t>density</w:t>
      </w:r>
      <w:r>
        <w:rPr>
          <w:spacing w:val="20"/>
          <w:sz w:val="20"/>
        </w:rPr>
        <w:t> </w:t>
      </w:r>
      <w:r>
        <w:rPr>
          <w:sz w:val="20"/>
        </w:rPr>
        <w:t>differences</w:t>
      </w:r>
      <w:r>
        <w:rPr>
          <w:spacing w:val="19"/>
          <w:sz w:val="20"/>
        </w:rPr>
        <w:t> </w:t>
      </w:r>
      <w:r>
        <w:rPr>
          <w:sz w:val="20"/>
        </w:rPr>
        <w:t>between</w:t>
      </w:r>
      <w:r>
        <w:rPr>
          <w:spacing w:val="20"/>
          <w:sz w:val="20"/>
        </w:rPr>
        <w:t> </w:t>
      </w:r>
      <w:r>
        <w:rPr>
          <w:sz w:val="20"/>
        </w:rPr>
        <w:t>CO</w:t>
      </w:r>
    </w:p>
    <w:p>
      <w:pPr>
        <w:pStyle w:val="BodyText"/>
        <w:spacing w:line="228" w:lineRule="exact" w:before="9"/>
        <w:ind w:left="525"/>
        <w:jc w:val="both"/>
      </w:pPr>
      <w:r>
        <w:rPr/>
        <w:t>and the formation fluids;</w:t>
      </w:r>
    </w:p>
    <w:p>
      <w:pPr>
        <w:pStyle w:val="ListParagraph"/>
        <w:numPr>
          <w:ilvl w:val="0"/>
          <w:numId w:val="3"/>
        </w:numPr>
        <w:tabs>
          <w:tab w:pos="526" w:val="left" w:leader="none"/>
        </w:tabs>
        <w:spacing w:line="240" w:lineRule="exact" w:before="0" w:after="0"/>
        <w:ind w:left="525" w:right="0" w:hanging="285"/>
        <w:jc w:val="left"/>
        <w:rPr>
          <w:sz w:val="20"/>
        </w:rPr>
      </w:pPr>
      <w:r>
        <w:rPr>
          <w:sz w:val="20"/>
        </w:rPr>
        <w:t>Diffusion;</w:t>
      </w:r>
    </w:p>
    <w:p>
      <w:pPr>
        <w:pStyle w:val="ListParagraph"/>
        <w:numPr>
          <w:ilvl w:val="0"/>
          <w:numId w:val="3"/>
        </w:numPr>
        <w:tabs>
          <w:tab w:pos="526" w:val="left" w:leader="none"/>
        </w:tabs>
        <w:spacing w:line="243" w:lineRule="exact" w:before="0" w:after="0"/>
        <w:ind w:left="525" w:right="0" w:hanging="285"/>
        <w:jc w:val="left"/>
        <w:rPr>
          <w:sz w:val="20"/>
        </w:rPr>
      </w:pPr>
      <w:r>
        <w:rPr>
          <w:sz w:val="20"/>
        </w:rPr>
        <w:t>Dispersion</w:t>
      </w:r>
      <w:r>
        <w:rPr>
          <w:spacing w:val="-31"/>
          <w:sz w:val="20"/>
        </w:rPr>
        <w:t> </w:t>
      </w:r>
      <w:r>
        <w:rPr>
          <w:sz w:val="20"/>
        </w:rPr>
        <w:t>and</w:t>
      </w:r>
      <w:r>
        <w:rPr>
          <w:spacing w:val="-29"/>
          <w:sz w:val="20"/>
        </w:rPr>
        <w:t> </w:t>
      </w:r>
      <w:r>
        <w:rPr>
          <w:sz w:val="20"/>
        </w:rPr>
        <w:t>fingering</w:t>
      </w:r>
      <w:r>
        <w:rPr>
          <w:spacing w:val="-30"/>
          <w:sz w:val="20"/>
        </w:rPr>
        <w:t> </w:t>
      </w:r>
      <w:r>
        <w:rPr>
          <w:sz w:val="20"/>
        </w:rPr>
        <w:t>caused</w:t>
      </w:r>
      <w:r>
        <w:rPr>
          <w:spacing w:val="-29"/>
          <w:sz w:val="20"/>
        </w:rPr>
        <w:t> </w:t>
      </w:r>
      <w:r>
        <w:rPr>
          <w:sz w:val="20"/>
        </w:rPr>
        <w:t>by</w:t>
      </w:r>
      <w:r>
        <w:rPr>
          <w:spacing w:val="-29"/>
          <w:sz w:val="20"/>
        </w:rPr>
        <w:t> </w:t>
      </w:r>
      <w:r>
        <w:rPr>
          <w:sz w:val="20"/>
        </w:rPr>
        <w:t>formation</w:t>
      </w:r>
      <w:r>
        <w:rPr>
          <w:spacing w:val="-29"/>
          <w:sz w:val="20"/>
        </w:rPr>
        <w:t> </w:t>
      </w:r>
      <w:r>
        <w:rPr>
          <w:sz w:val="20"/>
        </w:rPr>
        <w:t>heterogeneities</w:t>
      </w:r>
    </w:p>
    <w:p>
      <w:pPr>
        <w:pStyle w:val="BodyText"/>
        <w:spacing w:line="253" w:lineRule="exact" w:before="10"/>
        <w:ind w:left="525"/>
      </w:pPr>
      <w:r>
        <w:rPr/>
        <w:t>and mobility contrast between CO</w:t>
      </w:r>
      <w:r>
        <w:rPr>
          <w:position w:val="-6"/>
          <w:sz w:val="11"/>
        </w:rPr>
        <w:t>2 </w:t>
      </w:r>
      <w:r>
        <w:rPr/>
        <w:t>and formation fluid;</w:t>
      </w:r>
    </w:p>
    <w:p>
      <w:pPr>
        <w:pStyle w:val="ListParagraph"/>
        <w:numPr>
          <w:ilvl w:val="0"/>
          <w:numId w:val="3"/>
        </w:numPr>
        <w:tabs>
          <w:tab w:pos="526" w:val="left" w:leader="none"/>
        </w:tabs>
        <w:spacing w:line="215" w:lineRule="exact" w:before="0" w:after="0"/>
        <w:ind w:left="525" w:right="0" w:hanging="285"/>
        <w:jc w:val="left"/>
        <w:rPr>
          <w:sz w:val="20"/>
        </w:rPr>
      </w:pPr>
      <w:r>
        <w:rPr>
          <w:sz w:val="20"/>
        </w:rPr>
        <w:t>Dissolution into the formation</w:t>
      </w:r>
      <w:r>
        <w:rPr>
          <w:spacing w:val="-4"/>
          <w:sz w:val="20"/>
        </w:rPr>
        <w:t> </w:t>
      </w:r>
      <w:r>
        <w:rPr>
          <w:sz w:val="20"/>
        </w:rPr>
        <w:t>fluid;</w:t>
      </w:r>
    </w:p>
    <w:p>
      <w:pPr>
        <w:pStyle w:val="ListParagraph"/>
        <w:numPr>
          <w:ilvl w:val="0"/>
          <w:numId w:val="3"/>
        </w:numPr>
        <w:tabs>
          <w:tab w:pos="526" w:val="left" w:leader="none"/>
        </w:tabs>
        <w:spacing w:line="237" w:lineRule="exact" w:before="0" w:after="0"/>
        <w:ind w:left="525" w:right="0" w:hanging="285"/>
        <w:jc w:val="left"/>
        <w:rPr>
          <w:sz w:val="20"/>
        </w:rPr>
      </w:pPr>
      <w:r>
        <w:rPr>
          <w:sz w:val="20"/>
        </w:rPr>
        <w:t>Mineralization;</w:t>
      </w:r>
    </w:p>
    <w:p>
      <w:pPr>
        <w:spacing w:after="0" w:line="237" w:lineRule="exact"/>
        <w:jc w:val="left"/>
        <w:rPr>
          <w:sz w:val="20"/>
        </w:rPr>
        <w:sectPr>
          <w:type w:val="continuous"/>
          <w:pgSz w:w="12240" w:h="15840"/>
          <w:pgMar w:top="400" w:bottom="280" w:left="580" w:right="600"/>
          <w:cols w:num="2" w:equalWidth="0">
            <w:col w:w="5599" w:space="40"/>
            <w:col w:w="5421"/>
          </w:cols>
        </w:sectPr>
      </w:pPr>
    </w:p>
    <w:p>
      <w:pPr>
        <w:pStyle w:val="BodyText"/>
        <w:spacing w:line="228" w:lineRule="exact" w:before="15"/>
        <w:ind w:left="837"/>
      </w:pPr>
      <w:r>
        <w:rPr/>
        <w:t>wrong? (Sections 5.6 and 5.7)</w:t>
      </w:r>
    </w:p>
    <w:p>
      <w:pPr>
        <w:pStyle w:val="ListParagraph"/>
        <w:numPr>
          <w:ilvl w:val="1"/>
          <w:numId w:val="3"/>
        </w:numPr>
        <w:tabs>
          <w:tab w:pos="838" w:val="left" w:leader="none"/>
        </w:tabs>
        <w:spacing w:line="249" w:lineRule="auto" w:before="0" w:after="0"/>
        <w:ind w:left="837" w:right="1" w:hanging="284"/>
        <w:jc w:val="left"/>
        <w:rPr>
          <w:sz w:val="20"/>
        </w:rPr>
      </w:pPr>
      <w:r>
        <w:rPr>
          <w:sz w:val="20"/>
        </w:rPr>
        <w:t>Can a geological storage site be operated safely and if so, how? (Section 5.7)</w:t>
      </w:r>
    </w:p>
    <w:p>
      <w:pPr>
        <w:pStyle w:val="ListParagraph"/>
        <w:numPr>
          <w:ilvl w:val="1"/>
          <w:numId w:val="3"/>
        </w:numPr>
        <w:tabs>
          <w:tab w:pos="838" w:val="left" w:leader="none"/>
        </w:tabs>
        <w:spacing w:line="231" w:lineRule="exact" w:before="0" w:after="0"/>
        <w:ind w:left="837" w:right="0" w:hanging="285"/>
        <w:jc w:val="left"/>
        <w:rPr>
          <w:sz w:val="20"/>
        </w:rPr>
      </w:pPr>
      <w:r>
        <w:rPr>
          <w:sz w:val="20"/>
        </w:rPr>
        <w:t>Are there legal and regulatory issues for geological</w:t>
      </w:r>
      <w:r>
        <w:rPr>
          <w:spacing w:val="23"/>
          <w:sz w:val="20"/>
        </w:rPr>
        <w:t> </w:t>
      </w:r>
      <w:r>
        <w:rPr>
          <w:sz w:val="20"/>
        </w:rPr>
        <w:t>storage</w:t>
      </w:r>
    </w:p>
    <w:p>
      <w:pPr>
        <w:pStyle w:val="BodyText"/>
        <w:spacing w:line="249" w:lineRule="auto" w:before="7"/>
        <w:ind w:left="837"/>
      </w:pPr>
      <w:r>
        <w:rPr/>
        <w:t>and is there a legal/regulatory framework that enables it to be undertaken? (Section 5.8)</w:t>
      </w:r>
    </w:p>
    <w:p>
      <w:pPr>
        <w:pStyle w:val="ListParagraph"/>
        <w:numPr>
          <w:ilvl w:val="1"/>
          <w:numId w:val="3"/>
        </w:numPr>
        <w:tabs>
          <w:tab w:pos="838" w:val="left" w:leader="none"/>
        </w:tabs>
        <w:spacing w:line="232" w:lineRule="exact" w:before="0" w:after="0"/>
        <w:ind w:left="837" w:right="0" w:hanging="285"/>
        <w:jc w:val="left"/>
        <w:rPr>
          <w:sz w:val="20"/>
        </w:rPr>
      </w:pPr>
      <w:r>
        <w:rPr/>
        <w:pict>
          <v:shape style="position:absolute;margin-left:266.477295pt;margin-top:8.375469pt;width:2.95pt;height:5.85pt;mso-position-horizontal-relative:page;mso-position-vertical-relative:paragraph;z-index:-25888256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What</w:t>
      </w:r>
      <w:r>
        <w:rPr>
          <w:spacing w:val="-18"/>
          <w:sz w:val="20"/>
        </w:rPr>
        <w:t> </w:t>
      </w:r>
      <w:r>
        <w:rPr>
          <w:sz w:val="20"/>
        </w:rPr>
        <w:t>is</w:t>
      </w:r>
      <w:r>
        <w:rPr>
          <w:spacing w:val="-17"/>
          <w:sz w:val="20"/>
        </w:rPr>
        <w:t> </w:t>
      </w:r>
      <w:r>
        <w:rPr>
          <w:sz w:val="20"/>
        </w:rPr>
        <w:t>the</w:t>
      </w:r>
      <w:r>
        <w:rPr>
          <w:spacing w:val="-18"/>
          <w:sz w:val="20"/>
        </w:rPr>
        <w:t> </w:t>
      </w:r>
      <w:r>
        <w:rPr>
          <w:sz w:val="20"/>
        </w:rPr>
        <w:t>likely</w:t>
      </w:r>
      <w:r>
        <w:rPr>
          <w:spacing w:val="-17"/>
          <w:sz w:val="20"/>
        </w:rPr>
        <w:t> </w:t>
      </w:r>
      <w:r>
        <w:rPr>
          <w:sz w:val="20"/>
        </w:rPr>
        <w:t>cost</w:t>
      </w:r>
      <w:r>
        <w:rPr>
          <w:spacing w:val="-18"/>
          <w:sz w:val="20"/>
        </w:rPr>
        <w:t> </w:t>
      </w:r>
      <w:r>
        <w:rPr>
          <w:sz w:val="20"/>
        </w:rPr>
        <w:t>of</w:t>
      </w:r>
      <w:r>
        <w:rPr>
          <w:spacing w:val="-17"/>
          <w:sz w:val="20"/>
        </w:rPr>
        <w:t> </w:t>
      </w:r>
      <w:r>
        <w:rPr>
          <w:sz w:val="20"/>
        </w:rPr>
        <w:t>geological</w:t>
      </w:r>
      <w:r>
        <w:rPr>
          <w:spacing w:val="-18"/>
          <w:sz w:val="20"/>
        </w:rPr>
        <w:t> </w:t>
      </w:r>
      <w:r>
        <w:rPr>
          <w:sz w:val="20"/>
        </w:rPr>
        <w:t>storage</w:t>
      </w:r>
      <w:r>
        <w:rPr>
          <w:spacing w:val="-17"/>
          <w:sz w:val="20"/>
        </w:rPr>
        <w:t> </w:t>
      </w:r>
      <w:r>
        <w:rPr>
          <w:sz w:val="20"/>
        </w:rPr>
        <w:t>of</w:t>
      </w:r>
      <w:r>
        <w:rPr>
          <w:spacing w:val="-18"/>
          <w:sz w:val="20"/>
        </w:rPr>
        <w:t> </w:t>
      </w:r>
      <w:r>
        <w:rPr>
          <w:sz w:val="20"/>
        </w:rPr>
        <w:t>CO</w:t>
      </w:r>
      <w:r>
        <w:rPr>
          <w:spacing w:val="8"/>
          <w:sz w:val="20"/>
        </w:rPr>
        <w:t> </w:t>
      </w:r>
      <w:r>
        <w:rPr>
          <w:sz w:val="20"/>
        </w:rPr>
        <w:t>?</w:t>
      </w:r>
      <w:r>
        <w:rPr>
          <w:spacing w:val="-18"/>
          <w:sz w:val="20"/>
        </w:rPr>
        <w:t> </w:t>
      </w:r>
      <w:r>
        <w:rPr>
          <w:sz w:val="20"/>
        </w:rPr>
        <w:t>(Section</w:t>
      </w:r>
    </w:p>
    <w:p>
      <w:pPr>
        <w:pStyle w:val="BodyText"/>
        <w:spacing w:line="225" w:lineRule="exact" w:before="9"/>
        <w:ind w:left="837"/>
      </w:pPr>
      <w:r>
        <w:rPr/>
        <w:t>5.9)</w:t>
      </w:r>
    </w:p>
    <w:p>
      <w:pPr>
        <w:pStyle w:val="ListParagraph"/>
        <w:numPr>
          <w:ilvl w:val="0"/>
          <w:numId w:val="3"/>
        </w:numPr>
        <w:tabs>
          <w:tab w:pos="526" w:val="left" w:leader="none"/>
        </w:tabs>
        <w:spacing w:line="243" w:lineRule="exact" w:before="0" w:after="0"/>
        <w:ind w:left="525" w:right="0" w:hanging="285"/>
        <w:jc w:val="left"/>
        <w:rPr>
          <w:sz w:val="20"/>
        </w:rPr>
      </w:pPr>
      <w:r>
        <w:rPr>
          <w:spacing w:val="-1"/>
          <w:w w:val="100"/>
          <w:sz w:val="20"/>
        </w:rPr>
        <w:br w:type="column"/>
      </w:r>
      <w:r>
        <w:rPr>
          <w:sz w:val="20"/>
        </w:rPr>
        <w:t>Pore space (relative permeability)</w:t>
      </w:r>
      <w:r>
        <w:rPr>
          <w:spacing w:val="-3"/>
          <w:sz w:val="20"/>
        </w:rPr>
        <w:t> </w:t>
      </w:r>
      <w:r>
        <w:rPr>
          <w:sz w:val="20"/>
        </w:rPr>
        <w:t>trapping;</w:t>
      </w:r>
    </w:p>
    <w:p>
      <w:pPr>
        <w:pStyle w:val="ListParagraph"/>
        <w:numPr>
          <w:ilvl w:val="0"/>
          <w:numId w:val="3"/>
        </w:numPr>
        <w:tabs>
          <w:tab w:pos="526" w:val="left" w:leader="none"/>
        </w:tabs>
        <w:spacing w:line="243" w:lineRule="exact" w:before="0" w:after="0"/>
        <w:ind w:left="525" w:right="0" w:hanging="285"/>
        <w:jc w:val="left"/>
        <w:rPr>
          <w:sz w:val="20"/>
        </w:rPr>
      </w:pPr>
      <w:r>
        <w:rPr/>
        <w:pict>
          <v:shape style="position:absolute;margin-left:409.402802pt;margin-top:8.885723pt;width:2.95pt;height:5.85pt;mso-position-horizontal-relative:page;mso-position-vertical-relative:paragraph;z-index:-25888153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Adsorption of CO onto organic</w:t>
      </w:r>
      <w:r>
        <w:rPr>
          <w:spacing w:val="4"/>
          <w:sz w:val="20"/>
        </w:rPr>
        <w:t> </w:t>
      </w:r>
      <w:r>
        <w:rPr>
          <w:sz w:val="20"/>
        </w:rPr>
        <w:t>material.</w:t>
      </w:r>
    </w:p>
    <w:p>
      <w:pPr>
        <w:pStyle w:val="BodyText"/>
        <w:spacing w:before="8"/>
        <w:rPr>
          <w:sz w:val="21"/>
        </w:rPr>
      </w:pPr>
    </w:p>
    <w:p>
      <w:pPr>
        <w:pStyle w:val="BodyText"/>
        <w:spacing w:line="249" w:lineRule="auto"/>
        <w:ind w:left="241" w:right="133"/>
        <w:jc w:val="both"/>
      </w:pPr>
      <w:r>
        <w:rPr/>
        <w:t>The rate of fluid flow depends on the number and properties of the fluid phases present in the formation. When two or more fluids mix in any proportion, they are referred to as miscible fluids. If they do not mix, they are referred to as immiscible. The presence of several different phases may decrease the</w:t>
      </w:r>
    </w:p>
    <w:p>
      <w:pPr>
        <w:spacing w:after="0" w:line="249" w:lineRule="auto"/>
        <w:jc w:val="both"/>
        <w:sectPr>
          <w:type w:val="continuous"/>
          <w:pgSz w:w="12240" w:h="15840"/>
          <w:pgMar w:top="400" w:bottom="280" w:left="580" w:right="600"/>
          <w:cols w:num="2" w:equalWidth="0">
            <w:col w:w="5599" w:space="40"/>
            <w:col w:w="5421"/>
          </w:cols>
        </w:sectPr>
      </w:pPr>
    </w:p>
    <w:p>
      <w:pPr>
        <w:pStyle w:val="ListParagraph"/>
        <w:numPr>
          <w:ilvl w:val="1"/>
          <w:numId w:val="3"/>
        </w:numPr>
        <w:tabs>
          <w:tab w:pos="838" w:val="left" w:leader="none"/>
        </w:tabs>
        <w:spacing w:line="235" w:lineRule="exact" w:before="0" w:after="0"/>
        <w:ind w:left="837" w:right="0" w:hanging="285"/>
        <w:jc w:val="left"/>
        <w:rPr>
          <w:sz w:val="20"/>
        </w:rPr>
      </w:pPr>
      <w:r>
        <w:rPr>
          <w:sz w:val="20"/>
        </w:rPr>
        <w:t>After</w:t>
      </w:r>
      <w:r>
        <w:rPr>
          <w:spacing w:val="23"/>
          <w:sz w:val="20"/>
        </w:rPr>
        <w:t> </w:t>
      </w:r>
      <w:r>
        <w:rPr>
          <w:sz w:val="20"/>
        </w:rPr>
        <w:t>reviewing</w:t>
      </w:r>
      <w:r>
        <w:rPr>
          <w:spacing w:val="24"/>
          <w:sz w:val="20"/>
        </w:rPr>
        <w:t> </w:t>
      </w:r>
      <w:r>
        <w:rPr>
          <w:sz w:val="20"/>
        </w:rPr>
        <w:t>our</w:t>
      </w:r>
      <w:r>
        <w:rPr>
          <w:spacing w:val="24"/>
          <w:sz w:val="20"/>
        </w:rPr>
        <w:t> </w:t>
      </w:r>
      <w:r>
        <w:rPr>
          <w:sz w:val="20"/>
        </w:rPr>
        <w:t>current</w:t>
      </w:r>
      <w:r>
        <w:rPr>
          <w:spacing w:val="24"/>
          <w:sz w:val="20"/>
        </w:rPr>
        <w:t> </w:t>
      </w:r>
      <w:r>
        <w:rPr>
          <w:sz w:val="20"/>
        </w:rPr>
        <w:t>state</w:t>
      </w:r>
      <w:r>
        <w:rPr>
          <w:spacing w:val="23"/>
          <w:sz w:val="20"/>
        </w:rPr>
        <w:t> </w:t>
      </w:r>
      <w:r>
        <w:rPr>
          <w:sz w:val="20"/>
        </w:rPr>
        <w:t>of</w:t>
      </w:r>
      <w:r>
        <w:rPr>
          <w:spacing w:val="24"/>
          <w:sz w:val="20"/>
        </w:rPr>
        <w:t> </w:t>
      </w:r>
      <w:r>
        <w:rPr>
          <w:sz w:val="20"/>
        </w:rPr>
        <w:t>knowledge,</w:t>
      </w:r>
      <w:r>
        <w:rPr>
          <w:spacing w:val="24"/>
          <w:sz w:val="20"/>
        </w:rPr>
        <w:t> </w:t>
      </w:r>
      <w:r>
        <w:rPr>
          <w:sz w:val="20"/>
        </w:rPr>
        <w:t>are</w:t>
      </w:r>
      <w:r>
        <w:rPr>
          <w:spacing w:val="24"/>
          <w:sz w:val="20"/>
        </w:rPr>
        <w:t> </w:t>
      </w:r>
      <w:r>
        <w:rPr>
          <w:sz w:val="20"/>
        </w:rPr>
        <w:t>there</w:t>
      </w:r>
    </w:p>
    <w:p>
      <w:pPr>
        <w:pStyle w:val="BodyText"/>
        <w:spacing w:line="277" w:lineRule="exact" w:before="4"/>
        <w:ind w:left="243"/>
        <w:rPr>
          <w:sz w:val="11"/>
        </w:rPr>
      </w:pPr>
      <w:r>
        <w:rPr/>
        <w:br w:type="column"/>
      </w:r>
      <w:r>
        <w:rPr/>
        <w:t>permeability and slow the rate of migration. If CO</w:t>
      </w:r>
      <w:r>
        <w:rPr>
          <w:position w:val="-6"/>
          <w:sz w:val="11"/>
        </w:rPr>
        <w:t>2</w:t>
      </w:r>
    </w:p>
    <w:p>
      <w:pPr>
        <w:pStyle w:val="BodyText"/>
        <w:spacing w:before="4"/>
        <w:ind w:left="19"/>
      </w:pPr>
      <w:r>
        <w:rPr/>
        <w:br w:type="column"/>
      </w:r>
      <w:r>
        <w:rPr/>
        <w:t>is injected</w:t>
      </w:r>
    </w:p>
    <w:p>
      <w:pPr>
        <w:spacing w:after="0"/>
        <w:sectPr>
          <w:type w:val="continuous"/>
          <w:pgSz w:w="12240" w:h="15840"/>
          <w:pgMar w:top="400" w:bottom="280" w:left="580" w:right="600"/>
          <w:cols w:num="3" w:equalWidth="0">
            <w:col w:w="5597" w:space="40"/>
            <w:col w:w="4402" w:space="39"/>
            <w:col w:w="982"/>
          </w:cols>
        </w:sectPr>
      </w:pPr>
    </w:p>
    <w:p>
      <w:pPr>
        <w:pStyle w:val="BodyText"/>
        <w:spacing w:line="194" w:lineRule="exact"/>
        <w:ind w:left="837"/>
      </w:pPr>
      <w:r>
        <w:rPr/>
        <w:t>things that we still need to know? What are these gaps in</w:t>
      </w:r>
    </w:p>
    <w:p>
      <w:pPr>
        <w:pStyle w:val="BodyText"/>
        <w:spacing w:before="10"/>
        <w:ind w:left="837"/>
      </w:pPr>
      <w:r>
        <w:rPr/>
        <w:t>knowledge? (Section 5.10).</w:t>
      </w:r>
    </w:p>
    <w:p>
      <w:pPr>
        <w:pStyle w:val="BodyText"/>
        <w:spacing w:before="8"/>
        <w:rPr>
          <w:sz w:val="21"/>
        </w:rPr>
      </w:pPr>
    </w:p>
    <w:p>
      <w:pPr>
        <w:pStyle w:val="BodyText"/>
        <w:ind w:left="553"/>
        <w:jc w:val="both"/>
      </w:pPr>
      <w:r>
        <w:rPr/>
        <w:t>The remainder of this chapter seeks to address these questions.</w:t>
      </w:r>
    </w:p>
    <w:p>
      <w:pPr>
        <w:pStyle w:val="BodyText"/>
        <w:spacing w:before="9"/>
        <w:rPr>
          <w:sz w:val="21"/>
        </w:rPr>
      </w:pPr>
    </w:p>
    <w:p>
      <w:pPr>
        <w:pStyle w:val="Heading1"/>
        <w:numPr>
          <w:ilvl w:val="1"/>
          <w:numId w:val="1"/>
        </w:numPr>
        <w:tabs>
          <w:tab w:pos="1262" w:val="left" w:leader="none"/>
          <w:tab w:pos="1263" w:val="left" w:leader="none"/>
        </w:tabs>
        <w:spacing w:line="240" w:lineRule="auto" w:before="0" w:after="0"/>
        <w:ind w:left="1262" w:right="0" w:hanging="710"/>
        <w:jc w:val="left"/>
      </w:pPr>
      <w:r>
        <w:rPr/>
        <w:t>Storage mechanisms and storage</w:t>
      </w:r>
      <w:r>
        <w:rPr>
          <w:spacing w:val="-6"/>
        </w:rPr>
        <w:t> </w:t>
      </w:r>
      <w:r>
        <w:rPr/>
        <w:t>security</w:t>
      </w:r>
    </w:p>
    <w:p>
      <w:pPr>
        <w:pStyle w:val="BodyText"/>
        <w:spacing w:before="3"/>
        <w:rPr>
          <w:b/>
          <w:sz w:val="21"/>
        </w:rPr>
      </w:pPr>
    </w:p>
    <w:p>
      <w:pPr>
        <w:pStyle w:val="BodyText"/>
        <w:spacing w:line="240" w:lineRule="exact"/>
        <w:ind w:left="553"/>
        <w:jc w:val="both"/>
      </w:pPr>
      <w:r>
        <w:rPr/>
        <w:t>Geological formations in the subsurface are composed of transported and deposited rock grains organic material </w:t>
      </w:r>
      <w:r>
        <w:rPr>
          <w:spacing w:val="-5"/>
        </w:rPr>
        <w:t>and </w:t>
      </w:r>
      <w:r>
        <w:rPr/>
        <w:t>minerals</w:t>
      </w:r>
      <w:r>
        <w:rPr>
          <w:spacing w:val="-6"/>
        </w:rPr>
        <w:t> </w:t>
      </w:r>
      <w:r>
        <w:rPr/>
        <w:t>that</w:t>
      </w:r>
      <w:r>
        <w:rPr>
          <w:spacing w:val="-5"/>
        </w:rPr>
        <w:t> </w:t>
      </w:r>
      <w:r>
        <w:rPr/>
        <w:t>form</w:t>
      </w:r>
      <w:r>
        <w:rPr>
          <w:spacing w:val="-6"/>
        </w:rPr>
        <w:t> </w:t>
      </w:r>
      <w:r>
        <w:rPr/>
        <w:t>after</w:t>
      </w:r>
      <w:r>
        <w:rPr>
          <w:spacing w:val="-5"/>
        </w:rPr>
        <w:t> </w:t>
      </w:r>
      <w:r>
        <w:rPr/>
        <w:t>the</w:t>
      </w:r>
      <w:r>
        <w:rPr>
          <w:spacing w:val="-6"/>
        </w:rPr>
        <w:t> </w:t>
      </w:r>
      <w:r>
        <w:rPr/>
        <w:t>rocks</w:t>
      </w:r>
      <w:r>
        <w:rPr>
          <w:spacing w:val="-5"/>
        </w:rPr>
        <w:t> </w:t>
      </w:r>
      <w:r>
        <w:rPr/>
        <w:t>are</w:t>
      </w:r>
      <w:r>
        <w:rPr>
          <w:spacing w:val="-6"/>
        </w:rPr>
        <w:t> </w:t>
      </w:r>
      <w:r>
        <w:rPr/>
        <w:t>deposited.</w:t>
      </w:r>
      <w:r>
        <w:rPr>
          <w:spacing w:val="-9"/>
        </w:rPr>
        <w:t> </w:t>
      </w:r>
      <w:r>
        <w:rPr/>
        <w:t>The</w:t>
      </w:r>
      <w:r>
        <w:rPr>
          <w:spacing w:val="-6"/>
        </w:rPr>
        <w:t> </w:t>
      </w:r>
      <w:r>
        <w:rPr/>
        <w:t>pore</w:t>
      </w:r>
      <w:r>
        <w:rPr>
          <w:spacing w:val="-5"/>
        </w:rPr>
        <w:t> </w:t>
      </w:r>
      <w:r>
        <w:rPr/>
        <w:t>space between grains or minerals is occupied by fluid (mostly </w:t>
      </w:r>
      <w:r>
        <w:rPr>
          <w:spacing w:val="-3"/>
        </w:rPr>
        <w:t>water, </w:t>
      </w:r>
      <w:r>
        <w:rPr/>
        <w:t>with proportionally minute occurrences of oil and gas). Open fractures</w:t>
      </w:r>
      <w:r>
        <w:rPr>
          <w:spacing w:val="-6"/>
        </w:rPr>
        <w:t> </w:t>
      </w:r>
      <w:r>
        <w:rPr/>
        <w:t>and</w:t>
      </w:r>
      <w:r>
        <w:rPr>
          <w:spacing w:val="-5"/>
        </w:rPr>
        <w:t> </w:t>
      </w:r>
      <w:r>
        <w:rPr/>
        <w:t>cavities</w:t>
      </w:r>
      <w:r>
        <w:rPr>
          <w:spacing w:val="-6"/>
        </w:rPr>
        <w:t> </w:t>
      </w:r>
      <w:r>
        <w:rPr/>
        <w:t>are</w:t>
      </w:r>
      <w:r>
        <w:rPr>
          <w:spacing w:val="-5"/>
        </w:rPr>
        <w:t> </w:t>
      </w:r>
      <w:r>
        <w:rPr/>
        <w:t>also</w:t>
      </w:r>
      <w:r>
        <w:rPr>
          <w:spacing w:val="-5"/>
        </w:rPr>
        <w:t> </w:t>
      </w:r>
      <w:r>
        <w:rPr/>
        <w:t>filled</w:t>
      </w:r>
      <w:r>
        <w:rPr>
          <w:spacing w:val="-6"/>
        </w:rPr>
        <w:t> </w:t>
      </w:r>
      <w:r>
        <w:rPr/>
        <w:t>with</w:t>
      </w:r>
      <w:r>
        <w:rPr>
          <w:spacing w:val="-6"/>
        </w:rPr>
        <w:t> </w:t>
      </w:r>
      <w:r>
        <w:rPr/>
        <w:t>fluid.</w:t>
      </w:r>
      <w:r>
        <w:rPr>
          <w:spacing w:val="-6"/>
        </w:rPr>
        <w:t> </w:t>
      </w:r>
      <w:r>
        <w:rPr/>
        <w:t>Injection</w:t>
      </w:r>
      <w:r>
        <w:rPr>
          <w:spacing w:val="-6"/>
        </w:rPr>
        <w:t> </w:t>
      </w:r>
      <w:r>
        <w:rPr/>
        <w:t>of</w:t>
      </w:r>
      <w:r>
        <w:rPr>
          <w:spacing w:val="-5"/>
        </w:rPr>
        <w:t> </w:t>
      </w:r>
      <w:r>
        <w:rPr/>
        <w:t>CO</w:t>
      </w:r>
      <w:r>
        <w:rPr>
          <w:position w:val="-6"/>
          <w:sz w:val="11"/>
        </w:rPr>
        <w:t>2 </w:t>
      </w:r>
      <w:r>
        <w:rPr/>
        <w:t>into the pore space and fractures of a permeable formation can displace</w:t>
      </w:r>
      <w:r>
        <w:rPr>
          <w:spacing w:val="-7"/>
        </w:rPr>
        <w:t> </w:t>
      </w:r>
      <w:r>
        <w:rPr/>
        <w:t>the</w:t>
      </w:r>
      <w:r>
        <w:rPr>
          <w:spacing w:val="-6"/>
        </w:rPr>
        <w:t> </w:t>
      </w:r>
      <w:r>
        <w:rPr>
          <w:i/>
        </w:rPr>
        <w:t>in</w:t>
      </w:r>
      <w:r>
        <w:rPr>
          <w:i/>
          <w:spacing w:val="-7"/>
        </w:rPr>
        <w:t> </w:t>
      </w:r>
      <w:r>
        <w:rPr>
          <w:i/>
        </w:rPr>
        <w:t>situ</w:t>
      </w:r>
      <w:r>
        <w:rPr>
          <w:i/>
          <w:spacing w:val="-6"/>
        </w:rPr>
        <w:t> </w:t>
      </w:r>
      <w:r>
        <w:rPr/>
        <w:t>fluid</w:t>
      </w:r>
      <w:r>
        <w:rPr>
          <w:spacing w:val="-6"/>
        </w:rPr>
        <w:t> </w:t>
      </w:r>
      <w:r>
        <w:rPr/>
        <w:t>or</w:t>
      </w:r>
      <w:r>
        <w:rPr>
          <w:spacing w:val="-7"/>
        </w:rPr>
        <w:t> </w:t>
      </w:r>
      <w:r>
        <w:rPr/>
        <w:t>the</w:t>
      </w:r>
      <w:r>
        <w:rPr>
          <w:spacing w:val="-6"/>
        </w:rPr>
        <w:t> </w:t>
      </w:r>
      <w:r>
        <w:rPr/>
        <w:t>CO</w:t>
      </w:r>
      <w:r>
        <w:rPr>
          <w:position w:val="-6"/>
          <w:sz w:val="11"/>
        </w:rPr>
        <w:t>2</w:t>
      </w:r>
      <w:r>
        <w:rPr>
          <w:spacing w:val="16"/>
          <w:position w:val="-6"/>
          <w:sz w:val="11"/>
        </w:rPr>
        <w:t> </w:t>
      </w:r>
      <w:r>
        <w:rPr/>
        <w:t>may</w:t>
      </w:r>
      <w:r>
        <w:rPr>
          <w:spacing w:val="-6"/>
        </w:rPr>
        <w:t> </w:t>
      </w:r>
      <w:r>
        <w:rPr/>
        <w:t>dissolve</w:t>
      </w:r>
      <w:r>
        <w:rPr>
          <w:spacing w:val="-7"/>
        </w:rPr>
        <w:t> </w:t>
      </w:r>
      <w:r>
        <w:rPr/>
        <w:t>in</w:t>
      </w:r>
      <w:r>
        <w:rPr>
          <w:spacing w:val="-6"/>
        </w:rPr>
        <w:t> </w:t>
      </w:r>
      <w:r>
        <w:rPr/>
        <w:t>or</w:t>
      </w:r>
      <w:r>
        <w:rPr>
          <w:spacing w:val="-7"/>
        </w:rPr>
        <w:t> </w:t>
      </w:r>
      <w:r>
        <w:rPr/>
        <w:t>mix</w:t>
      </w:r>
      <w:r>
        <w:rPr>
          <w:spacing w:val="-6"/>
        </w:rPr>
        <w:t> </w:t>
      </w:r>
      <w:r>
        <w:rPr/>
        <w:t>with the fluid or react with the mineral grains or there may be some combination of these processes. This section examines these processes and their influence on geological storage of</w:t>
      </w:r>
      <w:r>
        <w:rPr>
          <w:spacing w:val="-9"/>
        </w:rPr>
        <w:t> </w:t>
      </w:r>
      <w:r>
        <w:rPr/>
        <w:t>CO</w:t>
      </w:r>
      <w:r>
        <w:rPr>
          <w:position w:val="-6"/>
          <w:sz w:val="11"/>
        </w:rPr>
        <w:t>2</w:t>
      </w:r>
      <w:r>
        <w:rPr/>
        <w:t>.</w:t>
      </w:r>
    </w:p>
    <w:p>
      <w:pPr>
        <w:pStyle w:val="BodyText"/>
        <w:spacing w:before="4"/>
        <w:rPr>
          <w:sz w:val="21"/>
        </w:rPr>
      </w:pPr>
    </w:p>
    <w:p>
      <w:pPr>
        <w:pStyle w:val="Heading2"/>
        <w:numPr>
          <w:ilvl w:val="2"/>
          <w:numId w:val="1"/>
        </w:numPr>
        <w:tabs>
          <w:tab w:pos="1373" w:val="left" w:leader="none"/>
          <w:tab w:pos="1374" w:val="left" w:leader="none"/>
        </w:tabs>
        <w:spacing w:line="240" w:lineRule="auto" w:before="0" w:after="0"/>
        <w:ind w:left="1373" w:right="0" w:hanging="821"/>
        <w:jc w:val="left"/>
        <w:rPr>
          <w:i/>
        </w:rPr>
      </w:pPr>
      <w:r>
        <w:rPr>
          <w:i/>
        </w:rPr>
        <w:t>CO</w:t>
      </w:r>
      <w:r>
        <w:rPr>
          <w:i/>
          <w:position w:val="-6"/>
          <w:sz w:val="11"/>
        </w:rPr>
        <w:t>2 </w:t>
      </w:r>
      <w:r>
        <w:rPr>
          <w:i/>
        </w:rPr>
        <w:t>flow and transport</w:t>
      </w:r>
      <w:r>
        <w:rPr>
          <w:i/>
          <w:spacing w:val="-8"/>
        </w:rPr>
        <w:t> </w:t>
      </w:r>
      <w:r>
        <w:rPr>
          <w:i/>
        </w:rPr>
        <w:t>processes</w:t>
      </w:r>
    </w:p>
    <w:p>
      <w:pPr>
        <w:pStyle w:val="BodyText"/>
        <w:spacing w:line="240" w:lineRule="exact" w:before="194"/>
        <w:ind w:left="553"/>
        <w:jc w:val="both"/>
      </w:pPr>
      <w:r>
        <w:rPr/>
        <w:t>Injection of fluids into deep geological formations is achieved by</w:t>
      </w:r>
      <w:r>
        <w:rPr>
          <w:spacing w:val="-17"/>
        </w:rPr>
        <w:t> </w:t>
      </w:r>
      <w:r>
        <w:rPr/>
        <w:t>pumping</w:t>
      </w:r>
      <w:r>
        <w:rPr>
          <w:spacing w:val="-17"/>
        </w:rPr>
        <w:t> </w:t>
      </w:r>
      <w:r>
        <w:rPr/>
        <w:t>fluids</w:t>
      </w:r>
      <w:r>
        <w:rPr>
          <w:spacing w:val="-17"/>
        </w:rPr>
        <w:t> </w:t>
      </w:r>
      <w:r>
        <w:rPr/>
        <w:t>down</w:t>
      </w:r>
      <w:r>
        <w:rPr>
          <w:spacing w:val="-17"/>
        </w:rPr>
        <w:t> </w:t>
      </w:r>
      <w:r>
        <w:rPr/>
        <w:t>into</w:t>
      </w:r>
      <w:r>
        <w:rPr>
          <w:spacing w:val="-17"/>
        </w:rPr>
        <w:t> </w:t>
      </w:r>
      <w:r>
        <w:rPr/>
        <w:t>a</w:t>
      </w:r>
      <w:r>
        <w:rPr>
          <w:spacing w:val="-17"/>
        </w:rPr>
        <w:t> </w:t>
      </w:r>
      <w:r>
        <w:rPr/>
        <w:t>well</w:t>
      </w:r>
      <w:r>
        <w:rPr>
          <w:spacing w:val="-17"/>
        </w:rPr>
        <w:t> </w:t>
      </w:r>
      <w:r>
        <w:rPr/>
        <w:t>(see</w:t>
      </w:r>
      <w:r>
        <w:rPr>
          <w:spacing w:val="-17"/>
        </w:rPr>
        <w:t> </w:t>
      </w:r>
      <w:r>
        <w:rPr/>
        <w:t>Section</w:t>
      </w:r>
      <w:r>
        <w:rPr>
          <w:spacing w:val="-17"/>
        </w:rPr>
        <w:t> </w:t>
      </w:r>
      <w:r>
        <w:rPr/>
        <w:t>5.5).</w:t>
      </w:r>
      <w:r>
        <w:rPr>
          <w:spacing w:val="-21"/>
        </w:rPr>
        <w:t> </w:t>
      </w:r>
      <w:r>
        <w:rPr/>
        <w:t>The</w:t>
      </w:r>
      <w:r>
        <w:rPr>
          <w:spacing w:val="-17"/>
        </w:rPr>
        <w:t> </w:t>
      </w:r>
      <w:r>
        <w:rPr/>
        <w:t>part</w:t>
      </w:r>
      <w:r>
        <w:rPr>
          <w:spacing w:val="-17"/>
        </w:rPr>
        <w:t> </w:t>
      </w:r>
      <w:r>
        <w:rPr/>
        <w:t>of the well in the storage zone is either perforated or covered</w:t>
      </w:r>
      <w:r>
        <w:rPr>
          <w:spacing w:val="-35"/>
        </w:rPr>
        <w:t> </w:t>
      </w:r>
      <w:r>
        <w:rPr/>
        <w:t>with a permeable screen to enable the CO</w:t>
      </w:r>
      <w:r>
        <w:rPr>
          <w:position w:val="-6"/>
          <w:sz w:val="11"/>
        </w:rPr>
        <w:t>2 </w:t>
      </w:r>
      <w:r>
        <w:rPr/>
        <w:t>to enter the formation. The perforated or screened interval is usually on the order of 10–100 m thick, depending on the permeability and thickness of</w:t>
      </w:r>
      <w:r>
        <w:rPr>
          <w:spacing w:val="30"/>
        </w:rPr>
        <w:t> </w:t>
      </w:r>
      <w:r>
        <w:rPr/>
        <w:t>the</w:t>
      </w:r>
      <w:r>
        <w:rPr>
          <w:spacing w:val="30"/>
        </w:rPr>
        <w:t> </w:t>
      </w:r>
      <w:r>
        <w:rPr/>
        <w:t>formation.</w:t>
      </w:r>
      <w:r>
        <w:rPr>
          <w:spacing w:val="31"/>
        </w:rPr>
        <w:t> </w:t>
      </w:r>
      <w:r>
        <w:rPr/>
        <w:t>Injection</w:t>
      </w:r>
      <w:r>
        <w:rPr>
          <w:spacing w:val="30"/>
        </w:rPr>
        <w:t> </w:t>
      </w:r>
      <w:r>
        <w:rPr/>
        <w:t>raises</w:t>
      </w:r>
      <w:r>
        <w:rPr>
          <w:spacing w:val="31"/>
        </w:rPr>
        <w:t> </w:t>
      </w:r>
      <w:r>
        <w:rPr/>
        <w:t>the</w:t>
      </w:r>
      <w:r>
        <w:rPr>
          <w:spacing w:val="30"/>
        </w:rPr>
        <w:t> </w:t>
      </w:r>
      <w:r>
        <w:rPr/>
        <w:t>pressure</w:t>
      </w:r>
      <w:r>
        <w:rPr>
          <w:spacing w:val="31"/>
        </w:rPr>
        <w:t> </w:t>
      </w:r>
      <w:r>
        <w:rPr/>
        <w:t>near</w:t>
      </w:r>
      <w:r>
        <w:rPr>
          <w:spacing w:val="30"/>
        </w:rPr>
        <w:t> </w:t>
      </w:r>
      <w:r>
        <w:rPr/>
        <w:t>the</w:t>
      </w:r>
      <w:r>
        <w:rPr>
          <w:spacing w:val="31"/>
        </w:rPr>
        <w:t> </w:t>
      </w:r>
      <w:r>
        <w:rPr/>
        <w:t>well,</w:t>
      </w:r>
    </w:p>
    <w:p>
      <w:pPr>
        <w:pStyle w:val="BodyText"/>
        <w:spacing w:line="194" w:lineRule="exact"/>
        <w:ind w:left="242"/>
        <w:jc w:val="both"/>
      </w:pPr>
      <w:r>
        <w:rPr/>
        <w:br w:type="column"/>
      </w:r>
      <w:r>
        <w:rPr/>
        <w:t>into a gas reservoir, a single miscible fluid phase consisting of</w:t>
      </w:r>
    </w:p>
    <w:p>
      <w:pPr>
        <w:pStyle w:val="BodyText"/>
        <w:spacing w:line="240" w:lineRule="exact" w:before="4"/>
        <w:ind w:left="242" w:right="133"/>
        <w:jc w:val="both"/>
      </w:pPr>
      <w:r>
        <w:rPr/>
        <w:t>natural</w:t>
      </w:r>
      <w:r>
        <w:rPr>
          <w:spacing w:val="-14"/>
        </w:rPr>
        <w:t> </w:t>
      </w:r>
      <w:r>
        <w:rPr/>
        <w:t>gas</w:t>
      </w:r>
      <w:r>
        <w:rPr>
          <w:spacing w:val="-14"/>
        </w:rPr>
        <w:t> </w:t>
      </w:r>
      <w:r>
        <w:rPr/>
        <w:t>and</w:t>
      </w:r>
      <w:r>
        <w:rPr>
          <w:spacing w:val="-14"/>
        </w:rPr>
        <w:t> </w:t>
      </w:r>
      <w:r>
        <w:rPr/>
        <w:t>CO</w:t>
      </w:r>
      <w:r>
        <w:rPr>
          <w:position w:val="-6"/>
          <w:sz w:val="11"/>
        </w:rPr>
        <w:t>2</w:t>
      </w:r>
      <w:r>
        <w:rPr>
          <w:spacing w:val="10"/>
          <w:position w:val="-6"/>
          <w:sz w:val="11"/>
        </w:rPr>
        <w:t> </w:t>
      </w:r>
      <w:r>
        <w:rPr/>
        <w:t>is</w:t>
      </w:r>
      <w:r>
        <w:rPr>
          <w:spacing w:val="-14"/>
        </w:rPr>
        <w:t> </w:t>
      </w:r>
      <w:r>
        <w:rPr/>
        <w:t>formed</w:t>
      </w:r>
      <w:r>
        <w:rPr>
          <w:spacing w:val="-14"/>
        </w:rPr>
        <w:t> </w:t>
      </w:r>
      <w:r>
        <w:rPr/>
        <w:t>locally.</w:t>
      </w:r>
      <w:r>
        <w:rPr>
          <w:spacing w:val="-17"/>
        </w:rPr>
        <w:t> </w:t>
      </w:r>
      <w:r>
        <w:rPr/>
        <w:t>When</w:t>
      </w:r>
      <w:r>
        <w:rPr>
          <w:spacing w:val="-13"/>
        </w:rPr>
        <w:t> </w:t>
      </w:r>
      <w:r>
        <w:rPr/>
        <w:t>CO</w:t>
      </w:r>
      <w:r>
        <w:rPr>
          <w:position w:val="-6"/>
          <w:sz w:val="11"/>
        </w:rPr>
        <w:t>2</w:t>
      </w:r>
      <w:r>
        <w:rPr>
          <w:spacing w:val="9"/>
          <w:position w:val="-6"/>
          <w:sz w:val="11"/>
        </w:rPr>
        <w:t> </w:t>
      </w:r>
      <w:r>
        <w:rPr/>
        <w:t>is</w:t>
      </w:r>
      <w:r>
        <w:rPr>
          <w:spacing w:val="-14"/>
        </w:rPr>
        <w:t> </w:t>
      </w:r>
      <w:r>
        <w:rPr/>
        <w:t>injected</w:t>
      </w:r>
      <w:r>
        <w:rPr>
          <w:spacing w:val="-14"/>
        </w:rPr>
        <w:t> </w:t>
      </w:r>
      <w:r>
        <w:rPr/>
        <w:t>into a deep saline formation in a liquid or liquid-like supercritical dense phase, it is immiscible in </w:t>
      </w:r>
      <w:r>
        <w:rPr>
          <w:spacing w:val="-3"/>
        </w:rPr>
        <w:t>water. </w:t>
      </w:r>
      <w:r>
        <w:rPr/>
        <w:t>Carbon dioxide injected into an oil reservoir may be miscible or immiscible, depending on the oil composition and the pressure and temperature of </w:t>
      </w:r>
      <w:r>
        <w:rPr>
          <w:spacing w:val="-4"/>
        </w:rPr>
        <w:t>the </w:t>
      </w:r>
      <w:r>
        <w:rPr/>
        <w:t>system (Section 5.3.2). When CO</w:t>
      </w:r>
      <w:r>
        <w:rPr>
          <w:position w:val="-6"/>
          <w:sz w:val="11"/>
        </w:rPr>
        <w:t>2 </w:t>
      </w:r>
      <w:r>
        <w:rPr/>
        <w:t>is injected into coal beds, in addition to some of the processes listed above, adsorption and desorption of gases (particularly methane) previously adsorbed on the coal take place, as well as swelling or shrinkage of the coal itself (Section 5.3.4).</w:t>
      </w:r>
    </w:p>
    <w:p>
      <w:pPr>
        <w:pStyle w:val="BodyText"/>
        <w:spacing w:line="240" w:lineRule="exact"/>
        <w:ind w:left="242" w:right="133" w:firstLine="283"/>
        <w:jc w:val="both"/>
      </w:pPr>
      <w:r>
        <w:rPr/>
        <w:t>Because supercritical CO</w:t>
      </w:r>
      <w:r>
        <w:rPr>
          <w:position w:val="-6"/>
          <w:sz w:val="11"/>
        </w:rPr>
        <w:t>2 </w:t>
      </w:r>
      <w:r>
        <w:rPr/>
        <w:t>is much less viscous than water and oil (by an order of magnitude or more), migration </w:t>
      </w:r>
      <w:r>
        <w:rPr>
          <w:spacing w:val="-6"/>
        </w:rPr>
        <w:t>is </w:t>
      </w:r>
      <w:r>
        <w:rPr/>
        <w:t>controlled by the contrast in mobility of CO</w:t>
      </w:r>
      <w:r>
        <w:rPr>
          <w:position w:val="-6"/>
          <w:sz w:val="11"/>
        </w:rPr>
        <w:t>2 </w:t>
      </w:r>
      <w:r>
        <w:rPr/>
        <w:t>and the </w:t>
      </w:r>
      <w:r>
        <w:rPr>
          <w:i/>
        </w:rPr>
        <w:t>in situ </w:t>
      </w:r>
      <w:r>
        <w:rPr/>
        <w:t>formation fluids (Celia </w:t>
      </w:r>
      <w:r>
        <w:rPr>
          <w:i/>
        </w:rPr>
        <w:t>et al.</w:t>
      </w:r>
      <w:r>
        <w:rPr/>
        <w:t>, 2005; Nordbotten </w:t>
      </w:r>
      <w:r>
        <w:rPr>
          <w:i/>
        </w:rPr>
        <w:t>et al.</w:t>
      </w:r>
      <w:r>
        <w:rPr/>
        <w:t>, 2005a). Because of the comparatively high mobility of CO</w:t>
      </w:r>
      <w:r>
        <w:rPr>
          <w:position w:val="-6"/>
          <w:sz w:val="11"/>
        </w:rPr>
        <w:t>2</w:t>
      </w:r>
      <w:r>
        <w:rPr/>
        <w:t>, only some of the oil or water will be displaced, leading to an average saturation of CO</w:t>
      </w:r>
      <w:r>
        <w:rPr>
          <w:position w:val="-6"/>
          <w:sz w:val="11"/>
        </w:rPr>
        <w:t>2 </w:t>
      </w:r>
      <w:r>
        <w:rPr/>
        <w:t>in the range of 30–60%. Viscous fingering can cause CO</w:t>
      </w:r>
      <w:r>
        <w:rPr>
          <w:position w:val="-6"/>
          <w:sz w:val="11"/>
        </w:rPr>
        <w:t>2 </w:t>
      </w:r>
      <w:r>
        <w:rPr/>
        <w:t>to bypass much of the pore space, depending on the heterogeneity and anisotropy of rock permeability (van </w:t>
      </w:r>
      <w:r>
        <w:rPr>
          <w:spacing w:val="-5"/>
        </w:rPr>
        <w:t>der </w:t>
      </w:r>
      <w:r>
        <w:rPr>
          <w:spacing w:val="-3"/>
        </w:rPr>
        <w:t>Meer, </w:t>
      </w:r>
      <w:r>
        <w:rPr/>
        <w:t>1995; Ennis-King and Paterson, 2001; Flett </w:t>
      </w:r>
      <w:r>
        <w:rPr>
          <w:i/>
        </w:rPr>
        <w:t>et al.</w:t>
      </w:r>
      <w:r>
        <w:rPr/>
        <w:t>,</w:t>
      </w:r>
      <w:r>
        <w:rPr>
          <w:spacing w:val="-24"/>
        </w:rPr>
        <w:t> </w:t>
      </w:r>
      <w:r>
        <w:rPr/>
        <w:t>2005). In natural gas reservoirs, CO</w:t>
      </w:r>
      <w:r>
        <w:rPr>
          <w:position w:val="-6"/>
          <w:sz w:val="11"/>
        </w:rPr>
        <w:t>2 </w:t>
      </w:r>
      <w:r>
        <w:rPr/>
        <w:t>is more viscous than natural gas, so the ‘front’ will be stable and viscous fingering</w:t>
      </w:r>
      <w:r>
        <w:rPr>
          <w:spacing w:val="-32"/>
        </w:rPr>
        <w:t> </w:t>
      </w:r>
      <w:r>
        <w:rPr/>
        <w:t>limited.</w:t>
      </w:r>
    </w:p>
    <w:p>
      <w:pPr>
        <w:pStyle w:val="BodyText"/>
        <w:spacing w:line="240" w:lineRule="exact"/>
        <w:ind w:left="242" w:right="134" w:firstLine="283"/>
        <w:jc w:val="both"/>
      </w:pPr>
      <w:r>
        <w:rPr/>
        <w:t>The magnitude of the buoyancy forces that drive vertical flow depends on the type of fluid in the formation. In saline formations, the comparatively large density difference </w:t>
      </w:r>
      <w:r>
        <w:rPr>
          <w:spacing w:val="-4"/>
        </w:rPr>
        <w:t>(30– </w:t>
      </w:r>
      <w:r>
        <w:rPr/>
        <w:t>50%)</w:t>
      </w:r>
      <w:r>
        <w:rPr>
          <w:spacing w:val="-20"/>
        </w:rPr>
        <w:t> </w:t>
      </w:r>
      <w:r>
        <w:rPr/>
        <w:t>between</w:t>
      </w:r>
      <w:r>
        <w:rPr>
          <w:spacing w:val="-20"/>
        </w:rPr>
        <w:t> </w:t>
      </w:r>
      <w:r>
        <w:rPr/>
        <w:t>CO</w:t>
      </w:r>
      <w:r>
        <w:rPr>
          <w:position w:val="-6"/>
          <w:sz w:val="11"/>
        </w:rPr>
        <w:t>2</w:t>
      </w:r>
      <w:r>
        <w:rPr>
          <w:spacing w:val="4"/>
          <w:position w:val="-6"/>
          <w:sz w:val="11"/>
        </w:rPr>
        <w:t> </w:t>
      </w:r>
      <w:r>
        <w:rPr/>
        <w:t>and</w:t>
      </w:r>
      <w:r>
        <w:rPr>
          <w:spacing w:val="-20"/>
        </w:rPr>
        <w:t> </w:t>
      </w:r>
      <w:r>
        <w:rPr/>
        <w:t>formation</w:t>
      </w:r>
      <w:r>
        <w:rPr>
          <w:spacing w:val="-20"/>
        </w:rPr>
        <w:t> </w:t>
      </w:r>
      <w:r>
        <w:rPr/>
        <w:t>water</w:t>
      </w:r>
      <w:r>
        <w:rPr>
          <w:spacing w:val="-19"/>
        </w:rPr>
        <w:t> </w:t>
      </w:r>
      <w:r>
        <w:rPr/>
        <w:t>creates</w:t>
      </w:r>
      <w:r>
        <w:rPr>
          <w:spacing w:val="-20"/>
        </w:rPr>
        <w:t> </w:t>
      </w:r>
      <w:r>
        <w:rPr/>
        <w:t>strong</w:t>
      </w:r>
      <w:r>
        <w:rPr>
          <w:spacing w:val="-20"/>
        </w:rPr>
        <w:t> </w:t>
      </w:r>
      <w:r>
        <w:rPr/>
        <w:t>buoyancy forces</w:t>
      </w:r>
      <w:r>
        <w:rPr>
          <w:spacing w:val="30"/>
        </w:rPr>
        <w:t> </w:t>
      </w:r>
      <w:r>
        <w:rPr/>
        <w:t>that</w:t>
      </w:r>
      <w:r>
        <w:rPr>
          <w:spacing w:val="31"/>
        </w:rPr>
        <w:t> </w:t>
      </w:r>
      <w:r>
        <w:rPr/>
        <w:t>drive</w:t>
      </w:r>
      <w:r>
        <w:rPr>
          <w:spacing w:val="31"/>
        </w:rPr>
        <w:t> </w:t>
      </w:r>
      <w:r>
        <w:rPr/>
        <w:t>CO</w:t>
      </w:r>
      <w:r>
        <w:rPr>
          <w:position w:val="-6"/>
          <w:sz w:val="11"/>
        </w:rPr>
        <w:t>2</w:t>
      </w:r>
      <w:r>
        <w:rPr>
          <w:spacing w:val="26"/>
          <w:position w:val="-6"/>
          <w:sz w:val="11"/>
        </w:rPr>
        <w:t> </w:t>
      </w:r>
      <w:r>
        <w:rPr/>
        <w:t>upwards.</w:t>
      </w:r>
      <w:r>
        <w:rPr>
          <w:spacing w:val="31"/>
        </w:rPr>
        <w:t> </w:t>
      </w:r>
      <w:r>
        <w:rPr/>
        <w:t>In</w:t>
      </w:r>
      <w:r>
        <w:rPr>
          <w:spacing w:val="31"/>
        </w:rPr>
        <w:t> </w:t>
      </w:r>
      <w:r>
        <w:rPr/>
        <w:t>oil</w:t>
      </w:r>
      <w:r>
        <w:rPr>
          <w:spacing w:val="31"/>
        </w:rPr>
        <w:t> </w:t>
      </w:r>
      <w:r>
        <w:rPr/>
        <w:t>reservoirs,</w:t>
      </w:r>
      <w:r>
        <w:rPr>
          <w:spacing w:val="31"/>
        </w:rPr>
        <w:t> </w:t>
      </w:r>
      <w:r>
        <w:rPr/>
        <w:t>the</w:t>
      </w:r>
      <w:r>
        <w:rPr>
          <w:spacing w:val="31"/>
        </w:rPr>
        <w:t> </w:t>
      </w:r>
      <w:r>
        <w:rPr/>
        <w:t>density</w:t>
      </w:r>
    </w:p>
    <w:p>
      <w:pPr>
        <w:spacing w:after="0" w:line="240" w:lineRule="exact"/>
        <w:jc w:val="both"/>
        <w:sectPr>
          <w:type w:val="continuous"/>
          <w:pgSz w:w="12240" w:h="15840"/>
          <w:pgMar w:top="400" w:bottom="280" w:left="580" w:right="600"/>
          <w:cols w:num="2" w:equalWidth="0">
            <w:col w:w="5598" w:space="40"/>
            <w:col w:w="5422"/>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jc w:val="both"/>
      </w:pPr>
      <w:r>
        <w:rPr/>
        <w:t>difference and buoyancy forces are not as large, particularly </w:t>
      </w:r>
      <w:r>
        <w:rPr>
          <w:spacing w:val="-7"/>
        </w:rPr>
        <w:t>if </w:t>
      </w:r>
      <w:r>
        <w:rPr/>
        <w:t>the</w:t>
      </w:r>
      <w:r>
        <w:rPr>
          <w:spacing w:val="-7"/>
        </w:rPr>
        <w:t> </w:t>
      </w:r>
      <w:r>
        <w:rPr/>
        <w:t>oil</w:t>
      </w:r>
      <w:r>
        <w:rPr>
          <w:spacing w:val="-7"/>
        </w:rPr>
        <w:t> </w:t>
      </w:r>
      <w:r>
        <w:rPr/>
        <w:t>and</w:t>
      </w:r>
      <w:r>
        <w:rPr>
          <w:spacing w:val="-7"/>
        </w:rPr>
        <w:t> </w:t>
      </w:r>
      <w:r>
        <w:rPr/>
        <w:t>CO</w:t>
      </w:r>
      <w:r>
        <w:rPr>
          <w:position w:val="-6"/>
          <w:sz w:val="11"/>
        </w:rPr>
        <w:t>2</w:t>
      </w:r>
      <w:r>
        <w:rPr>
          <w:spacing w:val="16"/>
          <w:position w:val="-6"/>
          <w:sz w:val="11"/>
        </w:rPr>
        <w:t> </w:t>
      </w:r>
      <w:r>
        <w:rPr/>
        <w:t>are</w:t>
      </w:r>
      <w:r>
        <w:rPr>
          <w:spacing w:val="-7"/>
        </w:rPr>
        <w:t> </w:t>
      </w:r>
      <w:r>
        <w:rPr/>
        <w:t>miscible</w:t>
      </w:r>
      <w:r>
        <w:rPr>
          <w:spacing w:val="-7"/>
        </w:rPr>
        <w:t> </w:t>
      </w:r>
      <w:r>
        <w:rPr/>
        <w:t>(Kovscek,</w:t>
      </w:r>
      <w:r>
        <w:rPr>
          <w:spacing w:val="-6"/>
        </w:rPr>
        <w:t> </w:t>
      </w:r>
      <w:r>
        <w:rPr/>
        <w:t>2002).</w:t>
      </w:r>
      <w:r>
        <w:rPr>
          <w:spacing w:val="-7"/>
        </w:rPr>
        <w:t> </w:t>
      </w:r>
      <w:r>
        <w:rPr/>
        <w:t>In</w:t>
      </w:r>
      <w:r>
        <w:rPr>
          <w:spacing w:val="-7"/>
        </w:rPr>
        <w:t> </w:t>
      </w:r>
      <w:r>
        <w:rPr/>
        <w:t>gas</w:t>
      </w:r>
      <w:r>
        <w:rPr>
          <w:spacing w:val="-7"/>
        </w:rPr>
        <w:t> </w:t>
      </w:r>
      <w:r>
        <w:rPr/>
        <w:t>reservoirs, the opposite effect will occur, with CO</w:t>
      </w:r>
      <w:r>
        <w:rPr>
          <w:position w:val="-6"/>
          <w:sz w:val="11"/>
        </w:rPr>
        <w:t>2 </w:t>
      </w:r>
      <w:r>
        <w:rPr/>
        <w:t>migrating downwards under buoyancy forces, because CO</w:t>
      </w:r>
      <w:r>
        <w:rPr>
          <w:position w:val="-6"/>
          <w:sz w:val="11"/>
        </w:rPr>
        <w:t>2 </w:t>
      </w:r>
      <w:r>
        <w:rPr/>
        <w:t>is denser than natural </w:t>
      </w:r>
      <w:r>
        <w:rPr>
          <w:spacing w:val="-5"/>
        </w:rPr>
        <w:t>gas </w:t>
      </w:r>
      <w:r>
        <w:rPr/>
        <w:t>(Oldenburg </w:t>
      </w:r>
      <w:r>
        <w:rPr>
          <w:i/>
        </w:rPr>
        <w:t>et al.</w:t>
      </w:r>
      <w:r>
        <w:rPr/>
        <w:t>,</w:t>
      </w:r>
      <w:r>
        <w:rPr>
          <w:spacing w:val="-1"/>
        </w:rPr>
        <w:t> </w:t>
      </w:r>
      <w:r>
        <w:rPr/>
        <w:t>2001).</w:t>
      </w:r>
    </w:p>
    <w:p>
      <w:pPr>
        <w:pStyle w:val="BodyText"/>
        <w:spacing w:line="240" w:lineRule="exact"/>
        <w:ind w:left="157" w:right="38" w:firstLine="283"/>
        <w:jc w:val="both"/>
      </w:pPr>
      <w:r>
        <w:rPr/>
        <w:t>In</w:t>
      </w:r>
      <w:r>
        <w:rPr>
          <w:spacing w:val="-11"/>
        </w:rPr>
        <w:t> </w:t>
      </w:r>
      <w:r>
        <w:rPr/>
        <w:t>saline</w:t>
      </w:r>
      <w:r>
        <w:rPr>
          <w:spacing w:val="-11"/>
        </w:rPr>
        <w:t> </w:t>
      </w:r>
      <w:r>
        <w:rPr/>
        <w:t>formations</w:t>
      </w:r>
      <w:r>
        <w:rPr>
          <w:spacing w:val="-10"/>
        </w:rPr>
        <w:t> </w:t>
      </w:r>
      <w:r>
        <w:rPr/>
        <w:t>and</w:t>
      </w:r>
      <w:r>
        <w:rPr>
          <w:spacing w:val="-11"/>
        </w:rPr>
        <w:t> </w:t>
      </w:r>
      <w:r>
        <w:rPr/>
        <w:t>oil</w:t>
      </w:r>
      <w:r>
        <w:rPr>
          <w:spacing w:val="-10"/>
        </w:rPr>
        <w:t> </w:t>
      </w:r>
      <w:r>
        <w:rPr/>
        <w:t>reservoirs,</w:t>
      </w:r>
      <w:r>
        <w:rPr>
          <w:spacing w:val="-11"/>
        </w:rPr>
        <w:t> </w:t>
      </w:r>
      <w:r>
        <w:rPr/>
        <w:t>the</w:t>
      </w:r>
      <w:r>
        <w:rPr>
          <w:spacing w:val="-10"/>
        </w:rPr>
        <w:t> </w:t>
      </w:r>
      <w:r>
        <w:rPr/>
        <w:t>buoyant</w:t>
      </w:r>
      <w:r>
        <w:rPr>
          <w:spacing w:val="-11"/>
        </w:rPr>
        <w:t> </w:t>
      </w:r>
      <w:r>
        <w:rPr/>
        <w:t>plume</w:t>
      </w:r>
      <w:r>
        <w:rPr>
          <w:spacing w:val="-10"/>
        </w:rPr>
        <w:t> </w:t>
      </w:r>
      <w:r>
        <w:rPr/>
        <w:t>of injected CO</w:t>
      </w:r>
      <w:r>
        <w:rPr>
          <w:position w:val="-6"/>
          <w:sz w:val="11"/>
        </w:rPr>
        <w:t>2 </w:t>
      </w:r>
      <w:r>
        <w:rPr/>
        <w:t>migrates upwards, but not evenly. This is because a lower permeability layer acts as a barrier and causes </w:t>
      </w:r>
      <w:r>
        <w:rPr>
          <w:spacing w:val="-5"/>
        </w:rPr>
        <w:t>the   </w:t>
      </w:r>
      <w:r>
        <w:rPr/>
        <w:t>CO</w:t>
      </w:r>
      <w:r>
        <w:rPr>
          <w:position w:val="-6"/>
          <w:sz w:val="11"/>
        </w:rPr>
        <w:t>2 </w:t>
      </w:r>
      <w:r>
        <w:rPr/>
        <w:t>to migrate laterally, filling any stratigraphic or structural trap it encounters. The shape of the CO</w:t>
      </w:r>
      <w:r>
        <w:rPr>
          <w:position w:val="-6"/>
          <w:sz w:val="11"/>
        </w:rPr>
        <w:t>2 </w:t>
      </w:r>
      <w:r>
        <w:rPr/>
        <w:t>plume rising through the rock matrix </w:t>
      </w:r>
      <w:hyperlink w:history="true" w:anchor="_bookmark11">
        <w:r>
          <w:rPr/>
          <w:t>(Figure 5.6) </w:t>
        </w:r>
      </w:hyperlink>
      <w:r>
        <w:rPr/>
        <w:t>is strongly affected by formation heterogeneity,</w:t>
      </w:r>
      <w:r>
        <w:rPr>
          <w:spacing w:val="-19"/>
        </w:rPr>
        <w:t> </w:t>
      </w:r>
      <w:r>
        <w:rPr/>
        <w:t>such</w:t>
      </w:r>
      <w:r>
        <w:rPr>
          <w:spacing w:val="-19"/>
        </w:rPr>
        <w:t> </w:t>
      </w:r>
      <w:r>
        <w:rPr/>
        <w:t>as</w:t>
      </w:r>
      <w:r>
        <w:rPr>
          <w:spacing w:val="-18"/>
        </w:rPr>
        <w:t> </w:t>
      </w:r>
      <w:r>
        <w:rPr/>
        <w:t>low-permeability</w:t>
      </w:r>
      <w:r>
        <w:rPr>
          <w:spacing w:val="-19"/>
        </w:rPr>
        <w:t> </w:t>
      </w:r>
      <w:r>
        <w:rPr/>
        <w:t>shale</w:t>
      </w:r>
      <w:r>
        <w:rPr>
          <w:spacing w:val="-19"/>
        </w:rPr>
        <w:t> </w:t>
      </w:r>
      <w:r>
        <w:rPr/>
        <w:t>lenses</w:t>
      </w:r>
      <w:r>
        <w:rPr>
          <w:spacing w:val="-18"/>
        </w:rPr>
        <w:t> </w:t>
      </w:r>
      <w:r>
        <w:rPr/>
        <w:t>(Flett</w:t>
      </w:r>
      <w:r>
        <w:rPr>
          <w:spacing w:val="-20"/>
        </w:rPr>
        <w:t> </w:t>
      </w:r>
      <w:r>
        <w:rPr>
          <w:i/>
        </w:rPr>
        <w:t>et</w:t>
      </w:r>
      <w:r>
        <w:rPr>
          <w:i/>
          <w:spacing w:val="-18"/>
        </w:rPr>
        <w:t> </w:t>
      </w:r>
      <w:r>
        <w:rPr>
          <w:i/>
        </w:rPr>
        <w:t>al.</w:t>
      </w:r>
      <w:r>
        <w:rPr/>
        <w:t>, 2005). Low-permeability layers within the storage formation therefore have the effect of slowing the upward migration of CO</w:t>
      </w:r>
      <w:r>
        <w:rPr>
          <w:position w:val="-6"/>
          <w:sz w:val="11"/>
        </w:rPr>
        <w:t>2</w:t>
      </w:r>
      <w:r>
        <w:rPr/>
        <w:t>, which would otherwise cause CO</w:t>
      </w:r>
      <w:r>
        <w:rPr>
          <w:position w:val="-6"/>
          <w:sz w:val="11"/>
        </w:rPr>
        <w:t>2 </w:t>
      </w:r>
      <w:r>
        <w:rPr/>
        <w:t>to bypass deeper</w:t>
      </w:r>
      <w:r>
        <w:rPr>
          <w:spacing w:val="29"/>
        </w:rPr>
        <w:t> </w:t>
      </w:r>
      <w:r>
        <w:rPr/>
        <w:t>parts</w:t>
      </w:r>
    </w:p>
    <w:p>
      <w:pPr>
        <w:pStyle w:val="BodyText"/>
        <w:spacing w:line="225" w:lineRule="auto" w:before="74"/>
        <w:ind w:left="157" w:right="531"/>
        <w:jc w:val="both"/>
      </w:pPr>
      <w:r>
        <w:rPr/>
        <w:br w:type="column"/>
      </w:r>
      <w:r>
        <w:rPr/>
        <w:t>of millimetres to centimetres per year (Bachu </w:t>
      </w:r>
      <w:r>
        <w:rPr>
          <w:i/>
        </w:rPr>
        <w:t>et al.</w:t>
      </w:r>
      <w:r>
        <w:rPr/>
        <w:t>, 1994). Thus, migration rates of dissolved CO</w:t>
      </w:r>
      <w:r>
        <w:rPr>
          <w:position w:val="-6"/>
          <w:sz w:val="11"/>
        </w:rPr>
        <w:t>2 </w:t>
      </w:r>
      <w:r>
        <w:rPr/>
        <w:t>are substantially lower than for separate-phase CO</w:t>
      </w:r>
      <w:r>
        <w:rPr>
          <w:position w:val="-6"/>
          <w:sz w:val="11"/>
        </w:rPr>
        <w:t>2</w:t>
      </w:r>
      <w:r>
        <w:rPr/>
        <w:t>.</w:t>
      </w:r>
    </w:p>
    <w:p>
      <w:pPr>
        <w:pStyle w:val="BodyText"/>
        <w:spacing w:line="187" w:lineRule="auto"/>
        <w:ind w:left="440"/>
        <w:jc w:val="both"/>
      </w:pPr>
      <w:r>
        <w:rPr>
          <w:spacing w:val="-4"/>
        </w:rPr>
        <w:t>Water </w:t>
      </w:r>
      <w:r>
        <w:rPr/>
        <w:t>saturated with CO</w:t>
      </w:r>
      <w:r>
        <w:rPr>
          <w:position w:val="-6"/>
          <w:sz w:val="11"/>
        </w:rPr>
        <w:t>2  </w:t>
      </w:r>
      <w:r>
        <w:rPr/>
        <w:t>is slightly denser</w:t>
      </w:r>
      <w:r>
        <w:rPr>
          <w:spacing w:val="30"/>
        </w:rPr>
        <w:t> </w:t>
      </w:r>
      <w:r>
        <w:rPr/>
        <w:t>(approximately</w:t>
      </w:r>
    </w:p>
    <w:p>
      <w:pPr>
        <w:pStyle w:val="BodyText"/>
        <w:spacing w:line="210" w:lineRule="exact"/>
        <w:ind w:left="157"/>
        <w:jc w:val="both"/>
      </w:pPr>
      <w:r>
        <w:rPr/>
        <w:t>1%)</w:t>
      </w:r>
      <w:r>
        <w:rPr>
          <w:spacing w:val="24"/>
        </w:rPr>
        <w:t> </w:t>
      </w:r>
      <w:r>
        <w:rPr/>
        <w:t>than</w:t>
      </w:r>
      <w:r>
        <w:rPr>
          <w:spacing w:val="25"/>
        </w:rPr>
        <w:t> </w:t>
      </w:r>
      <w:r>
        <w:rPr/>
        <w:t>the</w:t>
      </w:r>
      <w:r>
        <w:rPr>
          <w:spacing w:val="24"/>
        </w:rPr>
        <w:t> </w:t>
      </w:r>
      <w:r>
        <w:rPr/>
        <w:t>original</w:t>
      </w:r>
      <w:r>
        <w:rPr>
          <w:spacing w:val="25"/>
        </w:rPr>
        <w:t> </w:t>
      </w:r>
      <w:r>
        <w:rPr/>
        <w:t>formation</w:t>
      </w:r>
      <w:r>
        <w:rPr>
          <w:spacing w:val="25"/>
        </w:rPr>
        <w:t> </w:t>
      </w:r>
      <w:r>
        <w:rPr>
          <w:spacing w:val="-3"/>
        </w:rPr>
        <w:t>water,</w:t>
      </w:r>
      <w:r>
        <w:rPr>
          <w:spacing w:val="24"/>
        </w:rPr>
        <w:t> </w:t>
      </w:r>
      <w:r>
        <w:rPr/>
        <w:t>depending</w:t>
      </w:r>
      <w:r>
        <w:rPr>
          <w:spacing w:val="25"/>
        </w:rPr>
        <w:t> </w:t>
      </w:r>
      <w:r>
        <w:rPr/>
        <w:t>on</w:t>
      </w:r>
      <w:r>
        <w:rPr>
          <w:spacing w:val="25"/>
        </w:rPr>
        <w:t> </w:t>
      </w:r>
      <w:r>
        <w:rPr/>
        <w:t>salinity</w:t>
      </w:r>
    </w:p>
    <w:p>
      <w:pPr>
        <w:pStyle w:val="BodyText"/>
        <w:spacing w:line="240" w:lineRule="exact"/>
        <w:ind w:left="157" w:right="530"/>
        <w:jc w:val="both"/>
      </w:pPr>
      <w:r>
        <w:rPr/>
        <w:t>(Enick and Klara, 1990; Bachu and Adams,  2003).  With  high vertical permeability, this may lead to free convection, replacing the CO</w:t>
      </w:r>
      <w:r>
        <w:rPr>
          <w:position w:val="-6"/>
          <w:sz w:val="11"/>
        </w:rPr>
        <w:t>2</w:t>
      </w:r>
      <w:r>
        <w:rPr/>
        <w:t>-saturated water from the plume vicinity</w:t>
      </w:r>
      <w:r>
        <w:rPr>
          <w:spacing w:val="-21"/>
        </w:rPr>
        <w:t> </w:t>
      </w:r>
      <w:r>
        <w:rPr/>
        <w:t>with unsaturated </w:t>
      </w:r>
      <w:r>
        <w:rPr>
          <w:spacing w:val="-3"/>
        </w:rPr>
        <w:t>water, </w:t>
      </w:r>
      <w:r>
        <w:rPr/>
        <w:t>producing faster rates of CO</w:t>
      </w:r>
      <w:r>
        <w:rPr>
          <w:position w:val="-6"/>
          <w:sz w:val="11"/>
        </w:rPr>
        <w:t>2 </w:t>
      </w:r>
      <w:r>
        <w:rPr/>
        <w:t>dissolution (Lindeberg and Wessel-Berg, 1997; Ennis-King and Paterson, 2003). </w:t>
      </w:r>
      <w:hyperlink w:history="true" w:anchor="_bookmark12">
        <w:r>
          <w:rPr/>
          <w:t>Figure 5.7 </w:t>
        </w:r>
      </w:hyperlink>
      <w:r>
        <w:rPr/>
        <w:t>illustrates the formation of convection cells and dissolution of CO</w:t>
      </w:r>
      <w:r>
        <w:rPr>
          <w:position w:val="-6"/>
          <w:sz w:val="11"/>
        </w:rPr>
        <w:t>2 </w:t>
      </w:r>
      <w:r>
        <w:rPr/>
        <w:t>over several thousand years. The solubility of CO</w:t>
      </w:r>
      <w:r>
        <w:rPr>
          <w:position w:val="-6"/>
          <w:sz w:val="11"/>
        </w:rPr>
        <w:t>2 </w:t>
      </w:r>
      <w:r>
        <w:rPr/>
        <w:t>in brine decreases with increasing pressure, decreasing temperature and increasing salinity (Annex 1). Calculations indicate that, depending on the salinity and</w:t>
      </w:r>
      <w:r>
        <w:rPr>
          <w:spacing w:val="1"/>
        </w:rPr>
        <w:t> </w:t>
      </w:r>
      <w:r>
        <w:rPr/>
        <w:t>depth,</w:t>
      </w:r>
    </w:p>
    <w:p>
      <w:pPr>
        <w:spacing w:after="0" w:line="240" w:lineRule="exact"/>
        <w:jc w:val="both"/>
        <w:sectPr>
          <w:type w:val="continuous"/>
          <w:pgSz w:w="12240" w:h="15840"/>
          <w:pgMar w:top="400" w:bottom="280" w:left="580" w:right="600"/>
          <w:cols w:num="2" w:equalWidth="0">
            <w:col w:w="5242" w:space="85"/>
            <w:col w:w="5733"/>
          </w:cols>
        </w:sectPr>
      </w:pPr>
    </w:p>
    <w:p>
      <w:pPr>
        <w:pStyle w:val="BodyText"/>
        <w:spacing w:line="230" w:lineRule="exact"/>
        <w:ind w:left="157"/>
      </w:pPr>
      <w:r>
        <w:rPr/>
        <w:t>of the storage formation (Doughty </w:t>
      </w:r>
      <w:r>
        <w:rPr>
          <w:i/>
        </w:rPr>
        <w:t>et al.</w:t>
      </w:r>
      <w:r>
        <w:rPr/>
        <w:t>, 2001).</w:t>
      </w:r>
    </w:p>
    <w:p>
      <w:pPr>
        <w:pStyle w:val="BodyText"/>
        <w:spacing w:line="276" w:lineRule="exact"/>
        <w:ind w:left="157"/>
        <w:rPr>
          <w:sz w:val="11"/>
        </w:rPr>
      </w:pPr>
      <w:r>
        <w:rPr/>
        <w:br w:type="column"/>
      </w:r>
      <w:r>
        <w:rPr/>
        <w:t>20–60 kgCO</w:t>
      </w:r>
      <w:r>
        <w:rPr>
          <w:position w:val="-6"/>
          <w:sz w:val="11"/>
        </w:rPr>
        <w:t>2</w:t>
      </w:r>
    </w:p>
    <w:p>
      <w:pPr>
        <w:pStyle w:val="BodyText"/>
        <w:spacing w:line="230" w:lineRule="exact"/>
        <w:ind w:left="24"/>
        <w:rPr>
          <w:i/>
        </w:rPr>
      </w:pPr>
      <w:r>
        <w:rPr/>
        <w:br w:type="column"/>
      </w:r>
      <w:r>
        <w:rPr/>
        <w:t>can dissolve in 1 m</w:t>
      </w:r>
      <w:r>
        <w:rPr>
          <w:position w:val="7"/>
          <w:sz w:val="11"/>
        </w:rPr>
        <w:t>3 </w:t>
      </w:r>
      <w:r>
        <w:rPr/>
        <w:t>of formation fluid (Holt </w:t>
      </w:r>
      <w:r>
        <w:rPr>
          <w:i/>
        </w:rPr>
        <w:t>et</w:t>
      </w:r>
    </w:p>
    <w:p>
      <w:pPr>
        <w:spacing w:after="0" w:line="230" w:lineRule="exact"/>
        <w:sectPr>
          <w:type w:val="continuous"/>
          <w:pgSz w:w="12240" w:h="15840"/>
          <w:pgMar w:top="400" w:bottom="280" w:left="580" w:right="600"/>
          <w:cols w:num="3" w:equalWidth="0">
            <w:col w:w="4008" w:space="1319"/>
            <w:col w:w="1259" w:space="39"/>
            <w:col w:w="4435"/>
          </w:cols>
        </w:sectPr>
      </w:pPr>
    </w:p>
    <w:p>
      <w:pPr>
        <w:pStyle w:val="BodyText"/>
        <w:spacing w:line="187" w:lineRule="auto"/>
        <w:ind w:left="440"/>
      </w:pPr>
      <w:r>
        <w:rPr/>
        <w:t>As</w:t>
      </w:r>
      <w:r>
        <w:rPr>
          <w:spacing w:val="37"/>
        </w:rPr>
        <w:t> </w:t>
      </w:r>
      <w:r>
        <w:rPr/>
        <w:t>CO</w:t>
      </w:r>
      <w:r>
        <w:rPr>
          <w:position w:val="-6"/>
          <w:sz w:val="11"/>
        </w:rPr>
        <w:t>2  </w:t>
      </w:r>
      <w:r>
        <w:rPr>
          <w:spacing w:val="4"/>
          <w:position w:val="-6"/>
          <w:sz w:val="11"/>
        </w:rPr>
        <w:t> </w:t>
      </w:r>
      <w:r>
        <w:rPr/>
        <w:t>migrates</w:t>
      </w:r>
      <w:r>
        <w:rPr>
          <w:spacing w:val="38"/>
        </w:rPr>
        <w:t> </w:t>
      </w:r>
      <w:r>
        <w:rPr/>
        <w:t>through</w:t>
      </w:r>
      <w:r>
        <w:rPr>
          <w:spacing w:val="37"/>
        </w:rPr>
        <w:t> </w:t>
      </w:r>
      <w:r>
        <w:rPr/>
        <w:t>the</w:t>
      </w:r>
      <w:r>
        <w:rPr>
          <w:spacing w:val="37"/>
        </w:rPr>
        <w:t> </w:t>
      </w:r>
      <w:r>
        <w:rPr/>
        <w:t>formation,</w:t>
      </w:r>
      <w:r>
        <w:rPr>
          <w:spacing w:val="38"/>
        </w:rPr>
        <w:t> </w:t>
      </w:r>
      <w:r>
        <w:rPr/>
        <w:t>some</w:t>
      </w:r>
      <w:r>
        <w:rPr>
          <w:spacing w:val="37"/>
        </w:rPr>
        <w:t> </w:t>
      </w:r>
      <w:r>
        <w:rPr/>
        <w:t>of</w:t>
      </w:r>
      <w:r>
        <w:rPr>
          <w:spacing w:val="37"/>
        </w:rPr>
        <w:t> </w:t>
      </w:r>
      <w:r>
        <w:rPr/>
        <w:t>it</w:t>
      </w:r>
      <w:r>
        <w:rPr>
          <w:spacing w:val="38"/>
        </w:rPr>
        <w:t> </w:t>
      </w:r>
      <w:r>
        <w:rPr/>
        <w:t>will</w:t>
      </w:r>
    </w:p>
    <w:p>
      <w:pPr>
        <w:pStyle w:val="BodyText"/>
        <w:spacing w:line="210" w:lineRule="exact"/>
        <w:ind w:left="157"/>
        <w:jc w:val="both"/>
      </w:pPr>
      <w:r>
        <w:rPr/>
        <w:t>dissolve  into  the  formation  </w:t>
      </w:r>
      <w:r>
        <w:rPr>
          <w:spacing w:val="-3"/>
        </w:rPr>
        <w:t>water.  </w:t>
      </w:r>
      <w:r>
        <w:rPr/>
        <w:t>In  systems  with  </w:t>
      </w:r>
      <w:r>
        <w:rPr>
          <w:spacing w:val="7"/>
        </w:rPr>
        <w:t> </w:t>
      </w:r>
      <w:r>
        <w:rPr/>
        <w:t>slowly</w:t>
      </w:r>
    </w:p>
    <w:p>
      <w:pPr>
        <w:pStyle w:val="BodyText"/>
        <w:spacing w:line="240" w:lineRule="exact"/>
        <w:ind w:left="157" w:right="38"/>
        <w:jc w:val="both"/>
      </w:pPr>
      <w:r>
        <w:rPr/>
        <w:t>flowing </w:t>
      </w:r>
      <w:r>
        <w:rPr>
          <w:spacing w:val="-3"/>
        </w:rPr>
        <w:t>water, </w:t>
      </w:r>
      <w:r>
        <w:rPr/>
        <w:t>reservoir-scale numerical simulations show that, over tens of years, a significant amount, up to 30% of the injected CO</w:t>
      </w:r>
      <w:r>
        <w:rPr>
          <w:position w:val="-6"/>
          <w:sz w:val="11"/>
        </w:rPr>
        <w:t>2</w:t>
      </w:r>
      <w:r>
        <w:rPr/>
        <w:t>, will dissolve in formation water (Doughty </w:t>
      </w:r>
      <w:r>
        <w:rPr>
          <w:i/>
        </w:rPr>
        <w:t>et al.</w:t>
      </w:r>
      <w:r>
        <w:rPr/>
        <w:t>, 2001). Basin-scale simulations suggest that over centuries, the entire CO</w:t>
      </w:r>
      <w:r>
        <w:rPr>
          <w:position w:val="-6"/>
          <w:sz w:val="11"/>
        </w:rPr>
        <w:t>2 </w:t>
      </w:r>
      <w:r>
        <w:rPr/>
        <w:t>plume dissolves in formation water (McPherson and Cole, 2000; Ennis-King </w:t>
      </w:r>
      <w:r>
        <w:rPr>
          <w:i/>
        </w:rPr>
        <w:t>et al.</w:t>
      </w:r>
      <w:r>
        <w:rPr/>
        <w:t>, 2003).  If  the  injected  CO</w:t>
      </w:r>
      <w:r>
        <w:rPr>
          <w:position w:val="-6"/>
          <w:sz w:val="11"/>
        </w:rPr>
        <w:t>2 </w:t>
      </w:r>
      <w:r>
        <w:rPr/>
        <w:t>is contained in a closed structure (no flow of formation water), it will take much longer for CO</w:t>
      </w:r>
      <w:r>
        <w:rPr>
          <w:position w:val="-6"/>
          <w:sz w:val="11"/>
        </w:rPr>
        <w:t>2 </w:t>
      </w:r>
      <w:r>
        <w:rPr/>
        <w:t>to completely dissolve because of reduced contact with unsaturated formation </w:t>
      </w:r>
      <w:r>
        <w:rPr>
          <w:spacing w:val="-3"/>
        </w:rPr>
        <w:t>water. </w:t>
      </w:r>
      <w:r>
        <w:rPr/>
        <w:t>Once CO</w:t>
      </w:r>
      <w:r>
        <w:rPr>
          <w:position w:val="-6"/>
          <w:sz w:val="11"/>
        </w:rPr>
        <w:t>2 </w:t>
      </w:r>
      <w:r>
        <w:rPr/>
        <w:t>is dissolved in the formation fluid, it migrates along with the regional groundwater </w:t>
      </w:r>
      <w:r>
        <w:rPr>
          <w:spacing w:val="-4"/>
        </w:rPr>
        <w:t>flow. </w:t>
      </w:r>
      <w:r>
        <w:rPr/>
        <w:t>For deep sedimentary basins characterized by low permeability and high </w:t>
      </w:r>
      <w:r>
        <w:rPr>
          <w:spacing w:val="-3"/>
        </w:rPr>
        <w:t>salinity, </w:t>
      </w:r>
      <w:r>
        <w:rPr/>
        <w:t>groundwater</w:t>
      </w:r>
      <w:r>
        <w:rPr>
          <w:spacing w:val="-6"/>
        </w:rPr>
        <w:t> </w:t>
      </w:r>
      <w:r>
        <w:rPr/>
        <w:t>flow</w:t>
      </w:r>
      <w:r>
        <w:rPr>
          <w:spacing w:val="-6"/>
        </w:rPr>
        <w:t> </w:t>
      </w:r>
      <w:r>
        <w:rPr/>
        <w:t>velocities</w:t>
      </w:r>
      <w:r>
        <w:rPr>
          <w:spacing w:val="-6"/>
        </w:rPr>
        <w:t> </w:t>
      </w:r>
      <w:r>
        <w:rPr/>
        <w:t>are</w:t>
      </w:r>
      <w:r>
        <w:rPr>
          <w:spacing w:val="-6"/>
        </w:rPr>
        <w:t> </w:t>
      </w:r>
      <w:r>
        <w:rPr/>
        <w:t>very</w:t>
      </w:r>
      <w:r>
        <w:rPr>
          <w:spacing w:val="-6"/>
        </w:rPr>
        <w:t> </w:t>
      </w:r>
      <w:r>
        <w:rPr>
          <w:spacing w:val="-4"/>
        </w:rPr>
        <w:t>low,</w:t>
      </w:r>
      <w:r>
        <w:rPr>
          <w:spacing w:val="-6"/>
        </w:rPr>
        <w:t> </w:t>
      </w:r>
      <w:r>
        <w:rPr/>
        <w:t>typically</w:t>
      </w:r>
      <w:r>
        <w:rPr>
          <w:spacing w:val="-6"/>
        </w:rPr>
        <w:t> </w:t>
      </w:r>
      <w:r>
        <w:rPr/>
        <w:t>on</w:t>
      </w:r>
      <w:r>
        <w:rPr>
          <w:spacing w:val="-6"/>
        </w:rPr>
        <w:t> </w:t>
      </w:r>
      <w:r>
        <w:rPr/>
        <w:t>the</w:t>
      </w:r>
      <w:r>
        <w:rPr>
          <w:spacing w:val="-6"/>
        </w:rPr>
        <w:t> </w:t>
      </w:r>
      <w:r>
        <w:rPr>
          <w:spacing w:val="-3"/>
        </w:rPr>
        <w:t>order</w:t>
      </w:r>
    </w:p>
    <w:p>
      <w:pPr>
        <w:pStyle w:val="BodyText"/>
        <w:spacing w:line="193" w:lineRule="exact"/>
        <w:ind w:left="157"/>
      </w:pPr>
      <w:r>
        <w:rPr/>
        <w:br w:type="column"/>
      </w:r>
      <w:r>
        <w:rPr>
          <w:i/>
        </w:rPr>
        <w:t>al.</w:t>
      </w:r>
      <w:r>
        <w:rPr/>
        <w:t>, 1995; Koide </w:t>
      </w:r>
      <w:r>
        <w:rPr>
          <w:i/>
        </w:rPr>
        <w:t>et al.</w:t>
      </w:r>
      <w:r>
        <w:rPr/>
        <w:t>, 1995). With the use of a homogeneous</w:t>
      </w:r>
    </w:p>
    <w:p>
      <w:pPr>
        <w:pStyle w:val="BodyText"/>
        <w:spacing w:line="249" w:lineRule="auto" w:before="10"/>
        <w:ind w:left="157" w:right="348"/>
      </w:pPr>
      <w:r>
        <w:rPr/>
        <w:t>model rather than a heterogeneous one, the time required for complete CO</w:t>
      </w:r>
      <w:r>
        <w:rPr>
          <w:position w:val="-6"/>
          <w:sz w:val="11"/>
        </w:rPr>
        <w:t>2 </w:t>
      </w:r>
      <w:r>
        <w:rPr/>
        <w:t>dissolution may be underestimated.</w:t>
      </w:r>
    </w:p>
    <w:p>
      <w:pPr>
        <w:pStyle w:val="BodyText"/>
        <w:spacing w:line="175" w:lineRule="auto"/>
        <w:ind w:left="440"/>
      </w:pPr>
      <w:r>
        <w:rPr/>
        <w:t>As CO</w:t>
      </w:r>
      <w:r>
        <w:rPr>
          <w:position w:val="-6"/>
          <w:sz w:val="11"/>
        </w:rPr>
        <w:t>2  </w:t>
      </w:r>
      <w:r>
        <w:rPr/>
        <w:t>migrates through a formation, some of it is</w:t>
      </w:r>
      <w:r>
        <w:rPr>
          <w:spacing w:val="-26"/>
        </w:rPr>
        <w:t> </w:t>
      </w:r>
      <w:r>
        <w:rPr/>
        <w:t>retained</w:t>
      </w:r>
    </w:p>
    <w:p>
      <w:pPr>
        <w:pStyle w:val="BodyText"/>
        <w:spacing w:line="214" w:lineRule="exact"/>
        <w:ind w:left="157"/>
        <w:jc w:val="both"/>
      </w:pPr>
      <w:r>
        <w:rPr/>
        <w:t>in</w:t>
      </w:r>
      <w:r>
        <w:rPr>
          <w:spacing w:val="20"/>
        </w:rPr>
        <w:t> </w:t>
      </w:r>
      <w:r>
        <w:rPr/>
        <w:t>the</w:t>
      </w:r>
      <w:r>
        <w:rPr>
          <w:spacing w:val="21"/>
        </w:rPr>
        <w:t> </w:t>
      </w:r>
      <w:r>
        <w:rPr/>
        <w:t>pore</w:t>
      </w:r>
      <w:r>
        <w:rPr>
          <w:spacing w:val="20"/>
        </w:rPr>
        <w:t> </w:t>
      </w:r>
      <w:r>
        <w:rPr/>
        <w:t>space</w:t>
      </w:r>
      <w:r>
        <w:rPr>
          <w:spacing w:val="21"/>
        </w:rPr>
        <w:t> </w:t>
      </w:r>
      <w:r>
        <w:rPr/>
        <w:t>by</w:t>
      </w:r>
      <w:r>
        <w:rPr>
          <w:spacing w:val="20"/>
        </w:rPr>
        <w:t> </w:t>
      </w:r>
      <w:r>
        <w:rPr/>
        <w:t>capillary</w:t>
      </w:r>
      <w:r>
        <w:rPr>
          <w:spacing w:val="21"/>
        </w:rPr>
        <w:t> </w:t>
      </w:r>
      <w:r>
        <w:rPr/>
        <w:t>forces</w:t>
      </w:r>
      <w:r>
        <w:rPr>
          <w:spacing w:val="20"/>
        </w:rPr>
        <w:t> </w:t>
      </w:r>
      <w:hyperlink w:history="true" w:anchor="_bookmark10">
        <w:r>
          <w:rPr/>
          <w:t>(Figure</w:t>
        </w:r>
        <w:r>
          <w:rPr>
            <w:spacing w:val="21"/>
          </w:rPr>
          <w:t> </w:t>
        </w:r>
        <w:r>
          <w:rPr/>
          <w:t>5.6),</w:t>
        </w:r>
        <w:r>
          <w:rPr>
            <w:spacing w:val="21"/>
          </w:rPr>
          <w:t> </w:t>
        </w:r>
      </w:hyperlink>
      <w:r>
        <w:rPr/>
        <w:t>commonly</w:t>
      </w:r>
    </w:p>
    <w:p>
      <w:pPr>
        <w:pStyle w:val="BodyText"/>
        <w:spacing w:line="240" w:lineRule="exact"/>
        <w:ind w:left="157" w:right="530"/>
        <w:jc w:val="both"/>
      </w:pPr>
      <w:r>
        <w:rPr/>
        <w:t>referred to as ‘residual CO</w:t>
      </w:r>
      <w:r>
        <w:rPr>
          <w:position w:val="-6"/>
          <w:sz w:val="11"/>
        </w:rPr>
        <w:t>2 </w:t>
      </w:r>
      <w:r>
        <w:rPr/>
        <w:t>trapping’, which may immobilize significant amounts of CO</w:t>
      </w:r>
      <w:r>
        <w:rPr>
          <w:position w:val="-6"/>
          <w:sz w:val="11"/>
        </w:rPr>
        <w:t>2 </w:t>
      </w:r>
      <w:r>
        <w:rPr/>
        <w:t>(Obdam </w:t>
      </w:r>
      <w:r>
        <w:rPr>
          <w:i/>
        </w:rPr>
        <w:t>et al.</w:t>
      </w:r>
      <w:r>
        <w:rPr/>
        <w:t>, 2003; Kumar </w:t>
      </w:r>
      <w:r>
        <w:rPr>
          <w:i/>
        </w:rPr>
        <w:t>et al.</w:t>
      </w:r>
      <w:r>
        <w:rPr/>
        <w:t>, 2005). </w:t>
      </w:r>
      <w:hyperlink w:history="true" w:anchor="_bookmark13">
        <w:r>
          <w:rPr/>
          <w:t>Figure 5.8 </w:t>
        </w:r>
      </w:hyperlink>
      <w:r>
        <w:rPr/>
        <w:t>illustrates that when the degree of trapping  is high and CO</w:t>
      </w:r>
      <w:r>
        <w:rPr>
          <w:position w:val="-6"/>
          <w:sz w:val="11"/>
        </w:rPr>
        <w:t>2 </w:t>
      </w:r>
      <w:r>
        <w:rPr/>
        <w:t>is injected at the bottom of a thick formation, all of the CO</w:t>
      </w:r>
      <w:r>
        <w:rPr>
          <w:position w:val="-6"/>
          <w:sz w:val="11"/>
        </w:rPr>
        <w:t>2 </w:t>
      </w:r>
      <w:r>
        <w:rPr/>
        <w:t>may be trapped by this mechanism, even before it reaches the caprock at the top of the formation. While this effect is formation-specific, Holtz (2002) has demonstrated that residual CO</w:t>
      </w:r>
      <w:r>
        <w:rPr>
          <w:position w:val="-6"/>
          <w:sz w:val="11"/>
        </w:rPr>
        <w:t>2 </w:t>
      </w:r>
      <w:r>
        <w:rPr/>
        <w:t>saturations may be as high as 15–25% for many typical storage formations. Over time, much of the trapped CO</w:t>
      </w:r>
      <w:bookmarkStart w:name="_bookmark10" w:id="21"/>
      <w:bookmarkEnd w:id="21"/>
      <w:r>
        <w:rPr/>
      </w:r>
      <w:bookmarkStart w:name="_bookmark11" w:id="22"/>
      <w:bookmarkEnd w:id="22"/>
      <w:r>
        <w:rPr/>
      </w:r>
      <w:r>
        <w:rPr>
          <w:position w:val="-6"/>
          <w:sz w:val="11"/>
        </w:rPr>
        <w:t>2  </w:t>
      </w:r>
      <w:r>
        <w:rPr/>
        <w:t>dissolves in the formation water (Ennis-King </w:t>
      </w:r>
      <w:r>
        <w:rPr>
          <w:spacing w:val="1"/>
        </w:rPr>
        <w:t> </w:t>
      </w:r>
      <w:r>
        <w:rPr/>
        <w:t>and</w:t>
      </w:r>
    </w:p>
    <w:p>
      <w:pPr>
        <w:spacing w:after="0" w:line="240" w:lineRule="exact"/>
        <w:jc w:val="both"/>
        <w:sectPr>
          <w:type w:val="continuous"/>
          <w:pgSz w:w="12240" w:h="15840"/>
          <w:pgMar w:top="400" w:bottom="280" w:left="580" w:right="600"/>
          <w:cols w:num="2" w:equalWidth="0">
            <w:col w:w="5241" w:space="85"/>
            <w:col w:w="5734"/>
          </w:cols>
        </w:sectPr>
      </w:pPr>
    </w:p>
    <w:p>
      <w:pPr>
        <w:pStyle w:val="BodyText"/>
      </w:pPr>
    </w:p>
    <w:p>
      <w:pPr>
        <w:pStyle w:val="BodyText"/>
        <w:rPr>
          <w:sz w:val="15"/>
        </w:rPr>
      </w:pPr>
    </w:p>
    <w:p>
      <w:pPr>
        <w:pStyle w:val="BodyText"/>
        <w:ind w:left="168"/>
      </w:pPr>
      <w:r>
        <w:rPr/>
        <w:pict>
          <v:group style="width:517.9pt;height:230.75pt;mso-position-horizontal-relative:char;mso-position-vertical-relative:line" coordorigin="0,0" coordsize="10358,4615">
            <v:shape style="position:absolute;left:201;top:4;width:9897;height:4549" type="#_x0000_t75" stroked="false">
              <v:imagedata r:id="rId30" o:title=""/>
            </v:shape>
            <v:rect style="position:absolute;left:5;top:5;width:10348;height:4605" filled="false" stroked="true" strokeweight=".5pt" strokecolor="#000000">
              <v:stroke dashstyle="solid"/>
            </v:rect>
          </v:group>
        </w:pict>
      </w:r>
      <w:r>
        <w:rPr/>
      </w:r>
    </w:p>
    <w:p>
      <w:pPr>
        <w:spacing w:line="211" w:lineRule="auto" w:before="116"/>
        <w:ind w:left="122" w:right="564" w:firstLine="0"/>
        <w:jc w:val="both"/>
        <w:rPr>
          <w:sz w:val="18"/>
        </w:rPr>
      </w:pPr>
      <w:r>
        <w:rPr>
          <w:b/>
          <w:sz w:val="18"/>
        </w:rPr>
        <w:t>Figure 5.6 </w:t>
      </w:r>
      <w:r>
        <w:rPr>
          <w:sz w:val="18"/>
        </w:rPr>
        <w:t>Simulated distribution of CO</w:t>
      </w:r>
      <w:r>
        <w:rPr>
          <w:position w:val="-5"/>
          <w:sz w:val="10"/>
        </w:rPr>
        <w:t>2 </w:t>
      </w:r>
      <w:r>
        <w:rPr>
          <w:sz w:val="18"/>
        </w:rPr>
        <w:t>injected into a heterogeneous formation with low-permeability layers that block upward migration of CO</w:t>
      </w:r>
      <w:r>
        <w:rPr>
          <w:position w:val="-5"/>
          <w:sz w:val="10"/>
        </w:rPr>
        <w:t>2</w:t>
      </w:r>
      <w:r>
        <w:rPr>
          <w:sz w:val="18"/>
        </w:rPr>
        <w:t>.</w:t>
      </w:r>
      <w:r>
        <w:rPr>
          <w:spacing w:val="-8"/>
          <w:sz w:val="18"/>
        </w:rPr>
        <w:t> </w:t>
      </w:r>
      <w:r>
        <w:rPr>
          <w:sz w:val="18"/>
        </w:rPr>
        <w:t>(a)</w:t>
      </w:r>
      <w:r>
        <w:rPr>
          <w:spacing w:val="-7"/>
          <w:sz w:val="18"/>
        </w:rPr>
        <w:t> </w:t>
      </w:r>
      <w:r>
        <w:rPr>
          <w:sz w:val="18"/>
        </w:rPr>
        <w:t>Illustration</w:t>
      </w:r>
      <w:r>
        <w:rPr>
          <w:spacing w:val="-7"/>
          <w:sz w:val="18"/>
        </w:rPr>
        <w:t> </w:t>
      </w:r>
      <w:r>
        <w:rPr>
          <w:sz w:val="18"/>
        </w:rPr>
        <w:t>of</w:t>
      </w:r>
      <w:r>
        <w:rPr>
          <w:spacing w:val="-7"/>
          <w:sz w:val="18"/>
        </w:rPr>
        <w:t> </w:t>
      </w:r>
      <w:r>
        <w:rPr>
          <w:sz w:val="18"/>
        </w:rPr>
        <w:t>a</w:t>
      </w:r>
      <w:r>
        <w:rPr>
          <w:spacing w:val="-7"/>
          <w:sz w:val="18"/>
        </w:rPr>
        <w:t> </w:t>
      </w:r>
      <w:r>
        <w:rPr>
          <w:sz w:val="18"/>
        </w:rPr>
        <w:t>heterogeneous</w:t>
      </w:r>
      <w:r>
        <w:rPr>
          <w:spacing w:val="-7"/>
          <w:sz w:val="18"/>
        </w:rPr>
        <w:t> </w:t>
      </w:r>
      <w:r>
        <w:rPr>
          <w:sz w:val="18"/>
        </w:rPr>
        <w:t>formation</w:t>
      </w:r>
      <w:r>
        <w:rPr>
          <w:spacing w:val="-7"/>
          <w:sz w:val="18"/>
        </w:rPr>
        <w:t> </w:t>
      </w:r>
      <w:r>
        <w:rPr>
          <w:sz w:val="18"/>
        </w:rPr>
        <w:t>facies</w:t>
      </w:r>
      <w:r>
        <w:rPr>
          <w:spacing w:val="-7"/>
          <w:sz w:val="18"/>
        </w:rPr>
        <w:t> </w:t>
      </w:r>
      <w:r>
        <w:rPr>
          <w:sz w:val="18"/>
        </w:rPr>
        <w:t>grid</w:t>
      </w:r>
      <w:r>
        <w:rPr>
          <w:spacing w:val="-7"/>
          <w:sz w:val="18"/>
        </w:rPr>
        <w:t> </w:t>
      </w:r>
      <w:r>
        <w:rPr>
          <w:sz w:val="18"/>
        </w:rPr>
        <w:t>model.</w:t>
      </w:r>
      <w:r>
        <w:rPr>
          <w:spacing w:val="-10"/>
          <w:sz w:val="18"/>
        </w:rPr>
        <w:t> </w:t>
      </w:r>
      <w:r>
        <w:rPr>
          <w:sz w:val="18"/>
        </w:rPr>
        <w:t>The</w:t>
      </w:r>
      <w:r>
        <w:rPr>
          <w:spacing w:val="-7"/>
          <w:sz w:val="18"/>
        </w:rPr>
        <w:t> </w:t>
      </w:r>
      <w:r>
        <w:rPr>
          <w:sz w:val="18"/>
        </w:rPr>
        <w:t>location</w:t>
      </w:r>
      <w:r>
        <w:rPr>
          <w:spacing w:val="-7"/>
          <w:sz w:val="18"/>
        </w:rPr>
        <w:t> </w:t>
      </w:r>
      <w:r>
        <w:rPr>
          <w:sz w:val="18"/>
        </w:rPr>
        <w:t>of</w:t>
      </w:r>
      <w:r>
        <w:rPr>
          <w:spacing w:val="-7"/>
          <w:sz w:val="18"/>
        </w:rPr>
        <w:t> </w:t>
      </w:r>
      <w:r>
        <w:rPr>
          <w:sz w:val="18"/>
        </w:rPr>
        <w:t>the</w:t>
      </w:r>
      <w:r>
        <w:rPr>
          <w:spacing w:val="-7"/>
          <w:sz w:val="18"/>
        </w:rPr>
        <w:t> </w:t>
      </w:r>
      <w:r>
        <w:rPr>
          <w:sz w:val="18"/>
        </w:rPr>
        <w:t>injection</w:t>
      </w:r>
      <w:r>
        <w:rPr>
          <w:spacing w:val="-7"/>
          <w:sz w:val="18"/>
        </w:rPr>
        <w:t> </w:t>
      </w:r>
      <w:r>
        <w:rPr>
          <w:sz w:val="18"/>
        </w:rPr>
        <w:t>well</w:t>
      </w:r>
      <w:r>
        <w:rPr>
          <w:spacing w:val="-7"/>
          <w:sz w:val="18"/>
        </w:rPr>
        <w:t> </w:t>
      </w:r>
      <w:r>
        <w:rPr>
          <w:sz w:val="18"/>
        </w:rPr>
        <w:t>is</w:t>
      </w:r>
      <w:r>
        <w:rPr>
          <w:spacing w:val="-7"/>
          <w:sz w:val="18"/>
        </w:rPr>
        <w:t> </w:t>
      </w:r>
      <w:r>
        <w:rPr>
          <w:sz w:val="18"/>
        </w:rPr>
        <w:t>indicated</w:t>
      </w:r>
      <w:r>
        <w:rPr>
          <w:spacing w:val="-7"/>
          <w:sz w:val="18"/>
        </w:rPr>
        <w:t> </w:t>
      </w:r>
      <w:r>
        <w:rPr>
          <w:sz w:val="18"/>
        </w:rPr>
        <w:t>by</w:t>
      </w:r>
      <w:r>
        <w:rPr>
          <w:spacing w:val="-7"/>
          <w:sz w:val="18"/>
        </w:rPr>
        <w:t> </w:t>
      </w:r>
      <w:r>
        <w:rPr>
          <w:sz w:val="18"/>
        </w:rPr>
        <w:t>the</w:t>
      </w:r>
      <w:r>
        <w:rPr>
          <w:spacing w:val="-7"/>
          <w:sz w:val="18"/>
        </w:rPr>
        <w:t> </w:t>
      </w:r>
      <w:r>
        <w:rPr>
          <w:sz w:val="18"/>
        </w:rPr>
        <w:t>vertical</w:t>
      </w:r>
      <w:r>
        <w:rPr>
          <w:spacing w:val="-7"/>
          <w:sz w:val="18"/>
        </w:rPr>
        <w:t> </w:t>
      </w:r>
      <w:r>
        <w:rPr>
          <w:sz w:val="18"/>
        </w:rPr>
        <w:t>line</w:t>
      </w:r>
      <w:r>
        <w:rPr>
          <w:spacing w:val="-7"/>
          <w:sz w:val="18"/>
        </w:rPr>
        <w:t> </w:t>
      </w:r>
      <w:r>
        <w:rPr>
          <w:sz w:val="18"/>
        </w:rPr>
        <w:t>in</w:t>
      </w:r>
      <w:r>
        <w:rPr>
          <w:spacing w:val="-7"/>
          <w:sz w:val="18"/>
        </w:rPr>
        <w:t> </w:t>
      </w:r>
      <w:r>
        <w:rPr>
          <w:sz w:val="18"/>
        </w:rPr>
        <w:t>the</w:t>
      </w:r>
      <w:r>
        <w:rPr>
          <w:spacing w:val="-7"/>
          <w:sz w:val="18"/>
        </w:rPr>
        <w:t> </w:t>
      </w:r>
      <w:r>
        <w:rPr>
          <w:sz w:val="18"/>
        </w:rPr>
        <w:t>lower portion</w:t>
      </w:r>
      <w:r>
        <w:rPr>
          <w:spacing w:val="-3"/>
          <w:sz w:val="18"/>
        </w:rPr>
        <w:t> </w:t>
      </w:r>
      <w:r>
        <w:rPr>
          <w:sz w:val="18"/>
        </w:rPr>
        <w:t>of</w:t>
      </w:r>
      <w:r>
        <w:rPr>
          <w:spacing w:val="-3"/>
          <w:sz w:val="18"/>
        </w:rPr>
        <w:t> </w:t>
      </w:r>
      <w:r>
        <w:rPr>
          <w:sz w:val="18"/>
        </w:rPr>
        <w:t>the</w:t>
      </w:r>
      <w:r>
        <w:rPr>
          <w:spacing w:val="-3"/>
          <w:sz w:val="18"/>
        </w:rPr>
        <w:t> </w:t>
      </w:r>
      <w:r>
        <w:rPr>
          <w:sz w:val="18"/>
        </w:rPr>
        <w:t>grid.</w:t>
      </w:r>
      <w:r>
        <w:rPr>
          <w:spacing w:val="-3"/>
          <w:sz w:val="18"/>
        </w:rPr>
        <w:t> </w:t>
      </w:r>
      <w:r>
        <w:rPr>
          <w:sz w:val="18"/>
        </w:rPr>
        <w:t>(b)</w:t>
      </w:r>
      <w:r>
        <w:rPr>
          <w:spacing w:val="-6"/>
          <w:sz w:val="18"/>
        </w:rPr>
        <w:t> </w:t>
      </w:r>
      <w:r>
        <w:rPr>
          <w:sz w:val="18"/>
        </w:rPr>
        <w:t>The</w:t>
      </w:r>
      <w:r>
        <w:rPr>
          <w:spacing w:val="-3"/>
          <w:sz w:val="18"/>
        </w:rPr>
        <w:t> </w:t>
      </w:r>
      <w:r>
        <w:rPr>
          <w:sz w:val="18"/>
        </w:rPr>
        <w:t>CO</w:t>
      </w:r>
      <w:r>
        <w:rPr>
          <w:position w:val="-5"/>
          <w:sz w:val="10"/>
        </w:rPr>
        <w:t>2</w:t>
      </w:r>
      <w:r>
        <w:rPr>
          <w:spacing w:val="17"/>
          <w:position w:val="-5"/>
          <w:sz w:val="10"/>
        </w:rPr>
        <w:t> </w:t>
      </w:r>
      <w:r>
        <w:rPr>
          <w:sz w:val="18"/>
        </w:rPr>
        <w:t>distribution</w:t>
      </w:r>
      <w:r>
        <w:rPr>
          <w:spacing w:val="-3"/>
          <w:sz w:val="18"/>
        </w:rPr>
        <w:t> </w:t>
      </w:r>
      <w:r>
        <w:rPr>
          <w:sz w:val="18"/>
        </w:rPr>
        <w:t>after</w:t>
      </w:r>
      <w:r>
        <w:rPr>
          <w:spacing w:val="-3"/>
          <w:sz w:val="18"/>
        </w:rPr>
        <w:t> </w:t>
      </w:r>
      <w:r>
        <w:rPr>
          <w:sz w:val="18"/>
        </w:rPr>
        <w:t>two</w:t>
      </w:r>
      <w:r>
        <w:rPr>
          <w:spacing w:val="-3"/>
          <w:sz w:val="18"/>
        </w:rPr>
        <w:t> </w:t>
      </w:r>
      <w:r>
        <w:rPr>
          <w:sz w:val="18"/>
        </w:rPr>
        <w:t>years</w:t>
      </w:r>
      <w:r>
        <w:rPr>
          <w:spacing w:val="-3"/>
          <w:sz w:val="18"/>
        </w:rPr>
        <w:t> </w:t>
      </w:r>
      <w:r>
        <w:rPr>
          <w:sz w:val="18"/>
        </w:rPr>
        <w:t>of</w:t>
      </w:r>
      <w:r>
        <w:rPr>
          <w:spacing w:val="-3"/>
          <w:sz w:val="18"/>
        </w:rPr>
        <w:t> </w:t>
      </w:r>
      <w:r>
        <w:rPr>
          <w:sz w:val="18"/>
        </w:rPr>
        <w:t>injection.</w:t>
      </w:r>
      <w:r>
        <w:rPr>
          <w:spacing w:val="-3"/>
          <w:sz w:val="18"/>
        </w:rPr>
        <w:t> </w:t>
      </w:r>
      <w:r>
        <w:rPr>
          <w:sz w:val="18"/>
        </w:rPr>
        <w:t>Note</w:t>
      </w:r>
      <w:r>
        <w:rPr>
          <w:spacing w:val="-3"/>
          <w:sz w:val="18"/>
        </w:rPr>
        <w:t> </w:t>
      </w:r>
      <w:r>
        <w:rPr>
          <w:sz w:val="18"/>
        </w:rPr>
        <w:t>that</w:t>
      </w:r>
      <w:r>
        <w:rPr>
          <w:spacing w:val="-3"/>
          <w:sz w:val="18"/>
        </w:rPr>
        <w:t> </w:t>
      </w:r>
      <w:r>
        <w:rPr>
          <w:sz w:val="18"/>
        </w:rPr>
        <w:t>the</w:t>
      </w:r>
      <w:r>
        <w:rPr>
          <w:spacing w:val="-3"/>
          <w:sz w:val="18"/>
        </w:rPr>
        <w:t> </w:t>
      </w:r>
      <w:r>
        <w:rPr>
          <w:sz w:val="18"/>
        </w:rPr>
        <w:t>simulated</w:t>
      </w:r>
      <w:r>
        <w:rPr>
          <w:spacing w:val="-3"/>
          <w:sz w:val="18"/>
        </w:rPr>
        <w:t> </w:t>
      </w:r>
      <w:r>
        <w:rPr>
          <w:sz w:val="18"/>
        </w:rPr>
        <w:t>distribution</w:t>
      </w:r>
      <w:r>
        <w:rPr>
          <w:spacing w:val="-3"/>
          <w:sz w:val="18"/>
        </w:rPr>
        <w:t> </w:t>
      </w:r>
      <w:r>
        <w:rPr>
          <w:sz w:val="18"/>
        </w:rPr>
        <w:t>of</w:t>
      </w:r>
      <w:r>
        <w:rPr>
          <w:spacing w:val="-3"/>
          <w:sz w:val="18"/>
        </w:rPr>
        <w:t> </w:t>
      </w:r>
      <w:r>
        <w:rPr>
          <w:sz w:val="18"/>
        </w:rPr>
        <w:t>CO</w:t>
      </w:r>
      <w:r>
        <w:rPr>
          <w:position w:val="-5"/>
          <w:sz w:val="10"/>
        </w:rPr>
        <w:t>2</w:t>
      </w:r>
      <w:r>
        <w:rPr>
          <w:spacing w:val="17"/>
          <w:position w:val="-5"/>
          <w:sz w:val="10"/>
        </w:rPr>
        <w:t> </w:t>
      </w:r>
      <w:r>
        <w:rPr>
          <w:sz w:val="18"/>
        </w:rPr>
        <w:t>is</w:t>
      </w:r>
      <w:r>
        <w:rPr>
          <w:spacing w:val="-3"/>
          <w:sz w:val="18"/>
        </w:rPr>
        <w:t> </w:t>
      </w:r>
      <w:r>
        <w:rPr>
          <w:sz w:val="18"/>
        </w:rPr>
        <w:t>strongly</w:t>
      </w:r>
      <w:r>
        <w:rPr>
          <w:spacing w:val="-3"/>
          <w:sz w:val="18"/>
        </w:rPr>
        <w:t> </w:t>
      </w:r>
      <w:r>
        <w:rPr>
          <w:sz w:val="18"/>
        </w:rPr>
        <w:t>influenced</w:t>
      </w:r>
      <w:r>
        <w:rPr>
          <w:spacing w:val="-3"/>
          <w:sz w:val="18"/>
        </w:rPr>
        <w:t> </w:t>
      </w:r>
      <w:r>
        <w:rPr>
          <w:sz w:val="18"/>
        </w:rPr>
        <w:t>by</w:t>
      </w:r>
      <w:r>
        <w:rPr>
          <w:spacing w:val="-3"/>
          <w:sz w:val="18"/>
        </w:rPr>
        <w:t> </w:t>
      </w:r>
      <w:r>
        <w:rPr>
          <w:sz w:val="18"/>
        </w:rPr>
        <w:t>the low-permeability layers that block and delay upward movement of CO</w:t>
      </w:r>
      <w:r>
        <w:rPr>
          <w:position w:val="-5"/>
          <w:sz w:val="10"/>
        </w:rPr>
        <w:t>2 </w:t>
      </w:r>
      <w:r>
        <w:rPr>
          <w:sz w:val="18"/>
        </w:rPr>
        <w:t>(after Doughty and Pruess,</w:t>
      </w:r>
      <w:r>
        <w:rPr>
          <w:spacing w:val="-10"/>
          <w:sz w:val="18"/>
        </w:rPr>
        <w:t> </w:t>
      </w:r>
      <w:r>
        <w:rPr>
          <w:sz w:val="18"/>
        </w:rPr>
        <w:t>2004).</w:t>
      </w:r>
    </w:p>
    <w:p>
      <w:pPr>
        <w:spacing w:after="0" w:line="211" w:lineRule="auto"/>
        <w:jc w:val="both"/>
        <w:rPr>
          <w:sz w:val="18"/>
        </w:rPr>
        <w:sectPr>
          <w:type w:val="continuous"/>
          <w:pgSz w:w="12240" w:h="15840"/>
          <w:pgMar w:top="400" w:bottom="280" w:left="580" w:right="600"/>
        </w:sectPr>
      </w:pPr>
    </w:p>
    <w:p>
      <w:pPr>
        <w:pStyle w:val="BodyText"/>
      </w:pPr>
    </w:p>
    <w:p>
      <w:pPr>
        <w:pStyle w:val="BodyText"/>
        <w:spacing w:before="4"/>
        <w:rPr>
          <w:sz w:val="22"/>
        </w:rPr>
      </w:pPr>
    </w:p>
    <w:p>
      <w:pPr>
        <w:pStyle w:val="BodyText"/>
        <w:ind w:left="633"/>
      </w:pPr>
      <w:r>
        <w:rPr/>
        <w:drawing>
          <wp:inline distT="0" distB="0" distL="0" distR="0">
            <wp:extent cx="6526751" cy="3867912"/>
            <wp:effectExtent l="0" t="0" r="0" b="0"/>
            <wp:docPr id="3" name="image25.jpeg"/>
            <wp:cNvGraphicFramePr>
              <a:graphicFrameLocks noChangeAspect="1"/>
            </wp:cNvGraphicFramePr>
            <a:graphic>
              <a:graphicData uri="http://schemas.openxmlformats.org/drawingml/2006/picture">
                <pic:pic>
                  <pic:nvPicPr>
                    <pic:cNvPr id="4" name="image25.jpeg"/>
                    <pic:cNvPicPr/>
                  </pic:nvPicPr>
                  <pic:blipFill>
                    <a:blip r:embed="rId31" cstate="print"/>
                    <a:stretch>
                      <a:fillRect/>
                    </a:stretch>
                  </pic:blipFill>
                  <pic:spPr>
                    <a:xfrm>
                      <a:off x="0" y="0"/>
                      <a:ext cx="6526751" cy="3867912"/>
                    </a:xfrm>
                    <a:prstGeom prst="rect">
                      <a:avLst/>
                    </a:prstGeom>
                  </pic:spPr>
                </pic:pic>
              </a:graphicData>
            </a:graphic>
          </wp:inline>
        </w:drawing>
      </w:r>
      <w:r>
        <w:rPr/>
      </w:r>
    </w:p>
    <w:p>
      <w:pPr>
        <w:pStyle w:val="BodyText"/>
        <w:spacing w:before="8"/>
        <w:rPr>
          <w:sz w:val="14"/>
        </w:rPr>
      </w:pPr>
    </w:p>
    <w:p>
      <w:pPr>
        <w:spacing w:line="220" w:lineRule="exact" w:before="59"/>
        <w:ind w:left="553" w:right="134" w:firstLine="0"/>
        <w:jc w:val="both"/>
        <w:rPr>
          <w:sz w:val="18"/>
        </w:rPr>
      </w:pPr>
      <w:r>
        <w:rPr/>
        <w:pict>
          <v:shape style="position:absolute;margin-left:249.937393pt;margin-top:21.811834pt;width:2.65pt;height:5.25pt;mso-position-horizontal-relative:page;mso-position-vertical-relative:paragraph;z-index:-258877440"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bookmarkStart w:name="_bookmark12" w:id="23"/>
      <w:bookmarkEnd w:id="23"/>
      <w:r>
        <w:rPr/>
      </w:r>
      <w:r>
        <w:rPr>
          <w:b/>
          <w:sz w:val="18"/>
        </w:rPr>
        <w:t>Figure</w:t>
      </w:r>
      <w:r>
        <w:rPr>
          <w:b/>
          <w:spacing w:val="-6"/>
          <w:sz w:val="18"/>
        </w:rPr>
        <w:t> </w:t>
      </w:r>
      <w:r>
        <w:rPr>
          <w:b/>
          <w:sz w:val="18"/>
        </w:rPr>
        <w:t>5.7</w:t>
      </w:r>
      <w:r>
        <w:rPr>
          <w:b/>
          <w:spacing w:val="34"/>
          <w:sz w:val="18"/>
        </w:rPr>
        <w:t> </w:t>
      </w:r>
      <w:r>
        <w:rPr>
          <w:sz w:val="18"/>
        </w:rPr>
        <w:t>Radial</w:t>
      </w:r>
      <w:r>
        <w:rPr>
          <w:spacing w:val="-6"/>
          <w:sz w:val="18"/>
        </w:rPr>
        <w:t> </w:t>
      </w:r>
      <w:r>
        <w:rPr>
          <w:sz w:val="18"/>
        </w:rPr>
        <w:t>simulations</w:t>
      </w:r>
      <w:r>
        <w:rPr>
          <w:spacing w:val="-6"/>
          <w:sz w:val="18"/>
        </w:rPr>
        <w:t> </w:t>
      </w:r>
      <w:r>
        <w:rPr>
          <w:sz w:val="18"/>
        </w:rPr>
        <w:t>of</w:t>
      </w:r>
      <w:r>
        <w:rPr>
          <w:spacing w:val="-5"/>
          <w:sz w:val="18"/>
        </w:rPr>
        <w:t> </w:t>
      </w:r>
      <w:r>
        <w:rPr>
          <w:sz w:val="18"/>
        </w:rPr>
        <w:t>CO</w:t>
      </w:r>
      <w:r>
        <w:rPr>
          <w:position w:val="-5"/>
          <w:sz w:val="10"/>
        </w:rPr>
        <w:t>2</w:t>
      </w:r>
      <w:r>
        <w:rPr>
          <w:spacing w:val="14"/>
          <w:position w:val="-5"/>
          <w:sz w:val="10"/>
        </w:rPr>
        <w:t> </w:t>
      </w:r>
      <w:r>
        <w:rPr>
          <w:sz w:val="18"/>
        </w:rPr>
        <w:t>injection</w:t>
      </w:r>
      <w:r>
        <w:rPr>
          <w:spacing w:val="-6"/>
          <w:sz w:val="18"/>
        </w:rPr>
        <w:t> </w:t>
      </w:r>
      <w:r>
        <w:rPr>
          <w:sz w:val="18"/>
        </w:rPr>
        <w:t>into</w:t>
      </w:r>
      <w:r>
        <w:rPr>
          <w:spacing w:val="-5"/>
          <w:sz w:val="18"/>
        </w:rPr>
        <w:t> </w:t>
      </w:r>
      <w:r>
        <w:rPr>
          <w:sz w:val="18"/>
        </w:rPr>
        <w:t>a</w:t>
      </w:r>
      <w:r>
        <w:rPr>
          <w:spacing w:val="-6"/>
          <w:sz w:val="18"/>
        </w:rPr>
        <w:t> </w:t>
      </w:r>
      <w:r>
        <w:rPr>
          <w:sz w:val="18"/>
        </w:rPr>
        <w:t>homogeneous</w:t>
      </w:r>
      <w:r>
        <w:rPr>
          <w:spacing w:val="-5"/>
          <w:sz w:val="18"/>
        </w:rPr>
        <w:t> </w:t>
      </w:r>
      <w:r>
        <w:rPr>
          <w:sz w:val="18"/>
        </w:rPr>
        <w:t>formation</w:t>
      </w:r>
      <w:r>
        <w:rPr>
          <w:spacing w:val="-6"/>
          <w:sz w:val="18"/>
        </w:rPr>
        <w:t> </w:t>
      </w:r>
      <w:r>
        <w:rPr>
          <w:sz w:val="18"/>
        </w:rPr>
        <w:t>100</w:t>
      </w:r>
      <w:r>
        <w:rPr>
          <w:spacing w:val="-6"/>
          <w:sz w:val="18"/>
        </w:rPr>
        <w:t> </w:t>
      </w:r>
      <w:r>
        <w:rPr>
          <w:sz w:val="18"/>
        </w:rPr>
        <w:t>m</w:t>
      </w:r>
      <w:r>
        <w:rPr>
          <w:spacing w:val="-5"/>
          <w:sz w:val="18"/>
        </w:rPr>
        <w:t> </w:t>
      </w:r>
      <w:r>
        <w:rPr>
          <w:sz w:val="18"/>
        </w:rPr>
        <w:t>thick,</w:t>
      </w:r>
      <w:r>
        <w:rPr>
          <w:spacing w:val="-6"/>
          <w:sz w:val="18"/>
        </w:rPr>
        <w:t> </w:t>
      </w:r>
      <w:r>
        <w:rPr>
          <w:sz w:val="18"/>
        </w:rPr>
        <w:t>at</w:t>
      </w:r>
      <w:r>
        <w:rPr>
          <w:spacing w:val="-6"/>
          <w:sz w:val="18"/>
        </w:rPr>
        <w:t> </w:t>
      </w:r>
      <w:r>
        <w:rPr>
          <w:sz w:val="18"/>
        </w:rPr>
        <w:t>a</w:t>
      </w:r>
      <w:r>
        <w:rPr>
          <w:spacing w:val="-5"/>
          <w:sz w:val="18"/>
        </w:rPr>
        <w:t> </w:t>
      </w:r>
      <w:r>
        <w:rPr>
          <w:sz w:val="18"/>
        </w:rPr>
        <w:t>depth</w:t>
      </w:r>
      <w:r>
        <w:rPr>
          <w:spacing w:val="-6"/>
          <w:sz w:val="18"/>
        </w:rPr>
        <w:t> </w:t>
      </w:r>
      <w:r>
        <w:rPr>
          <w:sz w:val="18"/>
        </w:rPr>
        <w:t>of</w:t>
      </w:r>
      <w:r>
        <w:rPr>
          <w:spacing w:val="-6"/>
          <w:sz w:val="18"/>
        </w:rPr>
        <w:t> </w:t>
      </w:r>
      <w:r>
        <w:rPr>
          <w:sz w:val="18"/>
        </w:rPr>
        <w:t>1</w:t>
      </w:r>
      <w:r>
        <w:rPr>
          <w:spacing w:val="-5"/>
          <w:sz w:val="18"/>
        </w:rPr>
        <w:t> </w:t>
      </w:r>
      <w:r>
        <w:rPr>
          <w:sz w:val="18"/>
        </w:rPr>
        <w:t>km,</w:t>
      </w:r>
      <w:r>
        <w:rPr>
          <w:spacing w:val="-6"/>
          <w:sz w:val="18"/>
        </w:rPr>
        <w:t> </w:t>
      </w:r>
      <w:r>
        <w:rPr>
          <w:sz w:val="18"/>
        </w:rPr>
        <w:t>where</w:t>
      </w:r>
      <w:r>
        <w:rPr>
          <w:spacing w:val="-5"/>
          <w:sz w:val="18"/>
        </w:rPr>
        <w:t> </w:t>
      </w:r>
      <w:r>
        <w:rPr>
          <w:sz w:val="18"/>
        </w:rPr>
        <w:t>the</w:t>
      </w:r>
      <w:r>
        <w:rPr>
          <w:spacing w:val="-6"/>
          <w:sz w:val="18"/>
        </w:rPr>
        <w:t> </w:t>
      </w:r>
      <w:r>
        <w:rPr>
          <w:sz w:val="18"/>
        </w:rPr>
        <w:t>pressure</w:t>
      </w:r>
      <w:r>
        <w:rPr>
          <w:spacing w:val="-6"/>
          <w:sz w:val="18"/>
        </w:rPr>
        <w:t> </w:t>
      </w:r>
      <w:r>
        <w:rPr>
          <w:sz w:val="18"/>
        </w:rPr>
        <w:t>is</w:t>
      </w:r>
      <w:r>
        <w:rPr>
          <w:spacing w:val="-5"/>
          <w:sz w:val="18"/>
        </w:rPr>
        <w:t> </w:t>
      </w:r>
      <w:r>
        <w:rPr>
          <w:sz w:val="18"/>
        </w:rPr>
        <w:t>10</w:t>
      </w:r>
      <w:r>
        <w:rPr>
          <w:spacing w:val="-6"/>
          <w:sz w:val="18"/>
        </w:rPr>
        <w:t> </w:t>
      </w:r>
      <w:r>
        <w:rPr>
          <w:sz w:val="18"/>
        </w:rPr>
        <w:t>MPa</w:t>
      </w:r>
      <w:r>
        <w:rPr>
          <w:spacing w:val="-6"/>
          <w:sz w:val="18"/>
        </w:rPr>
        <w:t> </w:t>
      </w:r>
      <w:r>
        <w:rPr>
          <w:sz w:val="18"/>
        </w:rPr>
        <w:t>and the temperature is 40°C. The injection rate is 1 MtCO yr</w:t>
      </w:r>
      <w:r>
        <w:rPr>
          <w:position w:val="6"/>
          <w:sz w:val="10"/>
        </w:rPr>
        <w:t>-1 </w:t>
      </w:r>
      <w:r>
        <w:rPr>
          <w:sz w:val="18"/>
        </w:rPr>
        <w:t>for 20 years, the horizontal permeability is 10 </w:t>
      </w:r>
      <w:r>
        <w:rPr>
          <w:position w:val="6"/>
          <w:sz w:val="10"/>
        </w:rPr>
        <w:t>–13 </w:t>
      </w:r>
      <w:r>
        <w:rPr>
          <w:sz w:val="18"/>
        </w:rPr>
        <w:t>m</w:t>
      </w:r>
      <w:r>
        <w:rPr>
          <w:position w:val="6"/>
          <w:sz w:val="10"/>
        </w:rPr>
        <w:t>2 </w:t>
      </w:r>
      <w:r>
        <w:rPr>
          <w:sz w:val="18"/>
        </w:rPr>
        <w:t>(approximately 100 mD) and the vertical permeability is one-tenth of that. The residual CO</w:t>
      </w:r>
      <w:r>
        <w:rPr>
          <w:position w:val="-5"/>
          <w:sz w:val="10"/>
        </w:rPr>
        <w:t>2 </w:t>
      </w:r>
      <w:r>
        <w:rPr>
          <w:sz w:val="18"/>
        </w:rPr>
        <w:t>saturation is 20%. The first three parts of the figure at 2, 20 and 200 years, show the gas saturation in the porous medium; the second three parts of the figure at 200, 2000 and 4000 years, show the mass fraction of dissolved CO</w:t>
      </w:r>
      <w:r>
        <w:rPr>
          <w:position w:val="-5"/>
          <w:sz w:val="10"/>
        </w:rPr>
        <w:t>2 </w:t>
      </w:r>
      <w:r>
        <w:rPr>
          <w:sz w:val="18"/>
        </w:rPr>
        <w:t>in the aqueous phase (after Ennis-King and Paterson,</w:t>
      </w:r>
      <w:r>
        <w:rPr>
          <w:spacing w:val="-2"/>
          <w:sz w:val="18"/>
        </w:rPr>
        <w:t> </w:t>
      </w:r>
      <w:r>
        <w:rPr>
          <w:sz w:val="18"/>
        </w:rPr>
        <w:t>2003).</w:t>
      </w:r>
    </w:p>
    <w:p>
      <w:pPr>
        <w:pStyle w:val="BodyText"/>
      </w:pPr>
    </w:p>
    <w:p>
      <w:pPr>
        <w:pStyle w:val="BodyText"/>
      </w:pPr>
    </w:p>
    <w:p>
      <w:pPr>
        <w:pStyle w:val="BodyText"/>
        <w:spacing w:before="5"/>
        <w:rPr>
          <w:sz w:val="22"/>
        </w:rPr>
      </w:pPr>
      <w:r>
        <w:rPr/>
        <w:pict>
          <v:group style="position:absolute;margin-left:56.693001pt;margin-top:14.854962pt;width:519pt;height:214.15pt;mso-position-horizontal-relative:page;mso-position-vertical-relative:paragraph;z-index:-251635712;mso-wrap-distance-left:0;mso-wrap-distance-right:0" coordorigin="1134,297" coordsize="10380,4283">
            <v:shape style="position:absolute;left:1336;top:477;width:10018;height:3913" type="#_x0000_t75" stroked="false">
              <v:imagedata r:id="rId32" o:title=""/>
            </v:shape>
            <v:rect style="position:absolute;left:1138;top:302;width:10370;height:4273" filled="false" stroked="true" strokeweight=".5pt" strokecolor="#000000">
              <v:stroke dashstyle="solid"/>
            </v:rect>
            <w10:wrap type="topAndBottom"/>
          </v:group>
        </w:pict>
      </w:r>
    </w:p>
    <w:p>
      <w:pPr>
        <w:spacing w:line="211" w:lineRule="auto" w:before="89"/>
        <w:ind w:left="558" w:right="130" w:firstLine="0"/>
        <w:jc w:val="both"/>
        <w:rPr>
          <w:sz w:val="18"/>
        </w:rPr>
      </w:pPr>
      <w:bookmarkStart w:name="_bookmark13" w:id="24"/>
      <w:bookmarkEnd w:id="24"/>
      <w:r>
        <w:rPr/>
      </w:r>
      <w:bookmarkStart w:name="_bookmark14" w:id="25"/>
      <w:bookmarkEnd w:id="25"/>
      <w:r>
        <w:rPr/>
      </w:r>
      <w:r>
        <w:rPr>
          <w:b/>
          <w:sz w:val="18"/>
        </w:rPr>
        <w:t>Figure 5.8 </w:t>
      </w:r>
      <w:r>
        <w:rPr>
          <w:sz w:val="18"/>
        </w:rPr>
        <w:t>Simulation of 50 years of injection of CO</w:t>
      </w:r>
      <w:r>
        <w:rPr>
          <w:position w:val="-5"/>
          <w:sz w:val="10"/>
        </w:rPr>
        <w:t>2 </w:t>
      </w:r>
      <w:r>
        <w:rPr>
          <w:sz w:val="18"/>
        </w:rPr>
        <w:t>into the base of a saline formation. Capillary forces trap CO</w:t>
      </w:r>
      <w:r>
        <w:rPr>
          <w:position w:val="-5"/>
          <w:sz w:val="10"/>
        </w:rPr>
        <w:t>2 </w:t>
      </w:r>
      <w:r>
        <w:rPr>
          <w:sz w:val="18"/>
        </w:rPr>
        <w:t>in the pore spaces of sedimentary rocks. (a) After the 50-year injection period, most CO</w:t>
      </w:r>
      <w:r>
        <w:rPr>
          <w:position w:val="-5"/>
          <w:sz w:val="10"/>
        </w:rPr>
        <w:t>2 </w:t>
      </w:r>
      <w:r>
        <w:rPr>
          <w:sz w:val="18"/>
        </w:rPr>
        <w:t>is still mobile, driven upwards by buoyancy forces. (b) After 1000 years, buoyancy-driven</w:t>
      </w:r>
      <w:r>
        <w:rPr>
          <w:spacing w:val="-10"/>
          <w:sz w:val="18"/>
        </w:rPr>
        <w:t> </w:t>
      </w:r>
      <w:r>
        <w:rPr>
          <w:sz w:val="18"/>
        </w:rPr>
        <w:t>flow</w:t>
      </w:r>
      <w:r>
        <w:rPr>
          <w:spacing w:val="-9"/>
          <w:sz w:val="18"/>
        </w:rPr>
        <w:t> </w:t>
      </w:r>
      <w:r>
        <w:rPr>
          <w:sz w:val="18"/>
        </w:rPr>
        <w:t>has</w:t>
      </w:r>
      <w:r>
        <w:rPr>
          <w:spacing w:val="-9"/>
          <w:sz w:val="18"/>
        </w:rPr>
        <w:t> </w:t>
      </w:r>
      <w:r>
        <w:rPr>
          <w:sz w:val="18"/>
        </w:rPr>
        <w:t>expanded</w:t>
      </w:r>
      <w:r>
        <w:rPr>
          <w:spacing w:val="-10"/>
          <w:sz w:val="18"/>
        </w:rPr>
        <w:t> </w:t>
      </w:r>
      <w:r>
        <w:rPr>
          <w:sz w:val="18"/>
        </w:rPr>
        <w:t>the</w:t>
      </w:r>
      <w:r>
        <w:rPr>
          <w:spacing w:val="-9"/>
          <w:sz w:val="18"/>
        </w:rPr>
        <w:t> </w:t>
      </w:r>
      <w:r>
        <w:rPr>
          <w:sz w:val="18"/>
        </w:rPr>
        <w:t>volume</w:t>
      </w:r>
      <w:r>
        <w:rPr>
          <w:spacing w:val="-9"/>
          <w:sz w:val="18"/>
        </w:rPr>
        <w:t> </w:t>
      </w:r>
      <w:r>
        <w:rPr>
          <w:sz w:val="18"/>
        </w:rPr>
        <w:t>affected</w:t>
      </w:r>
      <w:r>
        <w:rPr>
          <w:spacing w:val="-10"/>
          <w:sz w:val="18"/>
        </w:rPr>
        <w:t> </w:t>
      </w:r>
      <w:r>
        <w:rPr>
          <w:sz w:val="18"/>
        </w:rPr>
        <w:t>by</w:t>
      </w:r>
      <w:r>
        <w:rPr>
          <w:spacing w:val="-9"/>
          <w:sz w:val="18"/>
        </w:rPr>
        <w:t> </w:t>
      </w:r>
      <w:r>
        <w:rPr>
          <w:sz w:val="18"/>
        </w:rPr>
        <w:t>CO</w:t>
      </w:r>
      <w:r>
        <w:rPr>
          <w:position w:val="-5"/>
          <w:sz w:val="10"/>
        </w:rPr>
        <w:t>2</w:t>
      </w:r>
      <w:r>
        <w:rPr>
          <w:spacing w:val="11"/>
          <w:position w:val="-5"/>
          <w:sz w:val="10"/>
        </w:rPr>
        <w:t> </w:t>
      </w:r>
      <w:r>
        <w:rPr>
          <w:sz w:val="18"/>
        </w:rPr>
        <w:t>and</w:t>
      </w:r>
      <w:r>
        <w:rPr>
          <w:spacing w:val="-10"/>
          <w:sz w:val="18"/>
        </w:rPr>
        <w:t> </w:t>
      </w:r>
      <w:r>
        <w:rPr>
          <w:sz w:val="18"/>
        </w:rPr>
        <w:t>much</w:t>
      </w:r>
      <w:r>
        <w:rPr>
          <w:spacing w:val="-9"/>
          <w:sz w:val="18"/>
        </w:rPr>
        <w:t> </w:t>
      </w:r>
      <w:r>
        <w:rPr>
          <w:sz w:val="18"/>
        </w:rPr>
        <w:t>is</w:t>
      </w:r>
      <w:r>
        <w:rPr>
          <w:spacing w:val="-9"/>
          <w:sz w:val="18"/>
        </w:rPr>
        <w:t> </w:t>
      </w:r>
      <w:r>
        <w:rPr>
          <w:sz w:val="18"/>
        </w:rPr>
        <w:t>trapped</w:t>
      </w:r>
      <w:r>
        <w:rPr>
          <w:spacing w:val="-9"/>
          <w:sz w:val="18"/>
        </w:rPr>
        <w:t> </w:t>
      </w:r>
      <w:r>
        <w:rPr>
          <w:sz w:val="18"/>
        </w:rPr>
        <w:t>as</w:t>
      </w:r>
      <w:r>
        <w:rPr>
          <w:spacing w:val="-10"/>
          <w:sz w:val="18"/>
        </w:rPr>
        <w:t> </w:t>
      </w:r>
      <w:r>
        <w:rPr>
          <w:sz w:val="18"/>
        </w:rPr>
        <w:t>residual</w:t>
      </w:r>
      <w:r>
        <w:rPr>
          <w:spacing w:val="-9"/>
          <w:sz w:val="18"/>
        </w:rPr>
        <w:t> </w:t>
      </w:r>
      <w:r>
        <w:rPr>
          <w:sz w:val="18"/>
        </w:rPr>
        <w:t>CO</w:t>
      </w:r>
      <w:r>
        <w:rPr>
          <w:position w:val="-5"/>
          <w:sz w:val="10"/>
        </w:rPr>
        <w:t>2</w:t>
      </w:r>
      <w:r>
        <w:rPr>
          <w:spacing w:val="11"/>
          <w:position w:val="-5"/>
          <w:sz w:val="10"/>
        </w:rPr>
        <w:t> </w:t>
      </w:r>
      <w:r>
        <w:rPr>
          <w:sz w:val="18"/>
        </w:rPr>
        <w:t>saturation</w:t>
      </w:r>
      <w:r>
        <w:rPr>
          <w:spacing w:val="-10"/>
          <w:sz w:val="18"/>
        </w:rPr>
        <w:t> </w:t>
      </w:r>
      <w:r>
        <w:rPr>
          <w:sz w:val="18"/>
        </w:rPr>
        <w:t>or</w:t>
      </w:r>
      <w:r>
        <w:rPr>
          <w:spacing w:val="-9"/>
          <w:sz w:val="18"/>
        </w:rPr>
        <w:t> </w:t>
      </w:r>
      <w:r>
        <w:rPr>
          <w:sz w:val="18"/>
        </w:rPr>
        <w:t>dissolved</w:t>
      </w:r>
      <w:r>
        <w:rPr>
          <w:spacing w:val="-9"/>
          <w:sz w:val="18"/>
        </w:rPr>
        <w:t> </w:t>
      </w:r>
      <w:r>
        <w:rPr>
          <w:sz w:val="18"/>
        </w:rPr>
        <w:t>in</w:t>
      </w:r>
      <w:r>
        <w:rPr>
          <w:spacing w:val="-10"/>
          <w:sz w:val="18"/>
        </w:rPr>
        <w:t> </w:t>
      </w:r>
      <w:r>
        <w:rPr>
          <w:sz w:val="18"/>
        </w:rPr>
        <w:t>brine</w:t>
      </w:r>
      <w:r>
        <w:rPr>
          <w:spacing w:val="-9"/>
          <w:sz w:val="18"/>
        </w:rPr>
        <w:t> </w:t>
      </w:r>
      <w:r>
        <w:rPr>
          <w:sz w:val="18"/>
        </w:rPr>
        <w:t>(not</w:t>
      </w:r>
      <w:r>
        <w:rPr>
          <w:spacing w:val="-9"/>
          <w:sz w:val="18"/>
        </w:rPr>
        <w:t> </w:t>
      </w:r>
      <w:r>
        <w:rPr>
          <w:sz w:val="18"/>
        </w:rPr>
        <w:t>shown). Little CO</w:t>
      </w:r>
      <w:r>
        <w:rPr>
          <w:position w:val="-5"/>
          <w:sz w:val="10"/>
        </w:rPr>
        <w:t>2 </w:t>
      </w:r>
      <w:r>
        <w:rPr>
          <w:sz w:val="18"/>
        </w:rPr>
        <w:t>is mobile and all CO</w:t>
      </w:r>
      <w:r>
        <w:rPr>
          <w:position w:val="-5"/>
          <w:sz w:val="10"/>
        </w:rPr>
        <w:t>2 </w:t>
      </w:r>
      <w:r>
        <w:rPr>
          <w:sz w:val="18"/>
        </w:rPr>
        <w:t>is contained within the aquifer (after Kumar et al.,</w:t>
      </w:r>
      <w:r>
        <w:rPr>
          <w:spacing w:val="-13"/>
          <w:sz w:val="18"/>
        </w:rPr>
        <w:t> </w:t>
      </w:r>
      <w:r>
        <w:rPr>
          <w:sz w:val="18"/>
        </w:rPr>
        <w:t>2005).</w:t>
      </w:r>
    </w:p>
    <w:p>
      <w:pPr>
        <w:spacing w:after="0" w:line="211" w:lineRule="auto"/>
        <w:jc w:val="both"/>
        <w:rPr>
          <w:sz w:val="18"/>
        </w:rPr>
        <w:sectPr>
          <w:pgSz w:w="12240" w:h="15840"/>
          <w:pgMar w:header="567" w:footer="0" w:top="76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157" w:right="38"/>
        <w:jc w:val="both"/>
      </w:pPr>
      <w:bookmarkStart w:name="5.2.2 CO2 storage mechanisms in geologic" w:id="26"/>
      <w:bookmarkEnd w:id="26"/>
      <w:r>
        <w:rPr/>
      </w:r>
      <w:r>
        <w:rPr/>
        <w:t>Paterson,</w:t>
      </w:r>
      <w:r>
        <w:rPr>
          <w:spacing w:val="-12"/>
        </w:rPr>
        <w:t> </w:t>
      </w:r>
      <w:r>
        <w:rPr/>
        <w:t>2003),</w:t>
      </w:r>
      <w:r>
        <w:rPr>
          <w:spacing w:val="-11"/>
        </w:rPr>
        <w:t> </w:t>
      </w:r>
      <w:r>
        <w:rPr/>
        <w:t>although</w:t>
      </w:r>
      <w:r>
        <w:rPr>
          <w:spacing w:val="-11"/>
        </w:rPr>
        <w:t> </w:t>
      </w:r>
      <w:r>
        <w:rPr/>
        <w:t>appropriate</w:t>
      </w:r>
      <w:r>
        <w:rPr>
          <w:spacing w:val="-11"/>
        </w:rPr>
        <w:t> </w:t>
      </w:r>
      <w:r>
        <w:rPr/>
        <w:t>reservoir</w:t>
      </w:r>
      <w:r>
        <w:rPr>
          <w:spacing w:val="-12"/>
        </w:rPr>
        <w:t> </w:t>
      </w:r>
      <w:r>
        <w:rPr/>
        <w:t>engineering</w:t>
      </w:r>
      <w:r>
        <w:rPr>
          <w:spacing w:val="-11"/>
        </w:rPr>
        <w:t> </w:t>
      </w:r>
      <w:r>
        <w:rPr/>
        <w:t>can accelerate or modify solubility trapping (Keith </w:t>
      </w:r>
      <w:r>
        <w:rPr>
          <w:i/>
        </w:rPr>
        <w:t>et al.</w:t>
      </w:r>
      <w:r>
        <w:rPr/>
        <w:t>,</w:t>
      </w:r>
      <w:r>
        <w:rPr>
          <w:spacing w:val="-8"/>
        </w:rPr>
        <w:t> </w:t>
      </w:r>
      <w:r>
        <w:rPr/>
        <w:t>2005).</w:t>
      </w:r>
    </w:p>
    <w:p>
      <w:pPr>
        <w:pStyle w:val="BodyText"/>
        <w:rPr>
          <w:sz w:val="21"/>
        </w:rPr>
      </w:pPr>
    </w:p>
    <w:p>
      <w:pPr>
        <w:pStyle w:val="Heading2"/>
        <w:numPr>
          <w:ilvl w:val="2"/>
          <w:numId w:val="1"/>
        </w:numPr>
        <w:tabs>
          <w:tab w:pos="976" w:val="left" w:leader="none"/>
          <w:tab w:pos="977" w:val="left" w:leader="none"/>
        </w:tabs>
        <w:spacing w:line="240" w:lineRule="auto" w:before="0" w:after="0"/>
        <w:ind w:left="977" w:right="0" w:hanging="820"/>
        <w:jc w:val="left"/>
        <w:rPr>
          <w:i/>
        </w:rPr>
      </w:pPr>
      <w:r>
        <w:rPr>
          <w:i/>
        </w:rPr>
        <w:t>CO</w:t>
      </w:r>
      <w:r>
        <w:rPr>
          <w:i/>
          <w:position w:val="-6"/>
          <w:sz w:val="11"/>
        </w:rPr>
        <w:t>2 </w:t>
      </w:r>
      <w:r>
        <w:rPr>
          <w:i/>
        </w:rPr>
        <w:t>storage mechanisms in geological</w:t>
      </w:r>
      <w:r>
        <w:rPr>
          <w:i/>
          <w:spacing w:val="-8"/>
        </w:rPr>
        <w:t> </w:t>
      </w:r>
      <w:r>
        <w:rPr>
          <w:i/>
        </w:rPr>
        <w:t>formations</w:t>
      </w:r>
    </w:p>
    <w:p>
      <w:pPr>
        <w:pStyle w:val="BodyText"/>
        <w:spacing w:line="240" w:lineRule="exact" w:before="194"/>
        <w:ind w:left="157" w:right="38"/>
        <w:jc w:val="both"/>
      </w:pPr>
      <w:r>
        <w:rPr/>
        <w:t>The effectiveness of geological storage depends on a combination</w:t>
      </w:r>
      <w:r>
        <w:rPr>
          <w:spacing w:val="-10"/>
        </w:rPr>
        <w:t> </w:t>
      </w:r>
      <w:r>
        <w:rPr/>
        <w:t>of</w:t>
      </w:r>
      <w:r>
        <w:rPr>
          <w:spacing w:val="-10"/>
        </w:rPr>
        <w:t> </w:t>
      </w:r>
      <w:r>
        <w:rPr/>
        <w:t>physical</w:t>
      </w:r>
      <w:r>
        <w:rPr>
          <w:spacing w:val="-10"/>
        </w:rPr>
        <w:t> </w:t>
      </w:r>
      <w:r>
        <w:rPr/>
        <w:t>and</w:t>
      </w:r>
      <w:r>
        <w:rPr>
          <w:spacing w:val="-11"/>
        </w:rPr>
        <w:t> </w:t>
      </w:r>
      <w:r>
        <w:rPr/>
        <w:t>geochemical</w:t>
      </w:r>
      <w:r>
        <w:rPr>
          <w:spacing w:val="-10"/>
        </w:rPr>
        <w:t> </w:t>
      </w:r>
      <w:r>
        <w:rPr/>
        <w:t>trapping</w:t>
      </w:r>
      <w:r>
        <w:rPr>
          <w:spacing w:val="-10"/>
        </w:rPr>
        <w:t> </w:t>
      </w:r>
      <w:r>
        <w:rPr/>
        <w:t>mechanisms </w:t>
      </w:r>
      <w:hyperlink w:history="true" w:anchor="_bookmark15">
        <w:r>
          <w:rPr/>
          <w:t>(Figure </w:t>
        </w:r>
      </w:hyperlink>
      <w:r>
        <w:rPr/>
        <w:t>5.9). The most effective storage sites are those where CO</w:t>
      </w:r>
      <w:r>
        <w:rPr>
          <w:position w:val="-6"/>
          <w:sz w:val="11"/>
        </w:rPr>
        <w:t>2 </w:t>
      </w:r>
      <w:r>
        <w:rPr/>
        <w:t>is immobile because it is trapped permanently under </w:t>
      </w:r>
      <w:r>
        <w:rPr>
          <w:spacing w:val="-14"/>
        </w:rPr>
        <w:t>a </w:t>
      </w:r>
      <w:r>
        <w:rPr/>
        <w:t>thick, low-permeability seal or is converted to solid minerals or is adsorbed on the surfaces of coal micropores or through a combination of physical and chemical trapping mechanisms.</w:t>
      </w:r>
    </w:p>
    <w:p>
      <w:pPr>
        <w:pStyle w:val="BodyText"/>
        <w:spacing w:before="10"/>
      </w:pPr>
    </w:p>
    <w:p>
      <w:pPr>
        <w:pStyle w:val="ListParagraph"/>
        <w:numPr>
          <w:ilvl w:val="3"/>
          <w:numId w:val="1"/>
        </w:numPr>
        <w:tabs>
          <w:tab w:pos="976" w:val="left" w:leader="none"/>
          <w:tab w:pos="977" w:val="left" w:leader="none"/>
        </w:tabs>
        <w:spacing w:line="240" w:lineRule="exact" w:before="0" w:after="0"/>
        <w:ind w:left="157" w:right="38" w:firstLine="0"/>
        <w:jc w:val="left"/>
        <w:rPr>
          <w:sz w:val="20"/>
        </w:rPr>
      </w:pPr>
      <w:r>
        <w:rPr>
          <w:i/>
          <w:sz w:val="20"/>
        </w:rPr>
        <w:t>Physical trapping: stratigraphic and structural </w:t>
      </w:r>
      <w:r>
        <w:rPr>
          <w:sz w:val="20"/>
        </w:rPr>
        <w:t>Initially,</w:t>
      </w:r>
      <w:r>
        <w:rPr>
          <w:spacing w:val="-13"/>
          <w:sz w:val="20"/>
        </w:rPr>
        <w:t> </w:t>
      </w:r>
      <w:r>
        <w:rPr>
          <w:sz w:val="20"/>
        </w:rPr>
        <w:t>physical</w:t>
      </w:r>
      <w:r>
        <w:rPr>
          <w:spacing w:val="-12"/>
          <w:sz w:val="20"/>
        </w:rPr>
        <w:t> </w:t>
      </w:r>
      <w:r>
        <w:rPr>
          <w:sz w:val="20"/>
        </w:rPr>
        <w:t>trapping</w:t>
      </w:r>
      <w:r>
        <w:rPr>
          <w:spacing w:val="-12"/>
          <w:sz w:val="20"/>
        </w:rPr>
        <w:t> </w:t>
      </w:r>
      <w:r>
        <w:rPr>
          <w:sz w:val="20"/>
        </w:rPr>
        <w:t>of</w:t>
      </w:r>
      <w:r>
        <w:rPr>
          <w:spacing w:val="-12"/>
          <w:sz w:val="20"/>
        </w:rPr>
        <w:t> </w:t>
      </w:r>
      <w:r>
        <w:rPr>
          <w:sz w:val="20"/>
        </w:rPr>
        <w:t>CO</w:t>
      </w:r>
      <w:r>
        <w:rPr>
          <w:position w:val="-6"/>
          <w:sz w:val="11"/>
        </w:rPr>
        <w:t>2</w:t>
      </w:r>
      <w:r>
        <w:rPr>
          <w:spacing w:val="10"/>
          <w:position w:val="-6"/>
          <w:sz w:val="11"/>
        </w:rPr>
        <w:t> </w:t>
      </w:r>
      <w:r>
        <w:rPr>
          <w:sz w:val="20"/>
        </w:rPr>
        <w:t>below</w:t>
      </w:r>
      <w:r>
        <w:rPr>
          <w:spacing w:val="-12"/>
          <w:sz w:val="20"/>
        </w:rPr>
        <w:t> </w:t>
      </w:r>
      <w:r>
        <w:rPr>
          <w:sz w:val="20"/>
        </w:rPr>
        <w:t>low-permeability</w:t>
      </w:r>
      <w:r>
        <w:rPr>
          <w:spacing w:val="-13"/>
          <w:sz w:val="20"/>
        </w:rPr>
        <w:t> </w:t>
      </w:r>
      <w:r>
        <w:rPr>
          <w:sz w:val="20"/>
        </w:rPr>
        <w:t>seals</w:t>
      </w:r>
      <w:bookmarkStart w:name="_bookmark15" w:id="27"/>
      <w:bookmarkEnd w:id="27"/>
      <w:r>
        <w:rPr>
          <w:sz w:val="20"/>
        </w:rPr>
      </w:r>
      <w:r>
        <w:rPr>
          <w:sz w:val="20"/>
        </w:rPr>
        <w:t> (caprocks), such as very-low-permeability shale or salt beds,  is the principal means to store CO</w:t>
      </w:r>
      <w:r>
        <w:rPr>
          <w:position w:val="-6"/>
          <w:sz w:val="11"/>
        </w:rPr>
        <w:t>2 </w:t>
      </w:r>
      <w:r>
        <w:rPr>
          <w:sz w:val="20"/>
        </w:rPr>
        <w:t>in geological formations </w:t>
      </w:r>
      <w:hyperlink w:history="true" w:anchor="_bookmark3">
        <w:r>
          <w:rPr>
            <w:sz w:val="20"/>
          </w:rPr>
          <w:t>(Figure </w:t>
        </w:r>
      </w:hyperlink>
      <w:r>
        <w:rPr>
          <w:sz w:val="20"/>
        </w:rPr>
        <w:t>5.3). In some high latitude areas, shallow gas hydrates may conceivably act as a seal. Sedimentary basins have such closed,</w:t>
      </w:r>
      <w:r>
        <w:rPr>
          <w:spacing w:val="-12"/>
          <w:sz w:val="20"/>
        </w:rPr>
        <w:t> </w:t>
      </w:r>
      <w:r>
        <w:rPr>
          <w:sz w:val="20"/>
        </w:rPr>
        <w:t>physically</w:t>
      </w:r>
      <w:r>
        <w:rPr>
          <w:spacing w:val="-12"/>
          <w:sz w:val="20"/>
        </w:rPr>
        <w:t> </w:t>
      </w:r>
      <w:r>
        <w:rPr>
          <w:sz w:val="20"/>
        </w:rPr>
        <w:t>bound</w:t>
      </w:r>
      <w:r>
        <w:rPr>
          <w:spacing w:val="-11"/>
          <w:sz w:val="20"/>
        </w:rPr>
        <w:t> </w:t>
      </w:r>
      <w:r>
        <w:rPr>
          <w:sz w:val="20"/>
        </w:rPr>
        <w:t>traps</w:t>
      </w:r>
      <w:r>
        <w:rPr>
          <w:spacing w:val="-12"/>
          <w:sz w:val="20"/>
        </w:rPr>
        <w:t> </w:t>
      </w:r>
      <w:r>
        <w:rPr>
          <w:sz w:val="20"/>
        </w:rPr>
        <w:t>or</w:t>
      </w:r>
      <w:r>
        <w:rPr>
          <w:spacing w:val="-12"/>
          <w:sz w:val="20"/>
        </w:rPr>
        <w:t> </w:t>
      </w:r>
      <w:r>
        <w:rPr>
          <w:sz w:val="20"/>
        </w:rPr>
        <w:t>structures,</w:t>
      </w:r>
      <w:r>
        <w:rPr>
          <w:spacing w:val="-11"/>
          <w:sz w:val="20"/>
        </w:rPr>
        <w:t> </w:t>
      </w:r>
      <w:r>
        <w:rPr>
          <w:sz w:val="20"/>
        </w:rPr>
        <w:t>which</w:t>
      </w:r>
      <w:r>
        <w:rPr>
          <w:spacing w:val="-12"/>
          <w:sz w:val="20"/>
        </w:rPr>
        <w:t> </w:t>
      </w:r>
      <w:r>
        <w:rPr>
          <w:sz w:val="20"/>
        </w:rPr>
        <w:t>are</w:t>
      </w:r>
      <w:r>
        <w:rPr>
          <w:spacing w:val="-12"/>
          <w:sz w:val="20"/>
        </w:rPr>
        <w:t> </w:t>
      </w:r>
      <w:r>
        <w:rPr>
          <w:sz w:val="20"/>
        </w:rPr>
        <w:t>occupied mainly by saline </w:t>
      </w:r>
      <w:r>
        <w:rPr>
          <w:spacing w:val="-3"/>
          <w:sz w:val="20"/>
        </w:rPr>
        <w:t>water, </w:t>
      </w:r>
      <w:r>
        <w:rPr>
          <w:sz w:val="20"/>
        </w:rPr>
        <w:t>oil and gas. Structural traps include those formed by folded or fractured rocks. Faults can act as permeability barriers in some circumstances and as</w:t>
      </w:r>
      <w:r>
        <w:rPr>
          <w:spacing w:val="-24"/>
          <w:sz w:val="20"/>
        </w:rPr>
        <w:t> </w:t>
      </w:r>
      <w:r>
        <w:rPr>
          <w:sz w:val="20"/>
        </w:rPr>
        <w:t>preferential pathways</w:t>
      </w:r>
      <w:r>
        <w:rPr>
          <w:spacing w:val="-30"/>
          <w:sz w:val="20"/>
        </w:rPr>
        <w:t> </w:t>
      </w:r>
      <w:r>
        <w:rPr>
          <w:sz w:val="20"/>
        </w:rPr>
        <w:t>for</w:t>
      </w:r>
      <w:r>
        <w:rPr>
          <w:spacing w:val="-30"/>
          <w:sz w:val="20"/>
        </w:rPr>
        <w:t> </w:t>
      </w:r>
      <w:r>
        <w:rPr>
          <w:sz w:val="20"/>
        </w:rPr>
        <w:t>fluid</w:t>
      </w:r>
      <w:r>
        <w:rPr>
          <w:spacing w:val="-30"/>
          <w:sz w:val="20"/>
        </w:rPr>
        <w:t> </w:t>
      </w:r>
      <w:r>
        <w:rPr>
          <w:sz w:val="20"/>
        </w:rPr>
        <w:t>flow</w:t>
      </w:r>
      <w:r>
        <w:rPr>
          <w:spacing w:val="-29"/>
          <w:sz w:val="20"/>
        </w:rPr>
        <w:t> </w:t>
      </w:r>
      <w:r>
        <w:rPr>
          <w:sz w:val="20"/>
        </w:rPr>
        <w:t>in</w:t>
      </w:r>
      <w:r>
        <w:rPr>
          <w:spacing w:val="-30"/>
          <w:sz w:val="20"/>
        </w:rPr>
        <w:t> </w:t>
      </w:r>
      <w:r>
        <w:rPr>
          <w:sz w:val="20"/>
        </w:rPr>
        <w:t>other</w:t>
      </w:r>
      <w:r>
        <w:rPr>
          <w:spacing w:val="-30"/>
          <w:sz w:val="20"/>
        </w:rPr>
        <w:t> </w:t>
      </w:r>
      <w:r>
        <w:rPr>
          <w:sz w:val="20"/>
        </w:rPr>
        <w:t>circumstances</w:t>
      </w:r>
      <w:r>
        <w:rPr>
          <w:spacing w:val="-30"/>
          <w:sz w:val="20"/>
        </w:rPr>
        <w:t> </w:t>
      </w:r>
      <w:r>
        <w:rPr>
          <w:sz w:val="20"/>
        </w:rPr>
        <w:t>(Salvi</w:t>
      </w:r>
      <w:r>
        <w:rPr>
          <w:spacing w:val="-29"/>
          <w:sz w:val="20"/>
        </w:rPr>
        <w:t> </w:t>
      </w:r>
      <w:r>
        <w:rPr>
          <w:i/>
          <w:sz w:val="20"/>
        </w:rPr>
        <w:t>et</w:t>
      </w:r>
      <w:r>
        <w:rPr>
          <w:i/>
          <w:spacing w:val="-30"/>
          <w:sz w:val="20"/>
        </w:rPr>
        <w:t> </w:t>
      </w:r>
      <w:r>
        <w:rPr>
          <w:i/>
          <w:sz w:val="20"/>
        </w:rPr>
        <w:t>al.</w:t>
      </w:r>
      <w:r>
        <w:rPr>
          <w:sz w:val="20"/>
        </w:rPr>
        <w:t>,</w:t>
      </w:r>
      <w:r>
        <w:rPr>
          <w:spacing w:val="-30"/>
          <w:sz w:val="20"/>
        </w:rPr>
        <w:t> </w:t>
      </w:r>
      <w:r>
        <w:rPr>
          <w:sz w:val="20"/>
        </w:rPr>
        <w:t>2000). Stratigraphic traps are formed by changes in rock type caused by</w:t>
      </w:r>
      <w:r>
        <w:rPr>
          <w:spacing w:val="-9"/>
          <w:sz w:val="20"/>
        </w:rPr>
        <w:t> </w:t>
      </w:r>
      <w:r>
        <w:rPr>
          <w:sz w:val="20"/>
        </w:rPr>
        <w:t>variation</w:t>
      </w:r>
      <w:r>
        <w:rPr>
          <w:spacing w:val="-8"/>
          <w:sz w:val="20"/>
        </w:rPr>
        <w:t> </w:t>
      </w:r>
      <w:r>
        <w:rPr>
          <w:sz w:val="20"/>
        </w:rPr>
        <w:t>in</w:t>
      </w:r>
      <w:r>
        <w:rPr>
          <w:spacing w:val="-8"/>
          <w:sz w:val="20"/>
        </w:rPr>
        <w:t> </w:t>
      </w:r>
      <w:r>
        <w:rPr>
          <w:sz w:val="20"/>
        </w:rPr>
        <w:t>the</w:t>
      </w:r>
      <w:r>
        <w:rPr>
          <w:spacing w:val="-8"/>
          <w:sz w:val="20"/>
        </w:rPr>
        <w:t> </w:t>
      </w:r>
      <w:r>
        <w:rPr>
          <w:sz w:val="20"/>
        </w:rPr>
        <w:t>setting</w:t>
      </w:r>
      <w:r>
        <w:rPr>
          <w:spacing w:val="-9"/>
          <w:sz w:val="20"/>
        </w:rPr>
        <w:t> </w:t>
      </w:r>
      <w:r>
        <w:rPr>
          <w:sz w:val="20"/>
        </w:rPr>
        <w:t>where</w:t>
      </w:r>
      <w:r>
        <w:rPr>
          <w:spacing w:val="-8"/>
          <w:sz w:val="20"/>
        </w:rPr>
        <w:t> </w:t>
      </w:r>
      <w:r>
        <w:rPr>
          <w:sz w:val="20"/>
        </w:rPr>
        <w:t>the</w:t>
      </w:r>
      <w:r>
        <w:rPr>
          <w:spacing w:val="-8"/>
          <w:sz w:val="20"/>
        </w:rPr>
        <w:t> </w:t>
      </w:r>
      <w:r>
        <w:rPr>
          <w:sz w:val="20"/>
        </w:rPr>
        <w:t>rocks</w:t>
      </w:r>
      <w:r>
        <w:rPr>
          <w:spacing w:val="-8"/>
          <w:sz w:val="20"/>
        </w:rPr>
        <w:t> </w:t>
      </w:r>
      <w:r>
        <w:rPr>
          <w:sz w:val="20"/>
        </w:rPr>
        <w:t>were</w:t>
      </w:r>
      <w:r>
        <w:rPr>
          <w:spacing w:val="-9"/>
          <w:sz w:val="20"/>
        </w:rPr>
        <w:t> </w:t>
      </w:r>
      <w:r>
        <w:rPr>
          <w:sz w:val="20"/>
        </w:rPr>
        <w:t>deposited.</w:t>
      </w:r>
      <w:r>
        <w:rPr>
          <w:spacing w:val="-8"/>
          <w:sz w:val="20"/>
        </w:rPr>
        <w:t> </w:t>
      </w:r>
      <w:r>
        <w:rPr>
          <w:sz w:val="20"/>
        </w:rPr>
        <w:t>Both of these types of traps are suitable for CO</w:t>
      </w:r>
      <w:r>
        <w:rPr>
          <w:position w:val="-6"/>
          <w:sz w:val="11"/>
        </w:rPr>
        <w:t>2 </w:t>
      </w:r>
      <w:r>
        <w:rPr>
          <w:sz w:val="20"/>
        </w:rPr>
        <w:t>storage, although, as discussed in Section 5.5, care must be taken not to exceed the allowable overpressure to avoid fracturing the caprock or re-activating faults (Streit </w:t>
      </w:r>
      <w:r>
        <w:rPr>
          <w:i/>
          <w:sz w:val="20"/>
        </w:rPr>
        <w:t>et al.</w:t>
      </w:r>
      <w:r>
        <w:rPr>
          <w:sz w:val="20"/>
        </w:rPr>
        <w:t>,</w:t>
      </w:r>
      <w:r>
        <w:rPr>
          <w:spacing w:val="-1"/>
          <w:sz w:val="20"/>
        </w:rPr>
        <w:t> </w:t>
      </w:r>
      <w:r>
        <w:rPr>
          <w:sz w:val="20"/>
        </w:rPr>
        <w:t>2005).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2"/>
        </w:rPr>
      </w:pPr>
      <w:r>
        <w:rPr/>
        <w:pict>
          <v:shape style="position:absolute;margin-left:47.272999pt;margin-top:9.351311pt;width:4.7pt;height:7.4pt;mso-position-horizontal-relative:page;mso-position-vertical-relative:paragraph;z-index:-251633664;mso-wrap-distance-left:0;mso-wrap-distance-right:0" coordorigin="945,187" coordsize="94,148" path="m1000,187l982,187,973,190,959,201,954,209,951,219,948,228,947,238,946,249,945,261,946,280,949,296,953,309,960,319,968,329,978,334,1003,334,1012,331,1025,320,1026,320,984,320,977,316,972,308,968,301,966,290,964,277,964,261,964,244,966,231,969,220,973,212,978,205,984,202,1025,202,1023,199,1019,195,1007,189,1000,187xm1025,202l1000,202,1007,206,1013,213,1016,221,1019,231,1021,244,1021,261,1021,277,1019,290,1016,301,1013,308,1007,316,1000,320,1026,320,1031,312,1034,302,1036,293,1038,284,1039,273,1039,261,1039,244,1038,235,1034,218,1031,211,1025,202xe" filled="true" fillcolor="#575d5d" stroked="false">
            <v:path arrowok="t"/>
            <v:fill type="solid"/>
            <w10:wrap type="topAndBottom"/>
          </v:shape>
        </w:pict>
      </w:r>
    </w:p>
    <w:p>
      <w:pPr>
        <w:pStyle w:val="ListParagraph"/>
        <w:numPr>
          <w:ilvl w:val="3"/>
          <w:numId w:val="1"/>
        </w:numPr>
        <w:tabs>
          <w:tab w:pos="977" w:val="left" w:leader="none"/>
        </w:tabs>
        <w:spacing w:line="240" w:lineRule="auto" w:before="63" w:after="0"/>
        <w:ind w:left="977" w:right="0" w:hanging="820"/>
        <w:jc w:val="both"/>
        <w:rPr>
          <w:i/>
          <w:sz w:val="20"/>
        </w:rPr>
      </w:pPr>
      <w:r>
        <w:rPr>
          <w:i/>
          <w:sz w:val="20"/>
        </w:rPr>
        <w:br w:type="column"/>
        <w:t>Physical trapping:</w:t>
      </w:r>
      <w:r>
        <w:rPr>
          <w:i/>
          <w:spacing w:val="-1"/>
          <w:sz w:val="20"/>
        </w:rPr>
        <w:t> </w:t>
      </w:r>
      <w:r>
        <w:rPr>
          <w:i/>
          <w:sz w:val="20"/>
        </w:rPr>
        <w:t>hydrodynamic</w:t>
      </w:r>
    </w:p>
    <w:p>
      <w:pPr>
        <w:pStyle w:val="BodyText"/>
        <w:spacing w:line="240" w:lineRule="exact" w:before="5"/>
        <w:ind w:left="157" w:right="531"/>
        <w:jc w:val="both"/>
      </w:pPr>
      <w:r>
        <w:rPr/>
        <w:t>Hydrodynamic trapping can occur in saline formations that do not have a closed trap, but where fluids migrate very slowly over long distances. When CO</w:t>
      </w:r>
      <w:r>
        <w:rPr>
          <w:position w:val="-6"/>
          <w:sz w:val="11"/>
        </w:rPr>
        <w:t>2 </w:t>
      </w:r>
      <w:r>
        <w:rPr/>
        <w:t>is injected into a formation, </w:t>
      </w:r>
      <w:r>
        <w:rPr>
          <w:spacing w:val="-7"/>
        </w:rPr>
        <w:t>it </w:t>
      </w:r>
      <w:r>
        <w:rPr/>
        <w:t>displaces saline formation water and then migrates buoyantly upwards,</w:t>
      </w:r>
      <w:r>
        <w:rPr>
          <w:spacing w:val="-12"/>
        </w:rPr>
        <w:t> </w:t>
      </w:r>
      <w:r>
        <w:rPr/>
        <w:t>because</w:t>
      </w:r>
      <w:r>
        <w:rPr>
          <w:spacing w:val="-12"/>
        </w:rPr>
        <w:t> </w:t>
      </w:r>
      <w:r>
        <w:rPr/>
        <w:t>it</w:t>
      </w:r>
      <w:r>
        <w:rPr>
          <w:spacing w:val="-12"/>
        </w:rPr>
        <w:t> </w:t>
      </w:r>
      <w:r>
        <w:rPr/>
        <w:t>is</w:t>
      </w:r>
      <w:r>
        <w:rPr>
          <w:spacing w:val="-12"/>
        </w:rPr>
        <w:t> </w:t>
      </w:r>
      <w:r>
        <w:rPr/>
        <w:t>less</w:t>
      </w:r>
      <w:r>
        <w:rPr>
          <w:spacing w:val="-12"/>
        </w:rPr>
        <w:t> </w:t>
      </w:r>
      <w:r>
        <w:rPr/>
        <w:t>dense</w:t>
      </w:r>
      <w:r>
        <w:rPr>
          <w:spacing w:val="-11"/>
        </w:rPr>
        <w:t> </w:t>
      </w:r>
      <w:r>
        <w:rPr/>
        <w:t>than</w:t>
      </w:r>
      <w:r>
        <w:rPr>
          <w:spacing w:val="-12"/>
        </w:rPr>
        <w:t> </w:t>
      </w:r>
      <w:r>
        <w:rPr/>
        <w:t>the</w:t>
      </w:r>
      <w:r>
        <w:rPr>
          <w:spacing w:val="-12"/>
        </w:rPr>
        <w:t> </w:t>
      </w:r>
      <w:r>
        <w:rPr>
          <w:spacing w:val="-3"/>
        </w:rPr>
        <w:t>water.</w:t>
      </w:r>
      <w:r>
        <w:rPr>
          <w:spacing w:val="-15"/>
        </w:rPr>
        <w:t> </w:t>
      </w:r>
      <w:r>
        <w:rPr/>
        <w:t>When</w:t>
      </w:r>
      <w:r>
        <w:rPr>
          <w:spacing w:val="-12"/>
        </w:rPr>
        <w:t> </w:t>
      </w:r>
      <w:r>
        <w:rPr/>
        <w:t>it</w:t>
      </w:r>
      <w:r>
        <w:rPr>
          <w:spacing w:val="-12"/>
        </w:rPr>
        <w:t> </w:t>
      </w:r>
      <w:r>
        <w:rPr/>
        <w:t>reaches the top of the formation, it continues to migrate as a separate phase until it is trapped as residual CO</w:t>
      </w:r>
      <w:r>
        <w:rPr>
          <w:position w:val="-6"/>
          <w:sz w:val="11"/>
        </w:rPr>
        <w:t>2 </w:t>
      </w:r>
      <w:r>
        <w:rPr/>
        <w:t>saturation or in local structural or stratigraphic traps within the sealing formation.  In the longer term, significant quantities of CO</w:t>
      </w:r>
      <w:r>
        <w:rPr>
          <w:position w:val="-6"/>
          <w:sz w:val="11"/>
        </w:rPr>
        <w:t>2  </w:t>
      </w:r>
      <w:r>
        <w:rPr/>
        <w:t>dissolve in  the formation water and then migrate with the groundwater. Where</w:t>
      </w:r>
      <w:r>
        <w:rPr>
          <w:spacing w:val="-8"/>
        </w:rPr>
        <w:t> </w:t>
      </w:r>
      <w:r>
        <w:rPr/>
        <w:t>the</w:t>
      </w:r>
      <w:r>
        <w:rPr>
          <w:spacing w:val="-7"/>
        </w:rPr>
        <w:t> </w:t>
      </w:r>
      <w:r>
        <w:rPr/>
        <w:t>distance</w:t>
      </w:r>
      <w:r>
        <w:rPr>
          <w:spacing w:val="-7"/>
        </w:rPr>
        <w:t> </w:t>
      </w:r>
      <w:r>
        <w:rPr/>
        <w:t>from</w:t>
      </w:r>
      <w:r>
        <w:rPr>
          <w:spacing w:val="-7"/>
        </w:rPr>
        <w:t> </w:t>
      </w:r>
      <w:r>
        <w:rPr/>
        <w:t>the</w:t>
      </w:r>
      <w:r>
        <w:rPr>
          <w:spacing w:val="-8"/>
        </w:rPr>
        <w:t> </w:t>
      </w:r>
      <w:r>
        <w:rPr/>
        <w:t>deep</w:t>
      </w:r>
      <w:r>
        <w:rPr>
          <w:spacing w:val="-7"/>
        </w:rPr>
        <w:t> </w:t>
      </w:r>
      <w:r>
        <w:rPr/>
        <w:t>injection</w:t>
      </w:r>
      <w:r>
        <w:rPr>
          <w:spacing w:val="-7"/>
        </w:rPr>
        <w:t> </w:t>
      </w:r>
      <w:r>
        <w:rPr/>
        <w:t>site</w:t>
      </w:r>
      <w:r>
        <w:rPr>
          <w:spacing w:val="-7"/>
        </w:rPr>
        <w:t> </w:t>
      </w:r>
      <w:r>
        <w:rPr/>
        <w:t>to</w:t>
      </w:r>
      <w:r>
        <w:rPr>
          <w:spacing w:val="-8"/>
        </w:rPr>
        <w:t> </w:t>
      </w:r>
      <w:r>
        <w:rPr/>
        <w:t>the</w:t>
      </w:r>
      <w:r>
        <w:rPr>
          <w:spacing w:val="-7"/>
        </w:rPr>
        <w:t> </w:t>
      </w:r>
      <w:r>
        <w:rPr/>
        <w:t>end</w:t>
      </w:r>
      <w:r>
        <w:rPr>
          <w:spacing w:val="-7"/>
        </w:rPr>
        <w:t> </w:t>
      </w:r>
      <w:r>
        <w:rPr/>
        <w:t>of</w:t>
      </w:r>
      <w:r>
        <w:rPr>
          <w:spacing w:val="-7"/>
        </w:rPr>
        <w:t> </w:t>
      </w:r>
      <w:r>
        <w:rPr/>
        <w:t>the overlying impermeable formation is hundreds of kilometres, the time scale for fluid to reach the surface from the deep</w:t>
      </w:r>
      <w:r>
        <w:rPr>
          <w:spacing w:val="-29"/>
        </w:rPr>
        <w:t> </w:t>
      </w:r>
      <w:r>
        <w:rPr/>
        <w:t>basin can be millions of years (Bachu </w:t>
      </w:r>
      <w:r>
        <w:rPr>
          <w:i/>
        </w:rPr>
        <w:t>et al.</w:t>
      </w:r>
      <w:r>
        <w:rPr/>
        <w:t>,</w:t>
      </w:r>
      <w:r>
        <w:rPr>
          <w:spacing w:val="-2"/>
        </w:rPr>
        <w:t> </w:t>
      </w:r>
      <w:r>
        <w:rPr/>
        <w:t>1994).</w:t>
      </w:r>
    </w:p>
    <w:p>
      <w:pPr>
        <w:pStyle w:val="BodyText"/>
        <w:spacing w:before="3"/>
        <w:rPr>
          <w:sz w:val="21"/>
        </w:rPr>
      </w:pPr>
    </w:p>
    <w:p>
      <w:pPr>
        <w:pStyle w:val="ListParagraph"/>
        <w:numPr>
          <w:ilvl w:val="3"/>
          <w:numId w:val="1"/>
        </w:numPr>
        <w:tabs>
          <w:tab w:pos="977" w:val="left" w:leader="none"/>
        </w:tabs>
        <w:spacing w:line="240" w:lineRule="auto" w:before="1" w:after="0"/>
        <w:ind w:left="977" w:right="0" w:hanging="820"/>
        <w:jc w:val="both"/>
        <w:rPr>
          <w:i/>
          <w:sz w:val="20"/>
        </w:rPr>
      </w:pPr>
      <w:r>
        <w:rPr>
          <w:i/>
          <w:sz w:val="20"/>
        </w:rPr>
        <w:t>Geochemical</w:t>
      </w:r>
      <w:r>
        <w:rPr>
          <w:i/>
          <w:spacing w:val="-2"/>
          <w:sz w:val="20"/>
        </w:rPr>
        <w:t> </w:t>
      </w:r>
      <w:r>
        <w:rPr>
          <w:i/>
          <w:sz w:val="20"/>
        </w:rPr>
        <w:t>trapping</w:t>
      </w:r>
    </w:p>
    <w:p>
      <w:pPr>
        <w:pStyle w:val="BodyText"/>
        <w:spacing w:line="240" w:lineRule="exact" w:before="4"/>
        <w:ind w:left="157" w:right="530"/>
        <w:jc w:val="both"/>
      </w:pPr>
      <w:r>
        <w:rPr/>
        <w:t>Carbon dioxide in the subsurface can undergo a sequence of geochemical</w:t>
      </w:r>
      <w:r>
        <w:rPr>
          <w:spacing w:val="-11"/>
        </w:rPr>
        <w:t> </w:t>
      </w:r>
      <w:r>
        <w:rPr/>
        <w:t>interactions</w:t>
      </w:r>
      <w:r>
        <w:rPr>
          <w:spacing w:val="-11"/>
        </w:rPr>
        <w:t> </w:t>
      </w:r>
      <w:r>
        <w:rPr/>
        <w:t>with</w:t>
      </w:r>
      <w:r>
        <w:rPr>
          <w:spacing w:val="-11"/>
        </w:rPr>
        <w:t> </w:t>
      </w:r>
      <w:r>
        <w:rPr/>
        <w:t>the</w:t>
      </w:r>
      <w:r>
        <w:rPr>
          <w:spacing w:val="-11"/>
        </w:rPr>
        <w:t> </w:t>
      </w:r>
      <w:r>
        <w:rPr/>
        <w:t>rock</w:t>
      </w:r>
      <w:r>
        <w:rPr>
          <w:spacing w:val="-11"/>
        </w:rPr>
        <w:t> </w:t>
      </w:r>
      <w:r>
        <w:rPr/>
        <w:t>and</w:t>
      </w:r>
      <w:r>
        <w:rPr>
          <w:spacing w:val="-11"/>
        </w:rPr>
        <w:t> </w:t>
      </w:r>
      <w:r>
        <w:rPr/>
        <w:t>formation</w:t>
      </w:r>
      <w:r>
        <w:rPr>
          <w:spacing w:val="-10"/>
        </w:rPr>
        <w:t> </w:t>
      </w:r>
      <w:r>
        <w:rPr/>
        <w:t>water</w:t>
      </w:r>
      <w:r>
        <w:rPr>
          <w:spacing w:val="-11"/>
        </w:rPr>
        <w:t> </w:t>
      </w:r>
      <w:r>
        <w:rPr/>
        <w:t>that will further increase storage capacity and effectiveness. First, when CO</w:t>
      </w:r>
      <w:r>
        <w:rPr>
          <w:position w:val="-6"/>
          <w:sz w:val="11"/>
        </w:rPr>
        <w:t>2 </w:t>
      </w:r>
      <w:r>
        <w:rPr/>
        <w:t>dissolves in formation </w:t>
      </w:r>
      <w:r>
        <w:rPr>
          <w:spacing w:val="-3"/>
        </w:rPr>
        <w:t>water, </w:t>
      </w:r>
      <w:r>
        <w:rPr/>
        <w:t>a process commonly called solubility trapping occurs. The primary benefit of solubility trapping is that once CO</w:t>
      </w:r>
      <w:r>
        <w:rPr>
          <w:position w:val="-6"/>
          <w:sz w:val="11"/>
        </w:rPr>
        <w:t>2 </w:t>
      </w:r>
      <w:r>
        <w:rPr/>
        <w:t>is dissolved, it no longer exists as a separate phase, thereby eliminating the buoyant forces that drive it upwards. Next, it will form ionic species as the rock dissolves, accompanied by a rise in the pH. </w:t>
      </w:r>
      <w:r>
        <w:rPr>
          <w:spacing w:val="-3"/>
        </w:rPr>
        <w:t>Finally, </w:t>
      </w:r>
      <w:r>
        <w:rPr/>
        <w:t>some fraction may be converted to stable carbonate minerals (mineral trapping), the most permanent form of geological storage (Gunter </w:t>
      </w:r>
      <w:r>
        <w:rPr>
          <w:i/>
        </w:rPr>
        <w:t>et al.</w:t>
      </w:r>
      <w:r>
        <w:rPr/>
        <w:t>, 1993). Mineral trapping is believed to be comparatively </w:t>
      </w:r>
      <w:r>
        <w:rPr>
          <w:spacing w:val="-4"/>
        </w:rPr>
        <w:t>slow, </w:t>
      </w:r>
      <w:r>
        <w:rPr/>
        <w:t>potentially  taking  a  thousand  years or longer. Nevertheless, the permanence of mineral storage, combined with the potentially large storage capacity present in some</w:t>
      </w:r>
      <w:r>
        <w:rPr>
          <w:spacing w:val="-11"/>
        </w:rPr>
        <w:t> </w:t>
      </w:r>
      <w:r>
        <w:rPr/>
        <w:t>geological</w:t>
      </w:r>
      <w:r>
        <w:rPr>
          <w:spacing w:val="-10"/>
        </w:rPr>
        <w:t> </w:t>
      </w:r>
      <w:r>
        <w:rPr/>
        <w:t>settings,</w:t>
      </w:r>
      <w:r>
        <w:rPr>
          <w:spacing w:val="-10"/>
        </w:rPr>
        <w:t> </w:t>
      </w:r>
      <w:r>
        <w:rPr/>
        <w:t>makes</w:t>
      </w:r>
      <w:r>
        <w:rPr>
          <w:spacing w:val="-10"/>
        </w:rPr>
        <w:t> </w:t>
      </w:r>
      <w:r>
        <w:rPr/>
        <w:t>this</w:t>
      </w:r>
      <w:r>
        <w:rPr>
          <w:spacing w:val="-10"/>
        </w:rPr>
        <w:t> </w:t>
      </w:r>
      <w:r>
        <w:rPr/>
        <w:t>a</w:t>
      </w:r>
      <w:r>
        <w:rPr>
          <w:spacing w:val="-10"/>
        </w:rPr>
        <w:t> </w:t>
      </w:r>
      <w:r>
        <w:rPr/>
        <w:t>desirable</w:t>
      </w:r>
      <w:r>
        <w:rPr>
          <w:spacing w:val="-11"/>
        </w:rPr>
        <w:t> </w:t>
      </w:r>
      <w:r>
        <w:rPr/>
        <w:t>feature</w:t>
      </w:r>
      <w:r>
        <w:rPr>
          <w:spacing w:val="-10"/>
        </w:rPr>
        <w:t> </w:t>
      </w:r>
      <w:r>
        <w:rPr/>
        <w:t>of</w:t>
      </w:r>
      <w:r>
        <w:rPr>
          <w:spacing w:val="-10"/>
        </w:rPr>
        <w:t> </w:t>
      </w:r>
      <w:r>
        <w:rPr/>
        <w:t>long- term</w:t>
      </w:r>
      <w:r>
        <w:rPr>
          <w:spacing w:val="-1"/>
        </w:rPr>
        <w:t> </w:t>
      </w:r>
      <w:r>
        <w:rPr/>
        <w:t>storage.</w:t>
      </w:r>
    </w:p>
    <w:p>
      <w:pPr>
        <w:pStyle w:val="BodyText"/>
        <w:rPr>
          <w:sz w:val="23"/>
        </w:rPr>
      </w:pPr>
    </w:p>
    <w:p>
      <w:pPr>
        <w:pStyle w:val="BodyText"/>
        <w:spacing w:line="206" w:lineRule="auto"/>
        <w:ind w:left="157" w:right="532"/>
        <w:jc w:val="both"/>
      </w:pPr>
      <w:r>
        <w:rPr/>
        <w:t>Dissolution of CO</w:t>
      </w:r>
      <w:r>
        <w:rPr>
          <w:position w:val="-6"/>
          <w:sz w:val="11"/>
        </w:rPr>
        <w:t>2 </w:t>
      </w:r>
      <w:r>
        <w:rPr/>
        <w:t>in formation waters can be represented by the chemical reaction:</w:t>
      </w:r>
    </w:p>
    <w:p>
      <w:pPr>
        <w:pStyle w:val="BodyText"/>
        <w:spacing w:before="1"/>
        <w:rPr>
          <w:sz w:val="22"/>
        </w:rPr>
      </w:pPr>
    </w:p>
    <w:p>
      <w:pPr>
        <w:pStyle w:val="BodyText"/>
        <w:ind w:left="157"/>
        <w:jc w:val="both"/>
        <w:rPr>
          <w:sz w:val="11"/>
        </w:rPr>
      </w:pPr>
      <w:r>
        <w:rPr/>
        <w:pict>
          <v:shape style="position:absolute;margin-left:317.056885pt;margin-top:8.337383pt;width:182.4pt;height:5.85pt;mso-position-horizontal-relative:page;mso-position-vertical-relative:paragraph;z-index:-258873344" type="#_x0000_t202" filled="false" stroked="false">
            <v:textbox inset="0,0,0,0">
              <w:txbxContent>
                <w:p>
                  <w:pPr>
                    <w:tabs>
                      <w:tab w:pos="698" w:val="left" w:leader="none"/>
                      <w:tab w:pos="1349" w:val="left" w:leader="none"/>
                      <w:tab w:pos="1685" w:val="left" w:leader="none"/>
                      <w:tab w:pos="2468" w:val="left" w:leader="none"/>
                      <w:tab w:pos="3589" w:val="left" w:leader="none"/>
                    </w:tabs>
                    <w:spacing w:line="111" w:lineRule="exact" w:before="0"/>
                    <w:ind w:left="0" w:right="0" w:firstLine="0"/>
                    <w:jc w:val="left"/>
                    <w:rPr>
                      <w:sz w:val="11"/>
                    </w:rPr>
                  </w:pPr>
                  <w:r>
                    <w:rPr>
                      <w:w w:val="105"/>
                      <w:sz w:val="11"/>
                    </w:rPr>
                    <w:t>2</w:t>
                    <w:tab/>
                    <w:t>2</w:t>
                    <w:tab/>
                    <w:t>2</w:t>
                    <w:tab/>
                    <w:t>3</w:t>
                    <w:tab/>
                    <w:t>3</w:t>
                    <w:tab/>
                  </w:r>
                  <w:r>
                    <w:rPr>
                      <w:spacing w:val="-20"/>
                      <w:w w:val="105"/>
                      <w:sz w:val="11"/>
                    </w:rPr>
                    <w:t>3</w:t>
                  </w:r>
                </w:p>
              </w:txbxContent>
            </v:textbox>
            <w10:wrap type="none"/>
          </v:shape>
        </w:pict>
      </w:r>
      <w:r>
        <w:rPr/>
        <w:t>CO (g) + H O </w:t>
      </w:r>
      <w:r>
        <w:rPr>
          <w:rFonts w:ascii="Arial" w:hAnsi="Arial"/>
        </w:rPr>
        <w:t>↔ </w:t>
      </w:r>
      <w:r>
        <w:rPr/>
        <w:t>H CO </w:t>
      </w:r>
      <w:r>
        <w:rPr>
          <w:rFonts w:ascii="Arial" w:hAnsi="Arial"/>
        </w:rPr>
        <w:t>↔ </w:t>
      </w:r>
      <w:r>
        <w:rPr/>
        <w:t>HCO </w:t>
      </w:r>
      <w:r>
        <w:rPr>
          <w:position w:val="7"/>
          <w:sz w:val="11"/>
        </w:rPr>
        <w:t>– </w:t>
      </w:r>
      <w:r>
        <w:rPr/>
        <w:t>+ H</w:t>
      </w:r>
      <w:r>
        <w:rPr>
          <w:position w:val="7"/>
          <w:sz w:val="11"/>
        </w:rPr>
        <w:t>+ </w:t>
      </w:r>
      <w:r>
        <w:rPr>
          <w:rFonts w:ascii="Arial" w:hAnsi="Arial"/>
        </w:rPr>
        <w:t>↔ </w:t>
      </w:r>
      <w:r>
        <w:rPr/>
        <w:t>CO </w:t>
      </w:r>
      <w:r>
        <w:rPr>
          <w:position w:val="7"/>
          <w:sz w:val="11"/>
        </w:rPr>
        <w:t>2– </w:t>
      </w:r>
      <w:r>
        <w:rPr/>
        <w:t>+ 2H</w:t>
      </w:r>
      <w:r>
        <w:rPr>
          <w:position w:val="7"/>
          <w:sz w:val="11"/>
        </w:rPr>
        <w:t>+</w:t>
      </w:r>
    </w:p>
    <w:p>
      <w:pPr>
        <w:pStyle w:val="BodyText"/>
        <w:spacing w:before="3"/>
        <w:rPr>
          <w:sz w:val="21"/>
        </w:rPr>
      </w:pPr>
    </w:p>
    <w:p>
      <w:pPr>
        <w:pStyle w:val="BodyText"/>
        <w:spacing w:line="240" w:lineRule="exact"/>
        <w:ind w:left="157" w:right="531"/>
        <w:jc w:val="both"/>
      </w:pPr>
      <w:r>
        <w:rPr/>
        <w:t>The CO</w:t>
      </w:r>
      <w:r>
        <w:rPr>
          <w:position w:val="-6"/>
          <w:sz w:val="11"/>
        </w:rPr>
        <w:t>2 </w:t>
      </w:r>
      <w:r>
        <w:rPr/>
        <w:t>solubility in formation water decreases as</w:t>
      </w:r>
      <w:r>
        <w:rPr>
          <w:spacing w:val="-28"/>
        </w:rPr>
        <w:t> </w:t>
      </w:r>
      <w:r>
        <w:rPr/>
        <w:t>temperature and</w:t>
      </w:r>
      <w:r>
        <w:rPr>
          <w:spacing w:val="-13"/>
        </w:rPr>
        <w:t> </w:t>
      </w:r>
      <w:r>
        <w:rPr/>
        <w:t>salinity</w:t>
      </w:r>
      <w:r>
        <w:rPr>
          <w:spacing w:val="-13"/>
        </w:rPr>
        <w:t> </w:t>
      </w:r>
      <w:r>
        <w:rPr/>
        <w:t>increase.</w:t>
      </w:r>
      <w:r>
        <w:rPr>
          <w:spacing w:val="-13"/>
        </w:rPr>
        <w:t> </w:t>
      </w:r>
      <w:r>
        <w:rPr/>
        <w:t>Dissolution</w:t>
      </w:r>
      <w:r>
        <w:rPr>
          <w:spacing w:val="-13"/>
        </w:rPr>
        <w:t> </w:t>
      </w:r>
      <w:r>
        <w:rPr/>
        <w:t>is</w:t>
      </w:r>
      <w:r>
        <w:rPr>
          <w:spacing w:val="-12"/>
        </w:rPr>
        <w:t> </w:t>
      </w:r>
      <w:r>
        <w:rPr/>
        <w:t>rapid</w:t>
      </w:r>
      <w:r>
        <w:rPr>
          <w:spacing w:val="-12"/>
        </w:rPr>
        <w:t> </w:t>
      </w:r>
      <w:r>
        <w:rPr/>
        <w:t>when</w:t>
      </w:r>
      <w:r>
        <w:rPr>
          <w:spacing w:val="-13"/>
        </w:rPr>
        <w:t> </w:t>
      </w:r>
      <w:r>
        <w:rPr/>
        <w:t>formation</w:t>
      </w:r>
      <w:r>
        <w:rPr>
          <w:spacing w:val="-13"/>
        </w:rPr>
        <w:t> </w:t>
      </w:r>
      <w:r>
        <w:rPr/>
        <w:t>water and CO</w:t>
      </w:r>
      <w:r>
        <w:rPr>
          <w:position w:val="-6"/>
          <w:sz w:val="11"/>
        </w:rPr>
        <w:t>2 </w:t>
      </w:r>
      <w:r>
        <w:rPr/>
        <w:t>share the same pore space, but once the formation fluid is saturated with CO</w:t>
      </w:r>
      <w:r>
        <w:rPr>
          <w:position w:val="-6"/>
          <w:sz w:val="11"/>
        </w:rPr>
        <w:t>2</w:t>
      </w:r>
      <w:r>
        <w:rPr/>
        <w:t>, the rate slows and is controlled by diffusion and convection</w:t>
      </w:r>
      <w:r>
        <w:rPr>
          <w:spacing w:val="-1"/>
        </w:rPr>
        <w:t> </w:t>
      </w:r>
      <w:r>
        <w:rPr/>
        <w:t>rates.</w:t>
      </w:r>
    </w:p>
    <w:p>
      <w:pPr>
        <w:pStyle w:val="BodyText"/>
        <w:spacing w:line="240" w:lineRule="exact"/>
        <w:ind w:left="157" w:right="530" w:firstLine="283"/>
        <w:jc w:val="both"/>
      </w:pPr>
      <w:r>
        <w:rPr/>
        <w:t>CO</w:t>
      </w:r>
      <w:r>
        <w:rPr>
          <w:position w:val="-6"/>
          <w:sz w:val="11"/>
        </w:rPr>
        <w:t>2 </w:t>
      </w:r>
      <w:r>
        <w:rPr/>
        <w:t>dissolved in water produces a weak acid, which reacts with the sodium and potassium basic silicate or calcium, magnesium and iron carbonate or silicate minerals in the reservoir or formation to form bicarbonate ions by chemical reactions approximating to:</w:t>
      </w:r>
    </w:p>
    <w:p>
      <w:pPr>
        <w:spacing w:after="0" w:line="240" w:lineRule="exact"/>
        <w:jc w:val="both"/>
        <w:sectPr>
          <w:type w:val="continuous"/>
          <w:pgSz w:w="12240" w:h="15840"/>
          <w:pgMar w:top="400" w:bottom="280" w:left="580" w:right="600"/>
          <w:cols w:num="2" w:equalWidth="0">
            <w:col w:w="5242" w:space="84"/>
            <w:col w:w="5734"/>
          </w:cols>
        </w:sectPr>
      </w:pPr>
    </w:p>
    <w:p>
      <w:pPr>
        <w:pStyle w:val="BodyText"/>
        <w:rPr>
          <w:sz w:val="12"/>
        </w:rPr>
      </w:pPr>
    </w:p>
    <w:p>
      <w:pPr>
        <w:spacing w:after="0"/>
        <w:rPr>
          <w:sz w:val="12"/>
        </w:rPr>
        <w:sectPr>
          <w:type w:val="continuous"/>
          <w:pgSz w:w="12240" w:h="15840"/>
          <w:pgMar w:top="400" w:bottom="280" w:left="580" w:right="600"/>
        </w:sectPr>
      </w:pPr>
    </w:p>
    <w:p>
      <w:pPr>
        <w:pStyle w:val="BodyText"/>
        <w:spacing w:line="166" w:lineRule="exact" w:before="108"/>
        <w:jc w:val="right"/>
      </w:pPr>
      <w:r>
        <w:rPr/>
        <w:pict>
          <v:group style="position:absolute;margin-left:34.394001pt;margin-top:-236.701065pt;width:250.1pt;height:234.75pt;mso-position-horizontal-relative:page;mso-position-vertical-relative:paragraph;z-index:-258875392" coordorigin="688,-4734" coordsize="5002,4695">
            <v:shape style="position:absolute;left:1161;top:-4651;width:4286;height:3617" coordorigin="1162,-4650" coordsize="4286,3617" path="m5448,-4650l1162,-4650,1162,-1034,1197,-1101,1232,-1167,1267,-1233,1303,-1299,1340,-1365,1377,-1431,1416,-1497,1456,-1563,1497,-1629,1540,-1695,1584,-1761,1631,-1827,1675,-1889,1720,-1951,1767,-2014,1815,-2077,1864,-2140,1915,-2202,1966,-2265,2019,-2327,2073,-2388,2128,-2448,2184,-2507,2242,-2564,2300,-2620,2356,-2671,2412,-2720,2469,-2768,2526,-2816,2585,-2862,2645,-2908,2706,-2953,2768,-2997,2832,-3041,2897,-3084,2963,-3127,3031,-3170,3100,-3212,3171,-3255,3235,-3292,3300,-3330,3368,-3368,3437,-3407,3507,-3445,3578,-3483,3650,-3520,3723,-3557,3797,-3593,3870,-3628,3944,-3663,4018,-3695,4092,-3727,4165,-3756,4237,-3784,4309,-3810,4385,-3835,4461,-3859,4537,-3880,4613,-3900,4689,-3919,4765,-3936,4840,-3951,4916,-3966,4992,-3979,5144,-4004,5448,-4048,5448,-4650xe" filled="true" fillcolor="#009036" stroked="false">
              <v:path arrowok="t"/>
              <v:fill type="solid"/>
            </v:shape>
            <v:shape style="position:absolute;left:1161;top:-3379;width:4286;height:3081" coordorigin="1162,-3378" coordsize="4286,3081" path="m5448,-3378l5416,-3347,5380,-3310,4956,-2869,4827,-2737,4761,-2671,4694,-2605,4627,-2539,4560,-2475,4494,-2412,4429,-2352,4365,-2295,4302,-2241,4242,-2191,4176,-2138,4109,-2086,4041,-2035,3972,-1984,3902,-1935,3832,-1886,3761,-1838,3690,-1792,3620,-1746,3550,-1702,3481,-1658,3412,-1616,3278,-1536,3149,-1461,2970,-1360,2884,-1313,2802,-1272,2726,-1235,2653,-1202,2582,-1172,2514,-1145,2447,-1120,2380,-1096,2312,-1074,2024,-980,1947,-957,1870,-935,1793,-914,1715,-894,1637,-874,1479,-837,1162,-767,1162,-298,2268,-334,2643,-352,2846,-365,3347,-405,3422,-413,3493,-422,3561,-432,3627,-445,3693,-460,3761,-479,3832,-501,3907,-528,3975,-553,4044,-581,4114,-611,4185,-644,4256,-678,4327,-714,4397,-752,4467,-792,4535,-834,4602,-877,4666,-921,4729,-967,4788,-1015,4845,-1063,4904,-1120,4962,-1184,5019,-1254,5075,-1327,5128,-1403,5180,-1480,5229,-1555,5275,-1629,5317,-1698,5356,-1762,5391,-1819,5422,-1867,5448,-1905,5448,-3378xe" filled="true" fillcolor="#75b97e" stroked="false">
              <v:path arrowok="t"/>
              <v:fill type="solid"/>
            </v:shape>
            <v:shape style="position:absolute;left:1161;top:-3379;width:4286;height:3081" coordorigin="1162,-3378" coordsize="4286,3081" path="m1162,-298l1250,-300,1338,-303,1426,-305,1513,-308,1600,-311,1686,-313,1772,-316,1857,-319,1941,-322,2025,-324,2107,-327,2188,-331,2268,-334,2346,-337,2423,-341,2498,-344,2571,-348,2643,-352,2713,-356,2780,-360,2846,-365,2909,-369,2970,-374,3078,-383,3176,-391,3265,-398,3347,-405,3422,-413,3493,-422,3561,-432,3627,-445,3693,-460,3761,-479,3832,-501,3907,-528,3975,-553,4044,-581,4114,-611,4185,-644,4256,-678,4327,-714,4397,-752,4467,-792,4535,-834,4602,-877,4666,-921,4729,-967,4788,-1015,4845,-1063,4904,-1120,4962,-1184,5019,-1254,5075,-1327,5128,-1403,5180,-1480,5229,-1555,5275,-1629,5317,-1698,5356,-1762,5391,-1819,5422,-1867,5448,-1905,5448,-3374,5448,-3378,5416,-3347,5339,-3268,5294,-3221,5245,-3170,5193,-3115,5138,-3057,5079,-2997,5019,-2934,4956,-2869,4892,-2804,4827,-2737,4761,-2671,4694,-2605,4627,-2539,4560,-2475,4494,-2412,4429,-2352,4365,-2295,4302,-2241,4242,-2191,4176,-2138,4109,-2086,4041,-2035,3972,-1984,3902,-1935,3832,-1886,3761,-1838,3690,-1792,3620,-1746,3550,-1702,3481,-1658,3412,-1616,3344,-1575,3278,-1536,3212,-1498,3149,-1461,3087,-1426,3027,-1392,2970,-1360,2884,-1313,2802,-1272,2726,-1235,2653,-1202,2582,-1172,2514,-1145,2447,-1120,2380,-1096,2312,-1074,2244,-1051,2173,-1028,2099,-1004,2024,-980,1947,-957,1870,-935,1793,-914,1715,-894,1637,-874,1558,-855,1479,-837,1400,-819,1321,-801,1241,-784,1162,-767,1162,-298xe" filled="false" stroked="true" strokeweight=".75pt" strokecolor="#ffffff">
              <v:path arrowok="t"/>
              <v:stroke dashstyle="solid"/>
            </v:shape>
            <v:shape style="position:absolute;left:1161;top:-1905;width:4286;height:1608" coordorigin="1162,-1905" coordsize="4286,1608" path="m5448,-1905l5422,-1867,5391,-1819,5356,-1762,5317,-1698,5275,-1629,5229,-1555,5180,-1480,5128,-1403,5075,-1327,5019,-1254,4962,-1184,4904,-1120,4845,-1063,4788,-1015,4729,-967,4666,-921,4602,-877,4535,-834,4467,-792,4397,-752,4327,-714,4256,-678,4185,-644,4114,-611,4044,-581,3975,-553,3907,-528,3832,-501,3761,-479,3693,-460,3627,-445,3561,-432,3493,-422,3422,-413,3347,-405,2846,-365,2643,-352,2268,-334,1162,-298,5448,-298,5448,-1905xe" filled="true" fillcolor="#acd2ab" stroked="false">
              <v:path arrowok="t"/>
              <v:fill type="solid"/>
            </v:shape>
            <v:shape style="position:absolute;left:1161;top:-1905;width:4286;height:1608" coordorigin="1162,-1905" coordsize="4286,1608" path="m1162,-298l1250,-300,1338,-303,1426,-305,1513,-308,1600,-311,1686,-313,1772,-316,1857,-319,1941,-322,2025,-324,2107,-327,2188,-331,2268,-334,2346,-337,2423,-341,2498,-344,2571,-348,2643,-352,2713,-356,2780,-360,2846,-365,2909,-369,2970,-374,3078,-383,3176,-391,3265,-398,3347,-405,3422,-413,3493,-422,3561,-432,3627,-445,3693,-460,3761,-479,3832,-501,3907,-528,3975,-553,4044,-581,4114,-611,4185,-644,4256,-678,4327,-714,4397,-752,4467,-792,4535,-834,4602,-877,4666,-921,4729,-967,4788,-1015,4845,-1063,4904,-1120,4962,-1184,5019,-1254,5075,-1327,5128,-1403,5180,-1480,5229,-1555,5275,-1629,5317,-1698,5356,-1762,5391,-1819,5422,-1867,5448,-1905,5448,-298,1162,-298xe" filled="false" stroked="true" strokeweight=".75pt" strokecolor="#ffffff">
              <v:path arrowok="t"/>
              <v:stroke dashstyle="solid"/>
            </v:shape>
            <v:shape style="position:absolute;left:1161;top:-4048;width:4286;height:3282" coordorigin="1162,-4048" coordsize="4286,3282" path="m5448,-4048l5144,-4004,4992,-3979,4916,-3966,4840,-3951,4765,-3936,4689,-3919,4613,-3900,4537,-3880,4461,-3859,4385,-3835,4309,-3810,4237,-3784,4165,-3756,4092,-3727,4018,-3695,3944,-3663,3870,-3628,3797,-3593,3723,-3557,3650,-3520,3578,-3483,3507,-3445,3437,-3407,3368,-3368,3300,-3330,3235,-3292,3171,-3255,3100,-3212,3031,-3170,2963,-3127,2897,-3084,2832,-3041,2768,-2997,2706,-2953,2645,-2908,2585,-2862,2526,-2816,2469,-2768,2412,-2720,2356,-2671,2300,-2620,2242,-2564,2184,-2507,2128,-2448,2073,-2388,2019,-2327,1966,-2265,1915,-2202,1864,-2140,1815,-2077,1767,-2014,1720,-1951,1675,-1889,1631,-1827,1584,-1761,1540,-1695,1497,-1629,1456,-1563,1416,-1497,1377,-1431,1340,-1365,1303,-1299,1267,-1233,1232,-1167,1197,-1101,1162,-1034,1162,-767,1479,-837,1637,-874,1715,-894,1793,-914,1870,-935,1947,-957,2024,-980,2312,-1074,2380,-1096,2447,-1120,2514,-1145,2582,-1172,2653,-1202,2726,-1235,2802,-1272,2884,-1313,2970,-1360,3149,-1461,3278,-1536,3412,-1616,3481,-1658,3550,-1702,3620,-1746,3690,-1792,3761,-1838,3832,-1886,3902,-1935,3972,-1984,4041,-2035,4109,-2086,4176,-2138,4242,-2191,4302,-2241,4365,-2295,4429,-2352,4494,-2412,4560,-2475,4627,-2539,4694,-2605,4761,-2671,4827,-2737,4956,-2869,5080,-2997,5245,-3170,5339,-3268,5380,-3310,5416,-3347,5448,-3378,5448,-4048xe" filled="true" fillcolor="#28a356" stroked="false">
              <v:path arrowok="t"/>
              <v:fill type="solid"/>
            </v:shape>
            <v:shape style="position:absolute;left:1161;top:-4048;width:4286;height:3282" coordorigin="1162,-4048" coordsize="4286,3282" path="m5448,-4048l5372,-4037,5296,-4026,5220,-4015,5144,-4004,5068,-3992,4992,-3979,4916,-3966,4840,-3951,4765,-3936,4689,-3919,4613,-3900,4537,-3880,4461,-3859,4385,-3835,4309,-3810,4237,-3784,4165,-3756,4092,-3727,4018,-3695,3944,-3663,3870,-3628,3797,-3593,3723,-3557,3650,-3520,3578,-3483,3507,-3445,3437,-3407,3368,-3368,3300,-3330,3235,-3292,3171,-3255,3100,-3212,3031,-3170,2963,-3127,2897,-3084,2832,-3041,2768,-2997,2706,-2953,2645,-2908,2585,-2862,2526,-2816,2469,-2768,2412,-2720,2356,-2671,2300,-2620,2242,-2564,2184,-2507,2128,-2448,2073,-2388,2019,-2327,1966,-2265,1915,-2202,1864,-2140,1815,-2077,1767,-2014,1720,-1951,1675,-1889,1631,-1827,1584,-1761,1540,-1695,1497,-1629,1456,-1563,1416,-1497,1377,-1431,1340,-1365,1303,-1299,1267,-1233,1232,-1167,1197,-1101,1162,-1034,1162,-1039,1162,-767,1241,-784,1321,-801,1400,-819,1479,-837,1558,-855,1637,-874,1715,-894,1793,-914,1870,-935,1947,-957,2024,-980,2099,-1004,2173,-1028,2244,-1051,2312,-1074,2380,-1096,2447,-1120,2514,-1145,2582,-1172,2653,-1202,2726,-1235,2802,-1272,2884,-1313,2970,-1360,3027,-1392,3087,-1426,3149,-1461,3212,-1498,3278,-1536,3344,-1575,3412,-1616,3481,-1658,3550,-1702,3620,-1746,3690,-1792,3761,-1838,3832,-1886,3902,-1935,3972,-1984,4041,-2035,4109,-2086,4176,-2138,4242,-2191,4302,-2241,4365,-2295,4429,-2352,4494,-2412,4560,-2475,4627,-2539,4694,-2605,4761,-2671,4827,-2737,4892,-2804,4956,-2869,5019,-2934,5079,-2997,5138,-3057,5193,-3115,5245,-3170,5294,-3221,5339,-3268,5380,-3310,5416,-3347,5448,-3378,5448,-4048xe" filled="false" stroked="true" strokeweight=".75pt" strokecolor="#ffffff">
              <v:path arrowok="t"/>
              <v:stroke dashstyle="solid"/>
            </v:shape>
            <v:shape style="position:absolute;left:1161;top:-2779;width:4018;height:603" type="#_x0000_t75" stroked="false">
              <v:imagedata r:id="rId33" o:title=""/>
            </v:shape>
            <v:shape style="position:absolute;left:1161;top:-2779;width:4018;height:603" coordorigin="1162,-2779" coordsize="4018,603" path="m4225,-2779l4225,-2628,1162,-2628,1162,-2327,4225,-2327,4225,-2176,5180,-2477,4225,-2779xe" filled="false" stroked="true" strokeweight="2.0pt" strokecolor="#ffffff">
              <v:path arrowok="t"/>
              <v:stroke dashstyle="solid"/>
            </v:shape>
            <v:rect style="position:absolute;left:1161;top:-4651;width:4286;height:4353" filled="false" stroked="true" strokeweight="2pt" strokecolor="#000000">
              <v:stroke dashstyle="solid"/>
            </v:rect>
            <v:shape style="position:absolute;left:1144;top:-213;width:1834;height:148" coordorigin="1144,-213" coordsize="1834,148" path="m1197,-213l1186,-213,1183,-207,1178,-200,1163,-187,1154,-181,1144,-177,1144,-160,1150,-162,1156,-165,1170,-173,1175,-177,1180,-181,1180,-68,1197,-68,1197,-181,1197,-213m2059,-213l2048,-213,2045,-207,2040,-200,2025,-187,2016,-181,2006,-177,2006,-160,2012,-162,2018,-165,2032,-173,2037,-177,2042,-181,2042,-68,2059,-68,2059,-181,2059,-213m2198,-139l2198,-156,2197,-165,2193,-182,2190,-189,2184,-198,2182,-201,2180,-203,2180,-139,2180,-123,2178,-110,2175,-99,2172,-92,2166,-84,2159,-80,2143,-80,2136,-84,2131,-92,2127,-99,2125,-110,2123,-123,2123,-139,2123,-156,2125,-169,2128,-180,2132,-188,2136,-195,2143,-198,2159,-198,2166,-194,2172,-186,2175,-179,2178,-169,2180,-156,2180,-139,2180,-203,2178,-205,2166,-211,2159,-213,2141,-213,2132,-210,2118,-199,2113,-191,2110,-180,2107,-172,2106,-162,2105,-151,2104,-139,2105,-120,2108,-104,2112,-91,2119,-80,2127,-71,2137,-66,2162,-66,2171,-68,2184,-80,2185,-80,2190,-88,2193,-98,2195,-107,2197,-116,2198,-127,2198,-139m2978,-213l2966,-213,2963,-207,2958,-200,2943,-187,2935,-181,2925,-177,2925,-160,2930,-162,2936,-165,2950,-173,2956,-177,2960,-181,2960,-68,2978,-68,2978,-181,2978,-213e" filled="true" fillcolor="#575d5d" stroked="false">
              <v:path arrowok="t"/>
              <v:fill type="solid"/>
            </v:shape>
            <v:shape style="position:absolute;left:3022;top:-213;width:206;height:148" type="#_x0000_t75" stroked="false">
              <v:imagedata r:id="rId34" o:title=""/>
            </v:shape>
            <v:shape style="position:absolute;left:3875;top:-213;width:53;height:145" coordorigin="3876,-213" coordsize="53,145" path="m3929,-181l3911,-181,3911,-68,3929,-68,3929,-181xm3929,-213l3917,-213,3914,-207,3909,-200,3894,-187,3886,-181,3876,-177,3876,-160,3881,-162,3887,-165,3901,-173,3907,-177,3911,-181,3929,-181,3929,-213xe" filled="true" fillcolor="#575d5d" stroked="false">
              <v:path arrowok="t"/>
              <v:fill type="solid"/>
            </v:shape>
            <v:shape style="position:absolute;left:3982;top:-213;width:364;height:173" type="#_x0000_t75" stroked="false">
              <v:imagedata r:id="rId35" o:title=""/>
            </v:shape>
            <v:shape style="position:absolute;left:5107;top:-213;width:54;height:145" coordorigin="5107,-213" coordsize="54,145" path="m5160,-181l5143,-181,5143,-68,5160,-68,5160,-181xm5160,-213l5149,-213,5146,-207,5141,-200,5126,-187,5117,-181,5107,-177,5107,-160,5113,-162,5119,-165,5133,-173,5138,-177,5143,-181,5160,-181,5160,-213xe" filled="true" fillcolor="#575d5d" stroked="false">
              <v:path arrowok="t"/>
              <v:fill type="solid"/>
            </v:shape>
            <v:shape style="position:absolute;left:5205;top:-213;width:484;height:173" type="#_x0000_t75" stroked="false">
              <v:imagedata r:id="rId36" o:title=""/>
            </v:shape>
            <v:shape style="position:absolute;left:790;top:-4735;width:54;height:145" coordorigin="791,-4734" coordsize="54,145" path="m844,-4702l826,-4702,826,-4589,844,-4589,844,-4702xm844,-4734l832,-4734,829,-4728,824,-4721,809,-4708,801,-4703,791,-4698,791,-4681,796,-4683,803,-4686,816,-4694,822,-4698,826,-4702,844,-4702,844,-4734xe" filled="true" fillcolor="#575d5d" stroked="false">
              <v:path arrowok="t"/>
              <v:fill type="solid"/>
            </v:shape>
            <v:shape style="position:absolute;left:889;top:-4735;width:206;height:148" type="#_x0000_t75" stroked="false">
              <v:imagedata r:id="rId37" o:title=""/>
            </v:shape>
            <v:shape style="position:absolute;left:1376;top:-4453;width:1101;height:653" type="#_x0000_t75" stroked="false">
              <v:imagedata r:id="rId38" o:title=""/>
            </v:shape>
            <v:shape style="position:absolute;left:3851;top:-3432;width:1093;height:424" type="#_x0000_t75" stroked="false">
              <v:imagedata r:id="rId39" o:title=""/>
            </v:shape>
            <v:shape style="position:absolute;left:3710;top:-1509;width:820;height:424" type="#_x0000_t75" stroked="false">
              <v:imagedata r:id="rId40" o:title=""/>
            </v:shape>
            <v:line style="position:absolute" from="5204,-815" to="5204,-665" stroked="true" strokeweight=".933pt" strokecolor="#ffffff">
              <v:stroke dashstyle="solid"/>
            </v:line>
            <v:shape style="position:absolute;left:4517;top:-811;width:749;height:419" type="#_x0000_t75" stroked="false">
              <v:imagedata r:id="rId41" o:title=""/>
            </v:shape>
            <v:shape style="position:absolute;left:1705;top:-2562;width:2382;height:193" type="#_x0000_t75" stroked="false">
              <v:imagedata r:id="rId42" o:title=""/>
            </v:shape>
            <v:shape style="position:absolute;left:687;top:-3337;width:170;height:1886" type="#_x0000_t75" stroked="false">
              <v:imagedata r:id="rId43" o:title=""/>
            </v:shape>
            <w10:wrap type="none"/>
          </v:group>
        </w:pict>
      </w:r>
      <w:r>
        <w:rPr/>
        <w:drawing>
          <wp:anchor distT="0" distB="0" distL="0" distR="0" allowOverlap="1" layoutInCell="1" locked="0" behindDoc="0" simplePos="0" relativeHeight="251684864">
            <wp:simplePos x="0" y="0"/>
            <wp:positionH relativeFrom="page">
              <wp:posOffset>1278305</wp:posOffset>
            </wp:positionH>
            <wp:positionV relativeFrom="paragraph">
              <wp:posOffset>65150</wp:posOffset>
            </wp:positionV>
            <wp:extent cx="1682165" cy="107746"/>
            <wp:effectExtent l="0" t="0" r="0" b="0"/>
            <wp:wrapNone/>
            <wp:docPr id="5" name="image38.png"/>
            <wp:cNvGraphicFramePr>
              <a:graphicFrameLocks noChangeAspect="1"/>
            </wp:cNvGraphicFramePr>
            <a:graphic>
              <a:graphicData uri="http://schemas.openxmlformats.org/drawingml/2006/picture">
                <pic:pic>
                  <pic:nvPicPr>
                    <pic:cNvPr id="6" name="image38.png"/>
                    <pic:cNvPicPr/>
                  </pic:nvPicPr>
                  <pic:blipFill>
                    <a:blip r:embed="rId44" cstate="print"/>
                    <a:stretch>
                      <a:fillRect/>
                    </a:stretch>
                  </pic:blipFill>
                  <pic:spPr>
                    <a:xfrm>
                      <a:off x="0" y="0"/>
                      <a:ext cx="1682165" cy="107746"/>
                    </a:xfrm>
                    <a:prstGeom prst="rect">
                      <a:avLst/>
                    </a:prstGeom>
                  </pic:spPr>
                </pic:pic>
              </a:graphicData>
            </a:graphic>
          </wp:anchor>
        </w:drawing>
      </w:r>
      <w:r>
        <w:rPr/>
        <w:t>3 K-feldspar + 2H O + 2CO</w:t>
      </w:r>
    </w:p>
    <w:p>
      <w:pPr>
        <w:pStyle w:val="BodyText"/>
        <w:spacing w:line="192" w:lineRule="exact" w:before="82"/>
        <w:ind w:left="80"/>
        <w:rPr>
          <w:sz w:val="11"/>
        </w:rPr>
      </w:pPr>
      <w:r>
        <w:rPr/>
        <w:br w:type="column"/>
      </w:r>
      <w:r>
        <w:rPr>
          <w:rFonts w:ascii="Arial" w:hAnsi="Arial"/>
        </w:rPr>
        <w:t>— </w:t>
      </w:r>
      <w:r>
        <w:rPr/>
        <w:t>Muscovite + 6 Quartz + 2K</w:t>
      </w:r>
      <w:r>
        <w:rPr>
          <w:position w:val="11"/>
          <w:sz w:val="11"/>
        </w:rPr>
        <w:t>+</w:t>
      </w:r>
    </w:p>
    <w:p>
      <w:pPr>
        <w:spacing w:after="0" w:line="192" w:lineRule="exact"/>
        <w:rPr>
          <w:sz w:val="11"/>
        </w:rPr>
        <w:sectPr>
          <w:type w:val="continuous"/>
          <w:pgSz w:w="12240" w:h="15840"/>
          <w:pgMar w:top="400" w:bottom="280" w:left="580" w:right="600"/>
          <w:cols w:num="2" w:equalWidth="0">
            <w:col w:w="7803" w:space="40"/>
            <w:col w:w="3217"/>
          </w:cols>
        </w:sectPr>
      </w:pPr>
    </w:p>
    <w:p>
      <w:pPr>
        <w:spacing w:line="220" w:lineRule="exact" w:before="122"/>
        <w:ind w:left="157" w:right="38" w:firstLine="0"/>
        <w:jc w:val="both"/>
        <w:rPr>
          <w:sz w:val="18"/>
        </w:rPr>
      </w:pPr>
      <w:r>
        <w:rPr>
          <w:b/>
          <w:sz w:val="18"/>
        </w:rPr>
        <w:t>Figure</w:t>
      </w:r>
      <w:r>
        <w:rPr>
          <w:b/>
          <w:spacing w:val="-8"/>
          <w:sz w:val="18"/>
        </w:rPr>
        <w:t> </w:t>
      </w:r>
      <w:r>
        <w:rPr>
          <w:b/>
          <w:sz w:val="18"/>
        </w:rPr>
        <w:t>5.9</w:t>
      </w:r>
      <w:r>
        <w:rPr>
          <w:b/>
          <w:spacing w:val="30"/>
          <w:sz w:val="18"/>
        </w:rPr>
        <w:t> </w:t>
      </w:r>
      <w:r>
        <w:rPr>
          <w:sz w:val="18"/>
        </w:rPr>
        <w:t>Storage</w:t>
      </w:r>
      <w:r>
        <w:rPr>
          <w:spacing w:val="-7"/>
          <w:sz w:val="18"/>
        </w:rPr>
        <w:t> </w:t>
      </w:r>
      <w:r>
        <w:rPr>
          <w:sz w:val="18"/>
        </w:rPr>
        <w:t>security</w:t>
      </w:r>
      <w:r>
        <w:rPr>
          <w:spacing w:val="-8"/>
          <w:sz w:val="18"/>
        </w:rPr>
        <w:t> </w:t>
      </w:r>
      <w:r>
        <w:rPr>
          <w:sz w:val="18"/>
        </w:rPr>
        <w:t>depends</w:t>
      </w:r>
      <w:r>
        <w:rPr>
          <w:spacing w:val="-7"/>
          <w:sz w:val="18"/>
        </w:rPr>
        <w:t> </w:t>
      </w:r>
      <w:r>
        <w:rPr>
          <w:sz w:val="18"/>
        </w:rPr>
        <w:t>on</w:t>
      </w:r>
      <w:r>
        <w:rPr>
          <w:spacing w:val="-8"/>
          <w:sz w:val="18"/>
        </w:rPr>
        <w:t> </w:t>
      </w:r>
      <w:r>
        <w:rPr>
          <w:sz w:val="18"/>
        </w:rPr>
        <w:t>a</w:t>
      </w:r>
      <w:r>
        <w:rPr>
          <w:spacing w:val="-7"/>
          <w:sz w:val="18"/>
        </w:rPr>
        <w:t> </w:t>
      </w:r>
      <w:r>
        <w:rPr>
          <w:sz w:val="18"/>
        </w:rPr>
        <w:t>combination</w:t>
      </w:r>
      <w:r>
        <w:rPr>
          <w:spacing w:val="-8"/>
          <w:sz w:val="18"/>
        </w:rPr>
        <w:t> </w:t>
      </w:r>
      <w:r>
        <w:rPr>
          <w:sz w:val="18"/>
        </w:rPr>
        <w:t>of</w:t>
      </w:r>
      <w:r>
        <w:rPr>
          <w:spacing w:val="-7"/>
          <w:sz w:val="18"/>
        </w:rPr>
        <w:t> </w:t>
      </w:r>
      <w:r>
        <w:rPr>
          <w:sz w:val="18"/>
        </w:rPr>
        <w:t>physical</w:t>
      </w:r>
      <w:r>
        <w:rPr>
          <w:spacing w:val="-8"/>
          <w:sz w:val="18"/>
        </w:rPr>
        <w:t> </w:t>
      </w:r>
      <w:r>
        <w:rPr>
          <w:sz w:val="18"/>
        </w:rPr>
        <w:t>and geochemical trapping. Over time, the physical process of residual</w:t>
      </w:r>
      <w:r>
        <w:rPr>
          <w:spacing w:val="-27"/>
          <w:sz w:val="18"/>
        </w:rPr>
        <w:t> </w:t>
      </w:r>
      <w:r>
        <w:rPr>
          <w:spacing w:val="-4"/>
          <w:sz w:val="18"/>
        </w:rPr>
        <w:t>CO</w:t>
      </w:r>
      <w:r>
        <w:rPr>
          <w:spacing w:val="-4"/>
          <w:position w:val="-5"/>
          <w:sz w:val="10"/>
        </w:rPr>
        <w:t>2 </w:t>
      </w:r>
      <w:r>
        <w:rPr>
          <w:sz w:val="18"/>
        </w:rPr>
        <w:t>trapping and geochemical processes of solubility trapping and</w:t>
      </w:r>
      <w:r>
        <w:rPr>
          <w:spacing w:val="-27"/>
          <w:sz w:val="18"/>
        </w:rPr>
        <w:t> </w:t>
      </w:r>
      <w:r>
        <w:rPr>
          <w:sz w:val="18"/>
        </w:rPr>
        <w:t>mineral trapping increase.</w:t>
      </w:r>
    </w:p>
    <w:p>
      <w:pPr>
        <w:tabs>
          <w:tab w:pos="2475" w:val="left" w:leader="none"/>
        </w:tabs>
        <w:spacing w:line="80" w:lineRule="exact" w:before="0"/>
        <w:ind w:left="1657" w:right="0" w:firstLine="0"/>
        <w:jc w:val="left"/>
        <w:rPr>
          <w:sz w:val="11"/>
        </w:rPr>
      </w:pPr>
      <w:r>
        <w:rPr/>
        <w:br w:type="column"/>
      </w:r>
      <w:r>
        <w:rPr>
          <w:w w:val="105"/>
          <w:sz w:val="11"/>
        </w:rPr>
        <w:t>2</w:t>
        <w:tab/>
        <w:t>2</w:t>
      </w:r>
    </w:p>
    <w:p>
      <w:pPr>
        <w:pStyle w:val="BodyText"/>
        <w:spacing w:line="224" w:lineRule="exact"/>
        <w:ind w:left="157"/>
        <w:rPr>
          <w:sz w:val="11"/>
        </w:rPr>
      </w:pPr>
      <w:r>
        <w:rPr/>
        <w:pict>
          <v:shape style="position:absolute;margin-left:337.418304pt;margin-top:8.015034pt;width:2.95pt;height:5.85pt;mso-position-horizontal-relative:page;mso-position-vertical-relative:paragraph;z-index:-258872320"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+ 2HCO </w:t>
      </w:r>
      <w:r>
        <w:rPr>
          <w:position w:val="11"/>
          <w:sz w:val="11"/>
        </w:rPr>
        <w:t>–</w:t>
      </w:r>
    </w:p>
    <w:p>
      <w:pPr>
        <w:spacing w:after="0" w:line="224" w:lineRule="exact"/>
        <w:rPr>
          <w:sz w:val="11"/>
        </w:rPr>
        <w:sectPr>
          <w:type w:val="continuous"/>
          <w:pgSz w:w="12240" w:h="15840"/>
          <w:pgMar w:top="400" w:bottom="280" w:left="580" w:right="600"/>
          <w:cols w:num="2" w:equalWidth="0">
            <w:col w:w="5241" w:space="85"/>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25" w:lineRule="auto" w:before="71"/>
        <w:ind w:left="553"/>
        <w:jc w:val="both"/>
      </w:pPr>
      <w:r>
        <w:rPr/>
        <w:t>Reaction</w:t>
      </w:r>
      <w:r>
        <w:rPr>
          <w:spacing w:val="-10"/>
        </w:rPr>
        <w:t> </w:t>
      </w:r>
      <w:r>
        <w:rPr/>
        <w:t>of</w:t>
      </w:r>
      <w:r>
        <w:rPr>
          <w:spacing w:val="-10"/>
        </w:rPr>
        <w:t> </w:t>
      </w:r>
      <w:r>
        <w:rPr/>
        <w:t>the</w:t>
      </w:r>
      <w:r>
        <w:rPr>
          <w:spacing w:val="-10"/>
        </w:rPr>
        <w:t> </w:t>
      </w:r>
      <w:r>
        <w:rPr/>
        <w:t>dissolved</w:t>
      </w:r>
      <w:r>
        <w:rPr>
          <w:spacing w:val="-10"/>
        </w:rPr>
        <w:t> </w:t>
      </w:r>
      <w:r>
        <w:rPr/>
        <w:t>CO</w:t>
      </w:r>
      <w:r>
        <w:rPr>
          <w:position w:val="-6"/>
          <w:sz w:val="11"/>
        </w:rPr>
        <w:t>2</w:t>
      </w:r>
      <w:r>
        <w:rPr>
          <w:spacing w:val="13"/>
          <w:position w:val="-6"/>
          <w:sz w:val="11"/>
        </w:rPr>
        <w:t> </w:t>
      </w:r>
      <w:r>
        <w:rPr/>
        <w:t>with</w:t>
      </w:r>
      <w:r>
        <w:rPr>
          <w:spacing w:val="-10"/>
        </w:rPr>
        <w:t> </w:t>
      </w:r>
      <w:r>
        <w:rPr/>
        <w:t>minerals</w:t>
      </w:r>
      <w:r>
        <w:rPr>
          <w:spacing w:val="-10"/>
        </w:rPr>
        <w:t> </w:t>
      </w:r>
      <w:r>
        <w:rPr/>
        <w:t>can</w:t>
      </w:r>
      <w:r>
        <w:rPr>
          <w:spacing w:val="-10"/>
        </w:rPr>
        <w:t> </w:t>
      </w:r>
      <w:r>
        <w:rPr/>
        <w:t>be</w:t>
      </w:r>
      <w:r>
        <w:rPr>
          <w:spacing w:val="-10"/>
        </w:rPr>
        <w:t> </w:t>
      </w:r>
      <w:r>
        <w:rPr/>
        <w:t>rapid</w:t>
      </w:r>
      <w:r>
        <w:rPr>
          <w:spacing w:val="-10"/>
        </w:rPr>
        <w:t> </w:t>
      </w:r>
      <w:r>
        <w:rPr/>
        <w:t>(days) in the case of some carbonate minerals, but slow (hundreds to thousands of years) in the case of silicate</w:t>
      </w:r>
      <w:r>
        <w:rPr>
          <w:spacing w:val="-4"/>
        </w:rPr>
        <w:t> </w:t>
      </w:r>
      <w:r>
        <w:rPr/>
        <w:t>minerals.</w:t>
      </w:r>
    </w:p>
    <w:p>
      <w:pPr>
        <w:pStyle w:val="BodyText"/>
        <w:spacing w:line="249" w:lineRule="auto" w:before="13"/>
        <w:ind w:left="553" w:firstLine="283"/>
        <w:jc w:val="both"/>
      </w:pPr>
      <w:r>
        <w:rPr/>
        <w:t>Formation of carbonate minerals occurs from</w:t>
      </w:r>
      <w:r>
        <w:rPr>
          <w:spacing w:val="33"/>
        </w:rPr>
        <w:t> </w:t>
      </w:r>
      <w:r>
        <w:rPr/>
        <w:t>continued reaction of the bicarbonate ions with  calcium,  magnesium and iron from silicate minerals such as clays, micas, chlorites and feldspars present in the rock matrix (Gunter </w:t>
      </w:r>
      <w:r>
        <w:rPr>
          <w:i/>
        </w:rPr>
        <w:t>et al.</w:t>
      </w:r>
      <w:r>
        <w:rPr/>
        <w:t>, </w:t>
      </w:r>
      <w:r>
        <w:rPr>
          <w:spacing w:val="-3"/>
        </w:rPr>
        <w:t>1993, </w:t>
      </w:r>
      <w:r>
        <w:rPr/>
        <w:t>1997).</w:t>
      </w:r>
    </w:p>
    <w:p>
      <w:pPr>
        <w:pStyle w:val="BodyText"/>
        <w:spacing w:line="225" w:lineRule="auto" w:before="15"/>
        <w:ind w:left="553" w:firstLine="283"/>
        <w:jc w:val="both"/>
      </w:pPr>
      <w:r>
        <w:rPr/>
        <w:t>Perkins </w:t>
      </w:r>
      <w:r>
        <w:rPr>
          <w:i/>
        </w:rPr>
        <w:t>et al. </w:t>
      </w:r>
      <w:r>
        <w:rPr/>
        <w:t>(2005) estimate that over 5000  years,  all  the CO</w:t>
      </w:r>
      <w:r>
        <w:rPr>
          <w:position w:val="-6"/>
          <w:sz w:val="11"/>
        </w:rPr>
        <w:t>2 </w:t>
      </w:r>
      <w:r>
        <w:rPr/>
        <w:t>injected into  the  </w:t>
      </w:r>
      <w:r>
        <w:rPr>
          <w:spacing w:val="-3"/>
        </w:rPr>
        <w:t>Weyburn  </w:t>
      </w:r>
      <w:r>
        <w:rPr/>
        <w:t>Oil  Field  will  dissolve or </w:t>
      </w:r>
      <w:r>
        <w:rPr>
          <w:spacing w:val="16"/>
        </w:rPr>
        <w:t> </w:t>
      </w:r>
      <w:r>
        <w:rPr/>
        <w:t>be </w:t>
      </w:r>
      <w:r>
        <w:rPr>
          <w:spacing w:val="17"/>
        </w:rPr>
        <w:t> </w:t>
      </w:r>
      <w:r>
        <w:rPr/>
        <w:t>converted </w:t>
      </w:r>
      <w:r>
        <w:rPr>
          <w:spacing w:val="16"/>
        </w:rPr>
        <w:t> </w:t>
      </w:r>
      <w:r>
        <w:rPr/>
        <w:t>to </w:t>
      </w:r>
      <w:r>
        <w:rPr>
          <w:spacing w:val="16"/>
        </w:rPr>
        <w:t> </w:t>
      </w:r>
      <w:r>
        <w:rPr/>
        <w:t>carbonate </w:t>
      </w:r>
      <w:r>
        <w:rPr>
          <w:spacing w:val="16"/>
        </w:rPr>
        <w:t> </w:t>
      </w:r>
      <w:r>
        <w:rPr/>
        <w:t>minerals </w:t>
      </w:r>
      <w:r>
        <w:rPr>
          <w:spacing w:val="17"/>
        </w:rPr>
        <w:t> </w:t>
      </w:r>
      <w:r>
        <w:rPr/>
        <w:t>within </w:t>
      </w:r>
      <w:r>
        <w:rPr>
          <w:spacing w:val="15"/>
        </w:rPr>
        <w:t> </w:t>
      </w:r>
      <w:r>
        <w:rPr/>
        <w:t>the </w:t>
      </w:r>
      <w:r>
        <w:rPr>
          <w:spacing w:val="17"/>
        </w:rPr>
        <w:t> </w:t>
      </w:r>
      <w:r>
        <w:rPr/>
        <w:t>storage</w:t>
      </w:r>
    </w:p>
    <w:p>
      <w:pPr>
        <w:pStyle w:val="BodyText"/>
        <w:spacing w:line="249" w:lineRule="auto" w:before="10"/>
        <w:ind w:left="553"/>
        <w:jc w:val="both"/>
      </w:pPr>
      <w:r>
        <w:rPr/>
        <w:t>formation.</w:t>
      </w:r>
      <w:r>
        <w:rPr>
          <w:spacing w:val="-5"/>
        </w:rPr>
        <w:t> </w:t>
      </w:r>
      <w:r>
        <w:rPr/>
        <w:t>Equally</w:t>
      </w:r>
      <w:r>
        <w:rPr>
          <w:spacing w:val="-5"/>
        </w:rPr>
        <w:t> </w:t>
      </w:r>
      <w:r>
        <w:rPr/>
        <w:t>importantly,</w:t>
      </w:r>
      <w:r>
        <w:rPr>
          <w:spacing w:val="-5"/>
        </w:rPr>
        <w:t> </w:t>
      </w:r>
      <w:r>
        <w:rPr/>
        <w:t>they</w:t>
      </w:r>
      <w:r>
        <w:rPr>
          <w:spacing w:val="-5"/>
        </w:rPr>
        <w:t> </w:t>
      </w:r>
      <w:r>
        <w:rPr/>
        <w:t>show</w:t>
      </w:r>
      <w:r>
        <w:rPr>
          <w:spacing w:val="-5"/>
        </w:rPr>
        <w:t> </w:t>
      </w:r>
      <w:r>
        <w:rPr/>
        <w:t>that</w:t>
      </w:r>
      <w:r>
        <w:rPr>
          <w:spacing w:val="-5"/>
        </w:rPr>
        <w:t> </w:t>
      </w:r>
      <w:r>
        <w:rPr/>
        <w:t>the</w:t>
      </w:r>
      <w:r>
        <w:rPr>
          <w:spacing w:val="-5"/>
        </w:rPr>
        <w:t> </w:t>
      </w:r>
      <w:r>
        <w:rPr/>
        <w:t>caprock</w:t>
      </w:r>
      <w:r>
        <w:rPr>
          <w:spacing w:val="-4"/>
        </w:rPr>
        <w:t> and </w:t>
      </w:r>
      <w:r>
        <w:rPr/>
        <w:t>overlying</w:t>
      </w:r>
      <w:r>
        <w:rPr>
          <w:spacing w:val="32"/>
        </w:rPr>
        <w:t> </w:t>
      </w:r>
      <w:r>
        <w:rPr/>
        <w:t>rock</w:t>
      </w:r>
      <w:r>
        <w:rPr>
          <w:spacing w:val="32"/>
        </w:rPr>
        <w:t> </w:t>
      </w:r>
      <w:r>
        <w:rPr/>
        <w:t>formations</w:t>
      </w:r>
      <w:r>
        <w:rPr>
          <w:spacing w:val="32"/>
        </w:rPr>
        <w:t> </w:t>
      </w:r>
      <w:r>
        <w:rPr/>
        <w:t>have</w:t>
      </w:r>
      <w:r>
        <w:rPr>
          <w:spacing w:val="33"/>
        </w:rPr>
        <w:t> </w:t>
      </w:r>
      <w:r>
        <w:rPr/>
        <w:t>an</w:t>
      </w:r>
      <w:r>
        <w:rPr>
          <w:spacing w:val="32"/>
        </w:rPr>
        <w:t> </w:t>
      </w:r>
      <w:r>
        <w:rPr/>
        <w:t>even</w:t>
      </w:r>
      <w:r>
        <w:rPr>
          <w:spacing w:val="32"/>
        </w:rPr>
        <w:t> </w:t>
      </w:r>
      <w:r>
        <w:rPr/>
        <w:t>greater</w:t>
      </w:r>
      <w:r>
        <w:rPr>
          <w:spacing w:val="31"/>
        </w:rPr>
        <w:t> </w:t>
      </w:r>
      <w:r>
        <w:rPr/>
        <w:t>capacity</w:t>
      </w:r>
      <w:r>
        <w:rPr>
          <w:spacing w:val="32"/>
        </w:rPr>
        <w:t> </w:t>
      </w:r>
      <w:r>
        <w:rPr>
          <w:spacing w:val="-6"/>
        </w:rPr>
        <w:t>for</w:t>
      </w:r>
    </w:p>
    <w:p>
      <w:pPr>
        <w:pStyle w:val="BodyText"/>
        <w:spacing w:line="240" w:lineRule="exact" w:before="58"/>
        <w:ind w:left="242" w:right="133"/>
        <w:jc w:val="both"/>
      </w:pPr>
      <w:r>
        <w:rPr/>
        <w:br w:type="column"/>
      </w:r>
      <w:r>
        <w:rPr/>
        <w:t>mineralization. This is significant for leakage risk assessment (Section 5.7) because once CO</w:t>
      </w:r>
      <w:r>
        <w:rPr>
          <w:position w:val="-6"/>
          <w:sz w:val="11"/>
        </w:rPr>
        <w:t>2 </w:t>
      </w:r>
      <w:r>
        <w:rPr/>
        <w:t>is dissolved, it is unavailable for leakage as a discrete phase. Modelling by Holtz (2002) suggests more than 60% of CO</w:t>
      </w:r>
      <w:r>
        <w:rPr>
          <w:position w:val="-6"/>
          <w:sz w:val="11"/>
        </w:rPr>
        <w:t>2 </w:t>
      </w:r>
      <w:r>
        <w:rPr/>
        <w:t>is trapped by residual CO</w:t>
      </w:r>
      <w:r>
        <w:rPr>
          <w:position w:val="-6"/>
          <w:sz w:val="11"/>
        </w:rPr>
        <w:t>2 </w:t>
      </w:r>
      <w:r>
        <w:rPr/>
        <w:t>trapping by the end of the injection phase (100% after 1000 years), although laboratory experiments (Section 5.2.1)</w:t>
      </w:r>
      <w:r>
        <w:rPr>
          <w:spacing w:val="-37"/>
        </w:rPr>
        <w:t> </w:t>
      </w:r>
      <w:r>
        <w:rPr/>
        <w:t>suggest somewhat lower percentages. When CO</w:t>
      </w:r>
      <w:r>
        <w:rPr>
          <w:position w:val="-6"/>
          <w:sz w:val="11"/>
        </w:rPr>
        <w:t>2 </w:t>
      </w:r>
      <w:r>
        <w:rPr/>
        <w:t>is trapped at residual saturation,</w:t>
      </w:r>
      <w:r>
        <w:rPr>
          <w:spacing w:val="-5"/>
        </w:rPr>
        <w:t> </w:t>
      </w:r>
      <w:r>
        <w:rPr/>
        <w:t>it</w:t>
      </w:r>
      <w:r>
        <w:rPr>
          <w:spacing w:val="-5"/>
        </w:rPr>
        <w:t> </w:t>
      </w:r>
      <w:r>
        <w:rPr/>
        <w:t>is</w:t>
      </w:r>
      <w:r>
        <w:rPr>
          <w:spacing w:val="-5"/>
        </w:rPr>
        <w:t> </w:t>
      </w:r>
      <w:r>
        <w:rPr/>
        <w:t>effectively</w:t>
      </w:r>
      <w:r>
        <w:rPr>
          <w:spacing w:val="-5"/>
        </w:rPr>
        <w:t> </w:t>
      </w:r>
      <w:r>
        <w:rPr/>
        <w:t>immobile.</w:t>
      </w:r>
      <w:r>
        <w:rPr>
          <w:spacing w:val="-5"/>
        </w:rPr>
        <w:t> </w:t>
      </w:r>
      <w:r>
        <w:rPr/>
        <w:t>However,</w:t>
      </w:r>
      <w:r>
        <w:rPr>
          <w:spacing w:val="-5"/>
        </w:rPr>
        <w:t> </w:t>
      </w:r>
      <w:r>
        <w:rPr/>
        <w:t>should</w:t>
      </w:r>
      <w:r>
        <w:rPr>
          <w:spacing w:val="-5"/>
        </w:rPr>
        <w:t> </w:t>
      </w:r>
      <w:r>
        <w:rPr/>
        <w:t>there</w:t>
      </w:r>
      <w:r>
        <w:rPr>
          <w:spacing w:val="-5"/>
        </w:rPr>
        <w:t> </w:t>
      </w:r>
      <w:r>
        <w:rPr/>
        <w:t>be leakage through the caprock, then saturated brine may degas as it is depressurized, although, as illustrated in </w:t>
      </w:r>
      <w:hyperlink w:history="true" w:anchor="_bookmark12">
        <w:r>
          <w:rPr/>
          <w:t>Figure 5.7</w:t>
        </w:r>
      </w:hyperlink>
      <w:r>
        <w:rPr/>
        <w:t>   the tendency of saturated brine is to sink rather than to rise. Reaction of the CO</w:t>
      </w:r>
      <w:r>
        <w:rPr>
          <w:position w:val="-6"/>
          <w:sz w:val="11"/>
        </w:rPr>
        <w:t>2 </w:t>
      </w:r>
      <w:r>
        <w:rPr/>
        <w:t>with formation water and rocks may result in reaction products that affect the porosity of the rock and</w:t>
      </w:r>
      <w:r>
        <w:rPr>
          <w:spacing w:val="40"/>
        </w:rPr>
        <w:t> </w:t>
      </w:r>
      <w:r>
        <w:rPr/>
        <w:t>the</w:t>
      </w:r>
    </w:p>
    <w:p>
      <w:pPr>
        <w:spacing w:after="0" w:line="240" w:lineRule="exact"/>
        <w:jc w:val="both"/>
        <w:sectPr>
          <w:type w:val="continuous"/>
          <w:pgSz w:w="12240" w:h="15840"/>
          <w:pgMar w:top="400" w:bottom="280" w:left="580" w:right="600"/>
          <w:cols w:num="2" w:equalWidth="0">
            <w:col w:w="5598" w:space="40"/>
            <w:col w:w="5422"/>
          </w:cols>
        </w:sectPr>
      </w:pPr>
    </w:p>
    <w:p>
      <w:pPr>
        <w:pStyle w:val="BodyText"/>
        <w:rPr>
          <w:sz w:val="21"/>
        </w:rPr>
      </w:pPr>
    </w:p>
    <w:p>
      <w:pPr>
        <w:pStyle w:val="BodyText"/>
        <w:spacing w:before="64"/>
        <w:ind w:left="553"/>
      </w:pPr>
      <w:r>
        <w:rPr>
          <w:b/>
        </w:rPr>
        <w:t>Box 5.4 </w:t>
      </w:r>
      <w:r>
        <w:rPr/>
        <w:t>Storage security mechanisms and changes over time.</w:t>
      </w:r>
    </w:p>
    <w:p>
      <w:pPr>
        <w:pStyle w:val="BodyText"/>
      </w:pPr>
    </w:p>
    <w:p>
      <w:pPr>
        <w:pStyle w:val="BodyText"/>
        <w:spacing w:line="240" w:lineRule="exact" w:before="154"/>
        <w:ind w:left="723" w:right="303"/>
        <w:jc w:val="both"/>
      </w:pPr>
      <w:r>
        <w:rPr/>
        <w:pict>
          <v:group style="position:absolute;margin-left:56.443001pt;margin-top:-.375701pt;width:519pt;height:479.1pt;mso-position-horizontal-relative:page;mso-position-vertical-relative:paragraph;z-index:-258871296" coordorigin="1129,-8" coordsize="10380,9582">
            <v:rect style="position:absolute;left:1133;top:-3;width:10370;height:9572" filled="false" stroked="true" strokeweight=".5pt" strokecolor="#000000">
              <v:stroke dashstyle="solid"/>
            </v:rect>
            <v:rect style="position:absolute;left:7348;top:3667;width:3821;height:3841" filled="true" fillcolor="#ef9a5d" stroked="false">
              <v:fill type="solid"/>
            </v:rect>
            <v:rect style="position:absolute;left:7348;top:3667;width:3821;height:3841" filled="false" stroked="true" strokeweight="1.136pt" strokecolor="#000000">
              <v:stroke dashstyle="solid"/>
            </v:rect>
            <v:shape style="position:absolute;left:7334;top:3619;width:3828;height:3889" coordorigin="7334,3620" coordsize="3828,3889" path="m8344,3620l7337,3676,7334,7508,11161,7499,11160,7180,11072,6399,10766,5422,10114,4514,9472,3960,8968,3689,8344,3620xe" filled="true" fillcolor="#f1a169" stroked="false">
              <v:path arrowok="t"/>
              <v:fill type="solid"/>
            </v:shape>
            <v:shape style="position:absolute;left:7334;top:3619;width:3828;height:3889" coordorigin="7334,3620" coordsize="3828,3889" path="m7334,7508l7337,3676,8344,3620,8968,3689,9472,3960,10114,4514,10766,5422,11072,6399,11160,7180,11161,7499,7334,7508xe" filled="false" stroked="true" strokeweight=".426pt" strokecolor="#000000">
              <v:path arrowok="t"/>
              <v:stroke dashstyle="solid"/>
            </v:shape>
            <v:shape style="position:absolute;left:7341;top:4091;width:3369;height:3418" coordorigin="7341,4091" coordsize="3369,3418" path="m8228,4091l7341,4140,7352,7506,10710,7508,10709,7227,10631,6539,10362,5678,9787,4878,9221,4391,8778,4152,8228,4091xe" filled="true" fillcolor="#f3ab77" stroked="false">
              <v:path arrowok="t"/>
              <v:fill type="solid"/>
            </v:shape>
            <v:shape style="position:absolute;left:7341;top:4091;width:3369;height:3418" coordorigin="7341,4091" coordsize="3369,3418" path="m7352,7506l7341,4140,8228,4091,8778,4152,9221,4391,9787,4878,10362,5678,10631,6539,10709,7227,10710,7508,7352,7506xe" filled="false" stroked="true" strokeweight=".426pt" strokecolor="#000000">
              <v:path arrowok="t"/>
              <v:stroke dashstyle="solid"/>
            </v:shape>
            <v:shape style="position:absolute;left:7347;top:4597;width:2869;height:2911" coordorigin="7347,4598" coordsize="2869,2911" path="m8103,4598l7348,4640,7347,7505,10216,7508,10216,7269,10149,6683,9920,5950,9430,5269,8949,4853,8571,4649,8103,4598xe" filled="true" fillcolor="#f4b281" stroked="false">
              <v:path arrowok="t"/>
              <v:fill type="solid"/>
            </v:shape>
            <v:shape style="position:absolute;left:7347;top:4597;width:2869;height:2911" coordorigin="7347,4598" coordsize="2869,2911" path="m7347,7505l7348,4640,8103,4598,8571,4649,8949,4853,9430,5269,9920,5950,10149,6683,10216,7269,10216,7508,7347,7505xe" filled="false" stroked="true" strokeweight=".426pt" strokecolor="#000000">
              <v:path arrowok="t"/>
              <v:stroke dashstyle="solid"/>
            </v:shape>
            <v:shape style="position:absolute;left:7342;top:5052;width:2417;height:2456" coordorigin="7342,5053" coordsize="2417,2456" path="m7985,5053l7350,5088,7342,7508,9758,7508,9759,7306,9705,6810,9513,6191,9102,5617,8697,5268,8379,5096,7985,5053xe" filled="true" fillcolor="#f6bc8f" stroked="false">
              <v:path arrowok="t"/>
              <v:fill type="solid"/>
            </v:shape>
            <v:shape style="position:absolute;left:7342;top:5052;width:2417;height:2456" coordorigin="7342,5053" coordsize="2417,2456" path="m7342,7508l7350,5088,7985,5053,8379,5096,8697,5268,9102,5617,9513,6191,9705,6810,9759,7306,9758,7508,7342,7508xe" filled="false" stroked="true" strokeweight=".426pt" strokecolor="#000000">
              <v:path arrowok="t"/>
              <v:stroke dashstyle="solid"/>
            </v:shape>
            <v:shape style="position:absolute;left:7342;top:5553;width:1925;height:1956" coordorigin="7342,5553" coordsize="1925,1956" path="m7830,5553l7351,5600,7342,7497,9260,7508,9267,7355,9236,6976,9086,6490,8737,6018,8393,5723,8134,5582,7830,5553xe" filled="true" fillcolor="#f6c29a" stroked="false">
              <v:path arrowok="t"/>
              <v:fill type="solid"/>
            </v:shape>
            <v:shape style="position:absolute;left:7342;top:5553;width:1925;height:1956" coordorigin="7342,5553" coordsize="1925,1956" path="m7342,7497l7351,5600,7830,5553,8134,5582,8393,5723,8737,6018,9086,6490,9236,6976,9267,7355,9260,7508,7342,7497xe" filled="false" stroked="true" strokeweight=".426pt" strokecolor="#000000">
              <v:path arrowok="t"/>
              <v:stroke dashstyle="solid"/>
            </v:shape>
            <v:shape style="position:absolute;left:7344;top:6019;width:1439;height:1490" coordorigin="7345,6019" coordsize="1439,1490" path="m7701,6019l7345,6063,7345,7506,8779,7508,8784,7394,8758,7110,8644,6744,8384,6383,8123,6149,7928,6038,7701,6019xe" filled="true" fillcolor="#f8caa7" stroked="false">
              <v:path arrowok="t"/>
              <v:fill type="solid"/>
            </v:shape>
            <v:shape style="position:absolute;left:7344;top:6019;width:1439;height:1490" coordorigin="7345,6019" coordsize="1439,1490" path="m7345,7506l7345,6063,7701,6019,7928,6038,8123,6149,8384,6383,8644,6744,8758,7110,8784,7394,8779,7508,7345,7506xe" filled="false" stroked="true" strokeweight=".426pt" strokecolor="#000000">
              <v:path arrowok="t"/>
              <v:stroke dashstyle="solid"/>
            </v:shape>
            <v:shape style="position:absolute;left:7342;top:6516;width:958;height:992" coordorigin="7343,6517" coordsize="958,992" path="m7574,6517l7343,6565,7345,7505,8299,7508,8300,7436,8280,7254,8204,7016,8036,6774,7856,6602,7724,6522,7574,6517xe" filled="true" fillcolor="#f9d2b3" stroked="false">
              <v:path arrowok="t"/>
              <v:fill type="solid"/>
            </v:shape>
            <v:shape style="position:absolute;left:7342;top:6516;width:958;height:992" coordorigin="7343,6517" coordsize="958,992" path="m7345,7505l7343,6565,7574,6517,7724,6522,7856,6602,8036,6774,8204,7016,8280,7254,8300,7436,8299,7508,7345,7505xe" filled="false" stroked="true" strokeweight=".426pt" strokecolor="#000000">
              <v:path arrowok="t"/>
              <v:stroke dashstyle="solid"/>
            </v:shape>
            <v:line style="position:absolute" from="7306,7512" to="11251,7512" stroked="true" strokeweight="0pt" strokecolor="#ffffff">
              <v:stroke dashstyle="solid"/>
            </v:line>
            <v:shape style="position:absolute;left:11194;top:7438;width:176;height:149" coordorigin="11195,7438" coordsize="176,149" path="m11195,7438l11226,7512,11195,7586,11370,7512,11195,7438xe" filled="true" fillcolor="#ffffff" stroked="false">
              <v:path arrowok="t"/>
              <v:fill type="solid"/>
            </v:shape>
            <v:line style="position:absolute" from="7306,7512" to="11251,7512" stroked="true" strokeweight=".852pt" strokecolor="#000000">
              <v:stroke dashstyle="solid"/>
            </v:line>
            <v:shape style="position:absolute;left:11203;top:7449;width:150;height:127" coordorigin="11203,7449" coordsize="150,127" path="m11203,7449l11230,7512,11203,7576,11353,7512,11203,7449xe" filled="true" fillcolor="#000000" stroked="false">
              <v:path arrowok="t"/>
              <v:fill type="solid"/>
            </v:shape>
            <v:line style="position:absolute" from="7344,3492" to="7344,7518" stroked="true" strokeweight="0pt" strokecolor="#ffffff">
              <v:stroke dashstyle="solid"/>
            </v:line>
            <v:shape style="position:absolute;left:7270;top:3372;width:149;height:176" type="#_x0000_t75" stroked="false">
              <v:imagedata r:id="rId45" o:title=""/>
            </v:shape>
            <v:line style="position:absolute" from="7344,7518" to="7344,3492" stroked="true" strokeweight=".852pt" strokecolor="#000000">
              <v:stroke dashstyle="solid"/>
            </v:line>
            <v:shape style="position:absolute;left:7529;top:8019;width:2343;height:182" type="#_x0000_t75" stroked="false">
              <v:imagedata r:id="rId46" o:title=""/>
            </v:shape>
            <v:line style="position:absolute" from="9914,8022" to="9914,8160" stroked="true" strokeweight="1.327pt" strokecolor="#000000">
              <v:stroke dashstyle="solid"/>
            </v:line>
            <v:shape style="position:absolute;left:10013;top:8022;width:599;height:177" type="#_x0000_t75" stroked="false">
              <v:imagedata r:id="rId47" o:title=""/>
            </v:shape>
            <v:shape style="position:absolute;left:10647;top:8057;width:218;height:144" type="#_x0000_t75" stroked="false">
              <v:imagedata r:id="rId48" o:title=""/>
            </v:shape>
            <v:shape style="position:absolute;left:6553;top:6328;width:138;height:106" type="#_x0000_t75" stroked="false">
              <v:imagedata r:id="rId49" o:title=""/>
            </v:shape>
            <v:shape style="position:absolute;left:6553;top:5973;width:179;height:325" type="#_x0000_t75" stroked="false">
              <v:imagedata r:id="rId50" o:title=""/>
            </v:shape>
            <v:shape style="position:absolute;left:6553;top:5625;width:141;height:318" type="#_x0000_t75" stroked="false">
              <v:imagedata r:id="rId51" o:title=""/>
            </v:shape>
            <v:shape style="position:absolute;left:6553;top:4940;width:177;height:599" type="#_x0000_t75" stroked="false">
              <v:imagedata r:id="rId52" o:title=""/>
            </v:shape>
            <v:shape style="position:absolute;left:6589;top:4688;width:144;height:218" type="#_x0000_t75" stroked="false">
              <v:imagedata r:id="rId53" o:title=""/>
            </v:shape>
            <v:shape style="position:absolute;left:10486;top:7655;width:487;height:121" type="#_x0000_t75" stroked="false">
              <v:imagedata r:id="rId54" o:title=""/>
            </v:shape>
            <v:shape style="position:absolute;left:8416;top:7569;width:604;height:323" type="#_x0000_t75" stroked="false">
              <v:imagedata r:id="rId55" o:title=""/>
            </v:shape>
            <v:shape style="position:absolute;left:10805;top:6994;width:208;height:166" coordorigin="10805,6995" coordsize="208,166" path="m10805,6995l10852,7073,10828,7160,11013,7051,10805,6995xe" filled="true" fillcolor="#000000" stroked="false">
              <v:path arrowok="t"/>
              <v:fill type="solid"/>
            </v:shape>
            <v:shape style="position:absolute;left:6316;top:6528;width:894;height:1433" type="#_x0000_t75" stroked="false">
              <v:imagedata r:id="rId56" o:title=""/>
            </v:shape>
            <v:shape style="position:absolute;left:6316;top:3167;width:2542;height:1268" type="#_x0000_t75" stroked="false">
              <v:imagedata r:id="rId57" o:title=""/>
            </v:shape>
            <v:shape style="position:absolute;left:10657;top:7192;width:479;height:299" type="#_x0000_t75" stroked="false">
              <v:imagedata r:id="rId58" o:title=""/>
            </v:shape>
            <v:shape style="position:absolute;left:7342;top:5099;width:3187;height:2778" type="#_x0000_t75" stroked="false">
              <v:imagedata r:id="rId59" o:title=""/>
            </v:shape>
            <v:shape style="position:absolute;left:9812;top:4785;width:718;height:628" type="#_x0000_t75" stroked="false">
              <v:imagedata r:id="rId60" o:title=""/>
            </v:shape>
            <v:line style="position:absolute" from="7401,7446" to="10856,7079" stroked="true" strokeweight="1.42pt" strokecolor="#000000">
              <v:stroke dashstyle="dash"/>
            </v:line>
            <v:shape style="position:absolute;left:10977;top:6858;width:122;height:122" type="#_x0000_t75" stroked="false">
              <v:imagedata r:id="rId61" o:title=""/>
            </v:shape>
            <v:shape style="position:absolute;left:8407;top:3825;width:102;height:122" type="#_x0000_t75" stroked="false">
              <v:imagedata r:id="rId62" o:title=""/>
            </v:shape>
            <v:shape style="position:absolute;left:8154;top:3744;width:617;height:3281" coordorigin="8154,3744" coordsize="617,3281" path="m8362,3800l8154,3744,8201,3822,8177,3910,8362,3800m8771,6865l8556,6874,8624,6934,8627,7025,8771,6865e" filled="true" fillcolor="#000000" stroked="false">
              <v:path arrowok="t"/>
              <v:fill type="solid"/>
            </v:shape>
            <v:shape style="position:absolute;left:8811;top:6843;width:102;height:122" type="#_x0000_t75" stroked="false">
              <v:imagedata r:id="rId63" o:title=""/>
            </v:shape>
            <w10:wrap type="none"/>
          </v:group>
        </w:pict>
      </w:r>
      <w:r>
        <w:rPr/>
        <w:pict>
          <v:shape style="position:absolute;margin-left:544.2547pt;margin-top:64.257500pt;width:2.95pt;height:5.85pt;mso-position-horizontal-relative:page;mso-position-vertical-relative:paragraph;z-index:-258870272"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pict>
          <v:shape style="position:absolute;margin-left:79.088402pt;margin-top:76.257500pt;width:2.95pt;height:5.85pt;mso-position-horizontal-relative:page;mso-position-vertical-relative:paragraph;z-index:-258869248"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When the CO</w:t>
      </w:r>
      <w:r>
        <w:rPr>
          <w:position w:val="-6"/>
          <w:sz w:val="11"/>
        </w:rPr>
        <w:t>2   </w:t>
      </w:r>
      <w:r>
        <w:rPr/>
        <w:t>is injected, it forms a bubble around the injection well, displacing the mobile water and oil both laterally    and vertically within the injection horizon. The interactions between the water and CO</w:t>
      </w:r>
      <w:r>
        <w:rPr>
          <w:position w:val="-6"/>
          <w:sz w:val="11"/>
        </w:rPr>
        <w:t>2 </w:t>
      </w:r>
      <w:r>
        <w:rPr/>
        <w:t>phase allow geochemical trapping mechanisms</w:t>
      </w:r>
      <w:r>
        <w:rPr>
          <w:spacing w:val="-7"/>
        </w:rPr>
        <w:t> </w:t>
      </w:r>
      <w:r>
        <w:rPr/>
        <w:t>to</w:t>
      </w:r>
      <w:r>
        <w:rPr>
          <w:spacing w:val="-6"/>
        </w:rPr>
        <w:t> </w:t>
      </w:r>
      <w:r>
        <w:rPr/>
        <w:t>take</w:t>
      </w:r>
      <w:r>
        <w:rPr>
          <w:spacing w:val="-6"/>
        </w:rPr>
        <w:t> </w:t>
      </w:r>
      <w:r>
        <w:rPr/>
        <w:t>effect.</w:t>
      </w:r>
      <w:r>
        <w:rPr>
          <w:spacing w:val="-6"/>
        </w:rPr>
        <w:t> </w:t>
      </w:r>
      <w:r>
        <w:rPr/>
        <w:t>Over</w:t>
      </w:r>
      <w:r>
        <w:rPr>
          <w:spacing w:val="-6"/>
        </w:rPr>
        <w:t> </w:t>
      </w:r>
      <w:r>
        <w:rPr/>
        <w:t>time,</w:t>
      </w:r>
      <w:r>
        <w:rPr>
          <w:spacing w:val="-6"/>
        </w:rPr>
        <w:t> </w:t>
      </w:r>
      <w:r>
        <w:rPr/>
        <w:t>CO</w:t>
      </w:r>
      <w:r>
        <w:rPr>
          <w:position w:val="-6"/>
          <w:sz w:val="11"/>
        </w:rPr>
        <w:t>2</w:t>
      </w:r>
      <w:r>
        <w:rPr>
          <w:spacing w:val="17"/>
          <w:position w:val="-6"/>
          <w:sz w:val="11"/>
        </w:rPr>
        <w:t> </w:t>
      </w:r>
      <w:r>
        <w:rPr/>
        <w:t>that</w:t>
      </w:r>
      <w:r>
        <w:rPr>
          <w:spacing w:val="-6"/>
        </w:rPr>
        <w:t> </w:t>
      </w:r>
      <w:r>
        <w:rPr/>
        <w:t>is</w:t>
      </w:r>
      <w:r>
        <w:rPr>
          <w:spacing w:val="-6"/>
        </w:rPr>
        <w:t> </w:t>
      </w:r>
      <w:r>
        <w:rPr/>
        <w:t>not</w:t>
      </w:r>
      <w:r>
        <w:rPr>
          <w:spacing w:val="-6"/>
        </w:rPr>
        <w:t> </w:t>
      </w:r>
      <w:r>
        <w:rPr/>
        <w:t>immobilized</w:t>
      </w:r>
      <w:r>
        <w:rPr>
          <w:spacing w:val="-6"/>
        </w:rPr>
        <w:t> </w:t>
      </w:r>
      <w:r>
        <w:rPr/>
        <w:t>by</w:t>
      </w:r>
      <w:r>
        <w:rPr>
          <w:spacing w:val="-6"/>
        </w:rPr>
        <w:t> </w:t>
      </w:r>
      <w:r>
        <w:rPr/>
        <w:t>residual</w:t>
      </w:r>
      <w:r>
        <w:rPr>
          <w:spacing w:val="-6"/>
        </w:rPr>
        <w:t> </w:t>
      </w:r>
      <w:r>
        <w:rPr/>
        <w:t>CO</w:t>
      </w:r>
      <w:r>
        <w:rPr>
          <w:position w:val="-6"/>
          <w:sz w:val="11"/>
        </w:rPr>
        <w:t>2</w:t>
      </w:r>
      <w:r>
        <w:rPr>
          <w:spacing w:val="16"/>
          <w:position w:val="-6"/>
          <w:sz w:val="11"/>
        </w:rPr>
        <w:t> </w:t>
      </w:r>
      <w:r>
        <w:rPr/>
        <w:t>trapping</w:t>
      </w:r>
      <w:r>
        <w:rPr>
          <w:spacing w:val="-6"/>
        </w:rPr>
        <w:t> </w:t>
      </w:r>
      <w:r>
        <w:rPr/>
        <w:t>can</w:t>
      </w:r>
      <w:r>
        <w:rPr>
          <w:spacing w:val="-6"/>
        </w:rPr>
        <w:t> </w:t>
      </w:r>
      <w:r>
        <w:rPr/>
        <w:t>react</w:t>
      </w:r>
      <w:r>
        <w:rPr>
          <w:spacing w:val="-6"/>
        </w:rPr>
        <w:t> </w:t>
      </w:r>
      <w:r>
        <w:rPr/>
        <w:t>with</w:t>
      </w:r>
      <w:r>
        <w:rPr>
          <w:spacing w:val="-6"/>
        </w:rPr>
        <w:t> </w:t>
      </w:r>
      <w:r>
        <w:rPr>
          <w:i/>
        </w:rPr>
        <w:t>in</w:t>
      </w:r>
      <w:r>
        <w:rPr>
          <w:i/>
          <w:spacing w:val="-6"/>
        </w:rPr>
        <w:t> </w:t>
      </w:r>
      <w:r>
        <w:rPr>
          <w:i/>
        </w:rPr>
        <w:t>situ</w:t>
      </w:r>
      <w:r>
        <w:rPr>
          <w:i/>
          <w:spacing w:val="-6"/>
        </w:rPr>
        <w:t> </w:t>
      </w:r>
      <w:r>
        <w:rPr/>
        <w:t>fluid</w:t>
      </w:r>
      <w:r>
        <w:rPr>
          <w:spacing w:val="-6"/>
        </w:rPr>
        <w:t> </w:t>
      </w:r>
      <w:r>
        <w:rPr/>
        <w:t>to</w:t>
      </w:r>
      <w:r>
        <w:rPr>
          <w:spacing w:val="-6"/>
        </w:rPr>
        <w:t> </w:t>
      </w:r>
      <w:r>
        <w:rPr/>
        <w:t>form carbonic</w:t>
      </w:r>
      <w:r>
        <w:rPr>
          <w:spacing w:val="-11"/>
        </w:rPr>
        <w:t> </w:t>
      </w:r>
      <w:r>
        <w:rPr/>
        <w:t>acid</w:t>
      </w:r>
      <w:r>
        <w:rPr>
          <w:spacing w:val="-10"/>
        </w:rPr>
        <w:t> </w:t>
      </w:r>
      <w:r>
        <w:rPr/>
        <w:t>(i.e.,</w:t>
      </w:r>
      <w:r>
        <w:rPr>
          <w:spacing w:val="-11"/>
        </w:rPr>
        <w:t> </w:t>
      </w:r>
      <w:r>
        <w:rPr/>
        <w:t>H</w:t>
      </w:r>
      <w:r>
        <w:rPr>
          <w:position w:val="-6"/>
          <w:sz w:val="11"/>
        </w:rPr>
        <w:t>2</w:t>
      </w:r>
      <w:r>
        <w:rPr/>
        <w:t>CO</w:t>
      </w:r>
      <w:r>
        <w:rPr>
          <w:position w:val="-6"/>
          <w:sz w:val="11"/>
        </w:rPr>
        <w:t>3</w:t>
      </w:r>
      <w:r>
        <w:rPr>
          <w:spacing w:val="13"/>
          <w:position w:val="-6"/>
          <w:sz w:val="11"/>
        </w:rPr>
        <w:t> </w:t>
      </w:r>
      <w:r>
        <w:rPr/>
        <w:t>called</w:t>
      </w:r>
      <w:r>
        <w:rPr>
          <w:spacing w:val="-11"/>
        </w:rPr>
        <w:t> </w:t>
      </w:r>
      <w:r>
        <w:rPr/>
        <w:t>solubility</w:t>
      </w:r>
      <w:r>
        <w:rPr>
          <w:spacing w:val="-10"/>
        </w:rPr>
        <w:t> </w:t>
      </w:r>
      <w:r>
        <w:rPr/>
        <w:t>trapping</w:t>
      </w:r>
      <w:r>
        <w:rPr>
          <w:spacing w:val="-10"/>
        </w:rPr>
        <w:t> </w:t>
      </w:r>
      <w:r>
        <w:rPr/>
        <w:t>–</w:t>
      </w:r>
      <w:r>
        <w:rPr>
          <w:spacing w:val="-11"/>
        </w:rPr>
        <w:t> </w:t>
      </w:r>
      <w:r>
        <w:rPr/>
        <w:t>dominates</w:t>
      </w:r>
      <w:r>
        <w:rPr>
          <w:spacing w:val="-10"/>
        </w:rPr>
        <w:t> </w:t>
      </w:r>
      <w:r>
        <w:rPr/>
        <w:t>from</w:t>
      </w:r>
      <w:r>
        <w:rPr>
          <w:spacing w:val="-11"/>
        </w:rPr>
        <w:t> </w:t>
      </w:r>
      <w:r>
        <w:rPr/>
        <w:t>tens</w:t>
      </w:r>
      <w:r>
        <w:rPr>
          <w:spacing w:val="-10"/>
        </w:rPr>
        <w:t> </w:t>
      </w:r>
      <w:r>
        <w:rPr/>
        <w:t>to</w:t>
      </w:r>
      <w:r>
        <w:rPr>
          <w:spacing w:val="-11"/>
        </w:rPr>
        <w:t> </w:t>
      </w:r>
      <w:r>
        <w:rPr/>
        <w:t>hundreds</w:t>
      </w:r>
      <w:r>
        <w:rPr>
          <w:spacing w:val="-10"/>
        </w:rPr>
        <w:t> </w:t>
      </w:r>
      <w:r>
        <w:rPr/>
        <w:t>of</w:t>
      </w:r>
      <w:r>
        <w:rPr>
          <w:spacing w:val="-10"/>
        </w:rPr>
        <w:t> </w:t>
      </w:r>
      <w:r>
        <w:rPr/>
        <w:t>years).</w:t>
      </w:r>
      <w:r>
        <w:rPr>
          <w:spacing w:val="-11"/>
        </w:rPr>
        <w:t> </w:t>
      </w:r>
      <w:r>
        <w:rPr/>
        <w:t>Dissolved</w:t>
      </w:r>
      <w:r>
        <w:rPr>
          <w:spacing w:val="-10"/>
        </w:rPr>
        <w:t> </w:t>
      </w:r>
      <w:r>
        <w:rPr/>
        <w:t>CO</w:t>
      </w:r>
      <w:r>
        <w:rPr>
          <w:position w:val="-6"/>
          <w:sz w:val="11"/>
        </w:rPr>
        <w:t>2</w:t>
      </w:r>
      <w:r>
        <w:rPr>
          <w:spacing w:val="12"/>
          <w:position w:val="-6"/>
          <w:sz w:val="11"/>
        </w:rPr>
        <w:t> </w:t>
      </w:r>
      <w:r>
        <w:rPr/>
        <w:t>can</w:t>
      </w:r>
      <w:r>
        <w:rPr>
          <w:spacing w:val="-10"/>
        </w:rPr>
        <w:t> </w:t>
      </w:r>
      <w:r>
        <w:rPr/>
        <w:t>eventually react</w:t>
      </w:r>
      <w:r>
        <w:rPr>
          <w:spacing w:val="-9"/>
        </w:rPr>
        <w:t> </w:t>
      </w:r>
      <w:r>
        <w:rPr/>
        <w:t>with</w:t>
      </w:r>
      <w:r>
        <w:rPr>
          <w:spacing w:val="-8"/>
        </w:rPr>
        <w:t> </w:t>
      </w:r>
      <w:r>
        <w:rPr/>
        <w:t>reservoir</w:t>
      </w:r>
      <w:r>
        <w:rPr>
          <w:spacing w:val="-9"/>
        </w:rPr>
        <w:t> </w:t>
      </w:r>
      <w:r>
        <w:rPr/>
        <w:t>minerals</w:t>
      </w:r>
      <w:r>
        <w:rPr>
          <w:spacing w:val="-8"/>
        </w:rPr>
        <w:t> </w:t>
      </w:r>
      <w:r>
        <w:rPr/>
        <w:t>if</w:t>
      </w:r>
      <w:r>
        <w:rPr>
          <w:spacing w:val="-9"/>
        </w:rPr>
        <w:t> </w:t>
      </w:r>
      <w:r>
        <w:rPr/>
        <w:t>an</w:t>
      </w:r>
      <w:r>
        <w:rPr>
          <w:spacing w:val="-8"/>
        </w:rPr>
        <w:t> </w:t>
      </w:r>
      <w:r>
        <w:rPr/>
        <w:t>appropriate</w:t>
      </w:r>
      <w:r>
        <w:rPr>
          <w:spacing w:val="-8"/>
        </w:rPr>
        <w:t> </w:t>
      </w:r>
      <w:r>
        <w:rPr/>
        <w:t>mineralogy</w:t>
      </w:r>
      <w:r>
        <w:rPr>
          <w:spacing w:val="-9"/>
        </w:rPr>
        <w:t> </w:t>
      </w:r>
      <w:r>
        <w:rPr/>
        <w:t>is</w:t>
      </w:r>
      <w:r>
        <w:rPr>
          <w:spacing w:val="-8"/>
        </w:rPr>
        <w:t> </w:t>
      </w:r>
      <w:r>
        <w:rPr/>
        <w:t>encountered</w:t>
      </w:r>
      <w:r>
        <w:rPr>
          <w:spacing w:val="-9"/>
        </w:rPr>
        <w:t> </w:t>
      </w:r>
      <w:r>
        <w:rPr/>
        <w:t>to</w:t>
      </w:r>
      <w:r>
        <w:rPr>
          <w:spacing w:val="-8"/>
        </w:rPr>
        <w:t> </w:t>
      </w:r>
      <w:r>
        <w:rPr/>
        <w:t>form</w:t>
      </w:r>
      <w:r>
        <w:rPr>
          <w:spacing w:val="-8"/>
        </w:rPr>
        <w:t> </w:t>
      </w:r>
      <w:r>
        <w:rPr/>
        <w:t>carbon-bearing</w:t>
      </w:r>
      <w:r>
        <w:rPr>
          <w:spacing w:val="-9"/>
        </w:rPr>
        <w:t> </w:t>
      </w:r>
      <w:r>
        <w:rPr/>
        <w:t>ionic</w:t>
      </w:r>
      <w:r>
        <w:rPr>
          <w:spacing w:val="-8"/>
        </w:rPr>
        <w:t> </w:t>
      </w:r>
      <w:r>
        <w:rPr/>
        <w:t>species</w:t>
      </w:r>
      <w:r>
        <w:rPr>
          <w:spacing w:val="-9"/>
        </w:rPr>
        <w:t> </w:t>
      </w:r>
      <w:r>
        <w:rPr/>
        <w:t>(i.e.,</w:t>
      </w:r>
      <w:r>
        <w:rPr>
          <w:spacing w:val="-8"/>
        </w:rPr>
        <w:t> </w:t>
      </w:r>
      <w:r>
        <w:rPr/>
        <w:t>HCO</w:t>
      </w:r>
      <w:r>
        <w:rPr>
          <w:spacing w:val="5"/>
        </w:rPr>
        <w:t> </w:t>
      </w:r>
      <w:r>
        <w:rPr>
          <w:position w:val="7"/>
          <w:sz w:val="11"/>
        </w:rPr>
        <w:t>–</w:t>
      </w:r>
      <w:r>
        <w:rPr>
          <w:spacing w:val="15"/>
          <w:position w:val="7"/>
          <w:sz w:val="11"/>
        </w:rPr>
        <w:t> </w:t>
      </w:r>
      <w:r>
        <w:rPr/>
        <w:t>and CO </w:t>
      </w:r>
      <w:r>
        <w:rPr>
          <w:position w:val="7"/>
          <w:sz w:val="11"/>
        </w:rPr>
        <w:t>2– </w:t>
      </w:r>
      <w:r>
        <w:rPr/>
        <w:t>called ionic trapping – dominates from hundreds to thousands of years). Further breakdown of these minerals could precipitate</w:t>
      </w:r>
      <w:r>
        <w:rPr>
          <w:spacing w:val="-6"/>
        </w:rPr>
        <w:t> </w:t>
      </w:r>
      <w:r>
        <w:rPr/>
        <w:t>new</w:t>
      </w:r>
      <w:r>
        <w:rPr>
          <w:spacing w:val="-5"/>
        </w:rPr>
        <w:t> </w:t>
      </w:r>
      <w:r>
        <w:rPr/>
        <w:t>carbonate</w:t>
      </w:r>
      <w:r>
        <w:rPr>
          <w:spacing w:val="-5"/>
        </w:rPr>
        <w:t> </w:t>
      </w:r>
      <w:r>
        <w:rPr/>
        <w:t>minerals</w:t>
      </w:r>
      <w:r>
        <w:rPr>
          <w:spacing w:val="-5"/>
        </w:rPr>
        <w:t> </w:t>
      </w:r>
      <w:r>
        <w:rPr/>
        <w:t>that</w:t>
      </w:r>
      <w:r>
        <w:rPr>
          <w:spacing w:val="-6"/>
        </w:rPr>
        <w:t> </w:t>
      </w:r>
      <w:r>
        <w:rPr/>
        <w:t>would</w:t>
      </w:r>
      <w:r>
        <w:rPr>
          <w:spacing w:val="-5"/>
        </w:rPr>
        <w:t> </w:t>
      </w:r>
      <w:r>
        <w:rPr/>
        <w:t>fix</w:t>
      </w:r>
      <w:r>
        <w:rPr>
          <w:spacing w:val="-5"/>
        </w:rPr>
        <w:t> </w:t>
      </w:r>
      <w:r>
        <w:rPr/>
        <w:t>injected</w:t>
      </w:r>
      <w:r>
        <w:rPr>
          <w:spacing w:val="-5"/>
        </w:rPr>
        <w:t> </w:t>
      </w:r>
      <w:r>
        <w:rPr/>
        <w:t>CO</w:t>
      </w:r>
      <w:r>
        <w:rPr>
          <w:position w:val="-6"/>
          <w:sz w:val="11"/>
        </w:rPr>
        <w:t>2</w:t>
      </w:r>
      <w:r>
        <w:rPr>
          <w:spacing w:val="17"/>
          <w:position w:val="-6"/>
          <w:sz w:val="11"/>
        </w:rPr>
        <w:t> </w:t>
      </w:r>
      <w:r>
        <w:rPr/>
        <w:t>in</w:t>
      </w:r>
      <w:r>
        <w:rPr>
          <w:spacing w:val="-5"/>
        </w:rPr>
        <w:t> </w:t>
      </w:r>
      <w:r>
        <w:rPr/>
        <w:t>its</w:t>
      </w:r>
      <w:r>
        <w:rPr>
          <w:spacing w:val="-5"/>
        </w:rPr>
        <w:t> </w:t>
      </w:r>
      <w:r>
        <w:rPr/>
        <w:t>most</w:t>
      </w:r>
      <w:r>
        <w:rPr>
          <w:spacing w:val="-5"/>
        </w:rPr>
        <w:t> </w:t>
      </w:r>
      <w:r>
        <w:rPr/>
        <w:t>secure</w:t>
      </w:r>
      <w:r>
        <w:rPr>
          <w:spacing w:val="-6"/>
        </w:rPr>
        <w:t> </w:t>
      </w:r>
      <w:r>
        <w:rPr/>
        <w:t>state</w:t>
      </w:r>
      <w:r>
        <w:rPr>
          <w:spacing w:val="-5"/>
        </w:rPr>
        <w:t> </w:t>
      </w:r>
      <w:r>
        <w:rPr/>
        <w:t>(i.e.,</w:t>
      </w:r>
      <w:r>
        <w:rPr>
          <w:spacing w:val="-5"/>
        </w:rPr>
        <w:t> </w:t>
      </w:r>
      <w:r>
        <w:rPr/>
        <w:t>mineral</w:t>
      </w:r>
      <w:r>
        <w:rPr>
          <w:spacing w:val="-5"/>
        </w:rPr>
        <w:t> </w:t>
      </w:r>
      <w:r>
        <w:rPr/>
        <w:t>trapping</w:t>
      </w:r>
      <w:r>
        <w:rPr>
          <w:spacing w:val="-6"/>
        </w:rPr>
        <w:t> </w:t>
      </w:r>
      <w:r>
        <w:rPr/>
        <w:t>–</w:t>
      </w:r>
      <w:r>
        <w:rPr>
          <w:spacing w:val="-5"/>
        </w:rPr>
        <w:t> </w:t>
      </w:r>
      <w:r>
        <w:rPr/>
        <w:t>dominates</w:t>
      </w:r>
      <w:r>
        <w:rPr>
          <w:spacing w:val="-5"/>
        </w:rPr>
        <w:t> </w:t>
      </w:r>
      <w:r>
        <w:rPr/>
        <w:t>over thousands to millions of years).</w:t>
      </w:r>
    </w:p>
    <w:p>
      <w:pPr>
        <w:pStyle w:val="BodyText"/>
        <w:spacing w:line="249" w:lineRule="auto" w:before="6"/>
        <w:ind w:left="723" w:right="305" w:firstLine="550"/>
        <w:jc w:val="both"/>
      </w:pPr>
      <w:bookmarkStart w:name="_bookmark16" w:id="28"/>
      <w:bookmarkEnd w:id="28"/>
      <w:r>
        <w:rPr/>
      </w:r>
      <w:r>
        <w:rPr/>
        <w:t>Four injection scenarios are shown in </w:t>
      </w:r>
      <w:hyperlink w:history="true" w:anchor="_bookmark16">
        <w:r>
          <w:rPr/>
          <w:t>Figure 5.10. </w:t>
        </w:r>
      </w:hyperlink>
      <w:r>
        <w:rPr/>
        <w:t>Scenarios A, B and C show injection into hydrodynamic traps, essentially systems open to lateral flow of fluids and gas within the injection horizon. Scenario D represents injection into a physically restricted flow regime, similar to those of many producing and depleted oil and gas reservoirs.</w:t>
      </w:r>
    </w:p>
    <w:p>
      <w:pPr>
        <w:pStyle w:val="BodyText"/>
        <w:spacing w:line="206" w:lineRule="auto" w:before="21"/>
        <w:ind w:left="723" w:right="5553" w:firstLine="550"/>
        <w:jc w:val="both"/>
      </w:pPr>
      <w:r>
        <w:rPr/>
        <w:t>In Scenario A, the injected CO</w:t>
      </w:r>
      <w:r>
        <w:rPr>
          <w:position w:val="-6"/>
          <w:sz w:val="11"/>
        </w:rPr>
        <w:t>2 </w:t>
      </w:r>
      <w:r>
        <w:rPr/>
        <w:t>is never physically contained laterally. The CO</w:t>
      </w:r>
      <w:r>
        <w:rPr>
          <w:position w:val="-6"/>
          <w:sz w:val="11"/>
        </w:rPr>
        <w:t>2 </w:t>
      </w:r>
      <w:r>
        <w:rPr/>
        <w:t>plume migrates within the injection horizon and is ultimately consumed via all types</w:t>
      </w:r>
    </w:p>
    <w:p>
      <w:pPr>
        <w:pStyle w:val="BodyText"/>
        <w:spacing w:line="240" w:lineRule="exact" w:before="1"/>
        <w:ind w:left="723" w:right="5553"/>
        <w:jc w:val="both"/>
      </w:pPr>
      <w:r>
        <w:rPr/>
        <w:t>of geochemical trapping mechanisms, including carbonate mineralization. Mineral and ionic trapping dominate. The proportions of CO</w:t>
      </w:r>
      <w:r>
        <w:rPr>
          <w:position w:val="-6"/>
          <w:sz w:val="11"/>
        </w:rPr>
        <w:t>2 </w:t>
      </w:r>
      <w:r>
        <w:rPr/>
        <w:t>stored in each geochemical trap will depend strongly on the </w:t>
      </w:r>
      <w:r>
        <w:rPr>
          <w:i/>
        </w:rPr>
        <w:t>in situ </w:t>
      </w:r>
      <w:r>
        <w:rPr/>
        <w:t>mineralogy, pore space structure and water composition.</w:t>
      </w:r>
    </w:p>
    <w:p>
      <w:pPr>
        <w:pStyle w:val="BodyText"/>
        <w:spacing w:line="225" w:lineRule="auto" w:before="14"/>
        <w:ind w:left="723" w:right="5554" w:firstLine="550"/>
        <w:jc w:val="both"/>
      </w:pPr>
      <w:r>
        <w:rPr/>
        <w:t>In Scenario B, the migration of the CO</w:t>
      </w:r>
      <w:r>
        <w:rPr>
          <w:position w:val="-6"/>
          <w:sz w:val="11"/>
        </w:rPr>
        <w:t>2 </w:t>
      </w:r>
      <w:r>
        <w:rPr/>
        <w:t>plume is similar to that of Scenario A, but the mineralogy and water chemistry are such that reaction of CO</w:t>
      </w:r>
      <w:r>
        <w:rPr>
          <w:position w:val="-6"/>
          <w:sz w:val="11"/>
        </w:rPr>
        <w:t>2 </w:t>
      </w:r>
      <w:r>
        <w:rPr/>
        <w:t>with minerals is minor and solubility trapping and hydrodynamic trapping dominate.</w:t>
      </w:r>
    </w:p>
    <w:p>
      <w:pPr>
        <w:pStyle w:val="BodyText"/>
        <w:spacing w:line="240" w:lineRule="exact" w:before="4"/>
        <w:ind w:left="723" w:right="5553" w:firstLine="550"/>
        <w:jc w:val="both"/>
      </w:pPr>
      <w:r>
        <w:rPr/>
        <w:t>In</w:t>
      </w:r>
      <w:r>
        <w:rPr>
          <w:spacing w:val="-8"/>
        </w:rPr>
        <w:t> </w:t>
      </w:r>
      <w:r>
        <w:rPr/>
        <w:t>Scenario</w:t>
      </w:r>
      <w:r>
        <w:rPr>
          <w:spacing w:val="-7"/>
        </w:rPr>
        <w:t> </w:t>
      </w:r>
      <w:r>
        <w:rPr/>
        <w:t>C,</w:t>
      </w:r>
      <w:r>
        <w:rPr>
          <w:spacing w:val="-8"/>
        </w:rPr>
        <w:t> </w:t>
      </w:r>
      <w:r>
        <w:rPr/>
        <w:t>the</w:t>
      </w:r>
      <w:r>
        <w:rPr>
          <w:spacing w:val="-7"/>
        </w:rPr>
        <w:t> </w:t>
      </w:r>
      <w:r>
        <w:rPr/>
        <w:t>CO</w:t>
      </w:r>
      <w:r>
        <w:rPr>
          <w:position w:val="-6"/>
          <w:sz w:val="11"/>
        </w:rPr>
        <w:t>2</w:t>
      </w:r>
      <w:r>
        <w:rPr>
          <w:spacing w:val="15"/>
          <w:position w:val="-6"/>
          <w:sz w:val="11"/>
        </w:rPr>
        <w:t> </w:t>
      </w:r>
      <w:r>
        <w:rPr/>
        <w:t>is</w:t>
      </w:r>
      <w:r>
        <w:rPr>
          <w:spacing w:val="-7"/>
        </w:rPr>
        <w:t> </w:t>
      </w:r>
      <w:r>
        <w:rPr/>
        <w:t>injected</w:t>
      </w:r>
      <w:r>
        <w:rPr>
          <w:spacing w:val="-7"/>
        </w:rPr>
        <w:t> </w:t>
      </w:r>
      <w:r>
        <w:rPr/>
        <w:t>into</w:t>
      </w:r>
      <w:r>
        <w:rPr>
          <w:spacing w:val="-8"/>
        </w:rPr>
        <w:t> </w:t>
      </w:r>
      <w:r>
        <w:rPr/>
        <w:t>a</w:t>
      </w:r>
      <w:r>
        <w:rPr>
          <w:spacing w:val="-7"/>
        </w:rPr>
        <w:t> </w:t>
      </w:r>
      <w:r>
        <w:rPr/>
        <w:t>zone</w:t>
      </w:r>
      <w:r>
        <w:rPr>
          <w:spacing w:val="-8"/>
        </w:rPr>
        <w:t> </w:t>
      </w:r>
      <w:r>
        <w:rPr/>
        <w:t>initially similar</w:t>
      </w:r>
      <w:r>
        <w:rPr>
          <w:spacing w:val="-9"/>
        </w:rPr>
        <w:t> </w:t>
      </w:r>
      <w:r>
        <w:rPr/>
        <w:t>to</w:t>
      </w:r>
      <w:r>
        <w:rPr>
          <w:spacing w:val="-8"/>
        </w:rPr>
        <w:t> </w:t>
      </w:r>
      <w:r>
        <w:rPr/>
        <w:t>Scenario</w:t>
      </w:r>
      <w:r>
        <w:rPr>
          <w:spacing w:val="-8"/>
        </w:rPr>
        <w:t> </w:t>
      </w:r>
      <w:r>
        <w:rPr/>
        <w:t>B.</w:t>
      </w:r>
      <w:r>
        <w:rPr>
          <w:spacing w:val="-8"/>
        </w:rPr>
        <w:t> </w:t>
      </w:r>
      <w:r>
        <w:rPr/>
        <w:t>However,</w:t>
      </w:r>
      <w:r>
        <w:rPr>
          <w:spacing w:val="-9"/>
        </w:rPr>
        <w:t> </w:t>
      </w:r>
      <w:r>
        <w:rPr/>
        <w:t>during</w:t>
      </w:r>
      <w:r>
        <w:rPr>
          <w:spacing w:val="-8"/>
        </w:rPr>
        <w:t> </w:t>
      </w:r>
      <w:r>
        <w:rPr/>
        <w:t>lateral</w:t>
      </w:r>
      <w:r>
        <w:rPr>
          <w:spacing w:val="-8"/>
        </w:rPr>
        <w:t> </w:t>
      </w:r>
      <w:r>
        <w:rPr/>
        <w:t>migration</w:t>
      </w:r>
      <w:r>
        <w:rPr>
          <w:spacing w:val="-8"/>
        </w:rPr>
        <w:t> </w:t>
      </w:r>
      <w:r>
        <w:rPr/>
        <w:t>the CO</w:t>
      </w:r>
      <w:r>
        <w:rPr>
          <w:position w:val="-6"/>
          <w:sz w:val="11"/>
        </w:rPr>
        <w:t>2 </w:t>
      </w:r>
      <w:r>
        <w:rPr/>
        <w:t>plume migrates into a zone of physical heterogeneity in the injection horizon. This zone may be characterized  by variable porosity and permeability caused by a </w:t>
      </w:r>
      <w:r>
        <w:rPr>
          <w:spacing w:val="-3"/>
        </w:rPr>
        <w:t>facies  </w:t>
      </w:r>
      <w:r>
        <w:rPr/>
        <w:t>change. The facies change is accompanied by a more reactive mineralogy that causes an abrupt change in path.</w:t>
      </w:r>
      <w:r>
        <w:rPr>
          <w:spacing w:val="-27"/>
        </w:rPr>
        <w:t> </w:t>
      </w:r>
      <w:r>
        <w:rPr/>
        <w:t>In the final state, ionic and mineral trapping</w:t>
      </w:r>
      <w:r>
        <w:rPr>
          <w:spacing w:val="-12"/>
        </w:rPr>
        <w:t> </w:t>
      </w:r>
      <w:r>
        <w:rPr/>
        <w:t>predominate.</w:t>
      </w:r>
    </w:p>
    <w:p>
      <w:pPr>
        <w:pStyle w:val="BodyText"/>
        <w:spacing w:line="260" w:lineRule="exact" w:before="6"/>
        <w:ind w:left="1273"/>
        <w:jc w:val="both"/>
      </w:pPr>
      <w:r>
        <w:rPr/>
        <w:t>Scenario  D  illustrates  CO</w:t>
      </w:r>
      <w:r>
        <w:rPr>
          <w:position w:val="-6"/>
          <w:sz w:val="11"/>
        </w:rPr>
        <w:t>2    </w:t>
      </w:r>
      <w:r>
        <w:rPr/>
        <w:t>injection  into  a </w:t>
      </w:r>
      <w:r>
        <w:rPr>
          <w:spacing w:val="36"/>
        </w:rPr>
        <w:t> </w:t>
      </w:r>
      <w:r>
        <w:rPr/>
        <w:t>well-</w:t>
      </w:r>
    </w:p>
    <w:p>
      <w:pPr>
        <w:pStyle w:val="BodyText"/>
        <w:spacing w:line="210" w:lineRule="exact"/>
        <w:ind w:left="723"/>
        <w:jc w:val="both"/>
      </w:pPr>
      <w:r>
        <w:rPr/>
        <w:t>constrained</w:t>
      </w:r>
      <w:r>
        <w:rPr>
          <w:spacing w:val="29"/>
        </w:rPr>
        <w:t> </w:t>
      </w:r>
      <w:r>
        <w:rPr/>
        <w:t>flow</w:t>
      </w:r>
      <w:r>
        <w:rPr>
          <w:spacing w:val="29"/>
        </w:rPr>
        <w:t> </w:t>
      </w:r>
      <w:r>
        <w:rPr/>
        <w:t>zone</w:t>
      </w:r>
      <w:r>
        <w:rPr>
          <w:spacing w:val="30"/>
        </w:rPr>
        <w:t> </w:t>
      </w:r>
      <w:r>
        <w:rPr/>
        <w:t>but,</w:t>
      </w:r>
      <w:r>
        <w:rPr>
          <w:spacing w:val="30"/>
        </w:rPr>
        <w:t> </w:t>
      </w:r>
      <w:r>
        <w:rPr/>
        <w:t>similar</w:t>
      </w:r>
      <w:r>
        <w:rPr>
          <w:spacing w:val="29"/>
        </w:rPr>
        <w:t> </w:t>
      </w:r>
      <w:r>
        <w:rPr/>
        <w:t>to</w:t>
      </w:r>
      <w:r>
        <w:rPr>
          <w:spacing w:val="30"/>
        </w:rPr>
        <w:t> </w:t>
      </w:r>
      <w:r>
        <w:rPr/>
        <w:t>Scenario</w:t>
      </w:r>
      <w:r>
        <w:rPr>
          <w:spacing w:val="29"/>
        </w:rPr>
        <w:t> </w:t>
      </w:r>
      <w:r>
        <w:rPr/>
        <w:t>B,</w:t>
      </w:r>
      <w:r>
        <w:rPr>
          <w:spacing w:val="30"/>
        </w:rPr>
        <w:t> </w:t>
      </w:r>
      <w:r>
        <w:rPr/>
        <w:t>it</w:t>
      </w:r>
      <w:r>
        <w:rPr>
          <w:spacing w:val="29"/>
        </w:rPr>
        <w:t> </w:t>
      </w:r>
      <w:r>
        <w:rPr/>
        <w:t>does</w:t>
      </w:r>
    </w:p>
    <w:p>
      <w:pPr>
        <w:spacing w:after="0" w:line="210" w:lineRule="exact"/>
        <w:jc w:val="both"/>
        <w:sectPr>
          <w:type w:val="continuous"/>
          <w:pgSz w:w="12240" w:h="15840"/>
          <w:pgMar w:top="400" w:bottom="280" w:left="580" w:right="600"/>
        </w:sectPr>
      </w:pPr>
    </w:p>
    <w:p>
      <w:pPr>
        <w:pStyle w:val="BodyText"/>
        <w:spacing w:line="240" w:lineRule="exact" w:before="4"/>
        <w:ind w:left="723"/>
        <w:jc w:val="both"/>
      </w:pPr>
      <w:r>
        <w:rPr/>
        <w:t>not have </w:t>
      </w:r>
      <w:r>
        <w:rPr>
          <w:i/>
        </w:rPr>
        <w:t>in-situ </w:t>
      </w:r>
      <w:r>
        <w:rPr/>
        <w:t>fluid chemistry and mineralogy suitable for ionic or mineral trapping. The bulk of the injected CO</w:t>
      </w:r>
      <w:r>
        <w:rPr>
          <w:position w:val="-6"/>
          <w:sz w:val="11"/>
        </w:rPr>
        <w:t>2 </w:t>
      </w:r>
      <w:r>
        <w:rPr/>
        <w:t>is trapped</w:t>
      </w:r>
      <w:r>
        <w:rPr>
          <w:spacing w:val="-13"/>
        </w:rPr>
        <w:t> </w:t>
      </w:r>
      <w:r>
        <w:rPr/>
        <w:t>geochemically</w:t>
      </w:r>
      <w:r>
        <w:rPr>
          <w:spacing w:val="-12"/>
        </w:rPr>
        <w:t> </w:t>
      </w:r>
      <w:r>
        <w:rPr/>
        <w:t>via</w:t>
      </w:r>
      <w:r>
        <w:rPr>
          <w:spacing w:val="-13"/>
        </w:rPr>
        <w:t> </w:t>
      </w:r>
      <w:r>
        <w:rPr/>
        <w:t>solubility</w:t>
      </w:r>
      <w:r>
        <w:rPr>
          <w:spacing w:val="-12"/>
        </w:rPr>
        <w:t> </w:t>
      </w:r>
      <w:r>
        <w:rPr/>
        <w:t>trapping</w:t>
      </w:r>
      <w:r>
        <w:rPr>
          <w:spacing w:val="-13"/>
        </w:rPr>
        <w:t> </w:t>
      </w:r>
      <w:r>
        <w:rPr/>
        <w:t>and</w:t>
      </w:r>
      <w:r>
        <w:rPr>
          <w:spacing w:val="-12"/>
        </w:rPr>
        <w:t> </w:t>
      </w:r>
      <w:r>
        <w:rPr/>
        <w:t>physically via stratigraphic or structural</w:t>
      </w:r>
      <w:r>
        <w:rPr>
          <w:spacing w:val="-5"/>
        </w:rPr>
        <w:t> </w:t>
      </w:r>
      <w:r>
        <w:rPr/>
        <w:t>trapping.</w:t>
      </w:r>
    </w:p>
    <w:p>
      <w:pPr>
        <w:spacing w:line="254" w:lineRule="auto" w:before="80"/>
        <w:ind w:left="186" w:right="284" w:firstLine="0"/>
        <w:jc w:val="both"/>
        <w:rPr>
          <w:sz w:val="18"/>
        </w:rPr>
      </w:pPr>
      <w:r>
        <w:rPr/>
        <w:br w:type="column"/>
      </w:r>
      <w:r>
        <w:rPr>
          <w:b/>
          <w:sz w:val="18"/>
        </w:rPr>
        <w:t>Figure 5.10 </w:t>
      </w:r>
      <w:r>
        <w:rPr>
          <w:sz w:val="18"/>
        </w:rPr>
        <w:t>Storage expressed as a combination of physical and geochemical trapping. The level of security is proportional to</w:t>
      </w:r>
      <w:r>
        <w:rPr>
          <w:spacing w:val="-19"/>
          <w:sz w:val="18"/>
        </w:rPr>
        <w:t> </w:t>
      </w:r>
      <w:r>
        <w:rPr>
          <w:sz w:val="18"/>
        </w:rPr>
        <w:t>distance from the origin. Dashed lines are examples of million-year pathways, discussed in Box 5.4.</w:t>
      </w:r>
    </w:p>
    <w:p>
      <w:pPr>
        <w:spacing w:after="0" w:line="254" w:lineRule="auto"/>
        <w:jc w:val="both"/>
        <w:rPr>
          <w:sz w:val="18"/>
        </w:rPr>
        <w:sectPr>
          <w:type w:val="continuous"/>
          <w:pgSz w:w="12240" w:h="15840"/>
          <w:pgMar w:top="400" w:bottom="280" w:left="580" w:right="600"/>
          <w:cols w:num="2" w:equalWidth="0">
            <w:col w:w="5504" w:space="40"/>
            <w:col w:w="5516"/>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157" w:right="38"/>
        <w:jc w:val="both"/>
      </w:pPr>
      <w:bookmarkStart w:name="5.2.3 Natural geological accumulations o" w:id="29"/>
      <w:bookmarkEnd w:id="29"/>
      <w:r>
        <w:rPr/>
      </w:r>
      <w:r>
        <w:rPr/>
        <w:t>flow of solution through the pores. This possibility has not, however, been observed experimentally and its possible </w:t>
      </w:r>
      <w:r>
        <w:rPr>
          <w:spacing w:val="-4"/>
        </w:rPr>
        <w:t>effects </w:t>
      </w:r>
      <w:r>
        <w:rPr/>
        <w:t>cannot be quantified.</w:t>
      </w:r>
    </w:p>
    <w:p>
      <w:pPr>
        <w:pStyle w:val="BodyText"/>
        <w:spacing w:line="225" w:lineRule="auto" w:before="11"/>
        <w:ind w:left="157" w:right="38" w:firstLine="283"/>
        <w:jc w:val="both"/>
      </w:pPr>
      <w:r>
        <w:rPr>
          <w:spacing w:val="-7"/>
        </w:rPr>
        <w:t>Yet</w:t>
      </w:r>
      <w:r>
        <w:rPr>
          <w:spacing w:val="-23"/>
        </w:rPr>
        <w:t> </w:t>
      </w:r>
      <w:r>
        <w:rPr/>
        <w:t>another</w:t>
      </w:r>
      <w:r>
        <w:rPr>
          <w:spacing w:val="-23"/>
        </w:rPr>
        <w:t> </w:t>
      </w:r>
      <w:r>
        <w:rPr/>
        <w:t>type</w:t>
      </w:r>
      <w:r>
        <w:rPr>
          <w:spacing w:val="-23"/>
        </w:rPr>
        <w:t> </w:t>
      </w:r>
      <w:r>
        <w:rPr/>
        <w:t>of</w:t>
      </w:r>
      <w:r>
        <w:rPr>
          <w:spacing w:val="-22"/>
        </w:rPr>
        <w:t> </w:t>
      </w:r>
      <w:r>
        <w:rPr/>
        <w:t>fixation</w:t>
      </w:r>
      <w:r>
        <w:rPr>
          <w:spacing w:val="-23"/>
        </w:rPr>
        <w:t> </w:t>
      </w:r>
      <w:r>
        <w:rPr/>
        <w:t>occurs</w:t>
      </w:r>
      <w:r>
        <w:rPr>
          <w:spacing w:val="-23"/>
        </w:rPr>
        <w:t> </w:t>
      </w:r>
      <w:r>
        <w:rPr/>
        <w:t>when</w:t>
      </w:r>
      <w:r>
        <w:rPr>
          <w:spacing w:val="-22"/>
        </w:rPr>
        <w:t> </w:t>
      </w:r>
      <w:r>
        <w:rPr/>
        <w:t>CO</w:t>
      </w:r>
      <w:r>
        <w:rPr>
          <w:position w:val="-6"/>
          <w:sz w:val="11"/>
        </w:rPr>
        <w:t>2 </w:t>
      </w:r>
      <w:r>
        <w:rPr/>
        <w:t>is</w:t>
      </w:r>
      <w:r>
        <w:rPr>
          <w:spacing w:val="-23"/>
        </w:rPr>
        <w:t> </w:t>
      </w:r>
      <w:r>
        <w:rPr/>
        <w:t>preferentially adsorbed onto coal or organic-rich shales (Section  5.3.4).  This has been observed in batch and</w:t>
      </w:r>
      <w:r>
        <w:rPr>
          <w:spacing w:val="8"/>
        </w:rPr>
        <w:t> </w:t>
      </w:r>
      <w:r>
        <w:rPr/>
        <w:t>column experiments </w:t>
      </w:r>
      <w:r>
        <w:rPr>
          <w:spacing w:val="-7"/>
        </w:rPr>
        <w:t>in</w:t>
      </w:r>
    </w:p>
    <w:p>
      <w:pPr>
        <w:pStyle w:val="BodyText"/>
        <w:spacing w:line="240" w:lineRule="exact" w:before="7"/>
        <w:ind w:left="157" w:right="39"/>
        <w:jc w:val="both"/>
      </w:pPr>
      <w:r>
        <w:rPr/>
        <w:t>the laboratory, as well as in field experiments at the Fenn Big </w:t>
      </w:r>
      <w:r>
        <w:rPr>
          <w:spacing w:val="-6"/>
        </w:rPr>
        <w:t>Valley,</w:t>
      </w:r>
      <w:r>
        <w:rPr>
          <w:spacing w:val="-11"/>
        </w:rPr>
        <w:t> </w:t>
      </w:r>
      <w:r>
        <w:rPr/>
        <w:t>Canada</w:t>
      </w:r>
      <w:r>
        <w:rPr>
          <w:spacing w:val="-10"/>
        </w:rPr>
        <w:t> </w:t>
      </w:r>
      <w:r>
        <w:rPr/>
        <w:t>and</w:t>
      </w:r>
      <w:r>
        <w:rPr>
          <w:spacing w:val="-10"/>
        </w:rPr>
        <w:t> </w:t>
      </w:r>
      <w:r>
        <w:rPr/>
        <w:t>the</w:t>
      </w:r>
      <w:r>
        <w:rPr>
          <w:spacing w:val="-10"/>
        </w:rPr>
        <w:t> </w:t>
      </w:r>
      <w:r>
        <w:rPr/>
        <w:t>San</w:t>
      </w:r>
      <w:r>
        <w:rPr>
          <w:spacing w:val="-10"/>
        </w:rPr>
        <w:t> </w:t>
      </w:r>
      <w:r>
        <w:rPr/>
        <w:t>Juan</w:t>
      </w:r>
      <w:r>
        <w:rPr>
          <w:spacing w:val="-11"/>
        </w:rPr>
        <w:t> </w:t>
      </w:r>
      <w:r>
        <w:rPr/>
        <w:t>Basin,</w:t>
      </w:r>
      <w:r>
        <w:rPr>
          <w:spacing w:val="-10"/>
        </w:rPr>
        <w:t> </w:t>
      </w:r>
      <w:r>
        <w:rPr/>
        <w:t>USA</w:t>
      </w:r>
      <w:r>
        <w:rPr>
          <w:spacing w:val="-21"/>
        </w:rPr>
        <w:t> </w:t>
      </w:r>
      <w:hyperlink w:history="true" w:anchor="_bookmark30">
        <w:r>
          <w:rPr/>
          <w:t>(Box</w:t>
        </w:r>
        <w:r>
          <w:rPr>
            <w:spacing w:val="-10"/>
          </w:rPr>
          <w:t> </w:t>
        </w:r>
        <w:r>
          <w:rPr/>
          <w:t>5.7).</w:t>
        </w:r>
        <w:r>
          <w:rPr>
            <w:spacing w:val="-21"/>
          </w:rPr>
          <w:t> </w:t>
        </w:r>
      </w:hyperlink>
      <w:r>
        <w:rPr/>
        <w:t>A</w:t>
      </w:r>
      <w:r>
        <w:rPr>
          <w:spacing w:val="-21"/>
        </w:rPr>
        <w:t> </w:t>
      </w:r>
      <w:r>
        <w:rPr/>
        <w:t>rather different</w:t>
      </w:r>
      <w:r>
        <w:rPr>
          <w:spacing w:val="-15"/>
        </w:rPr>
        <w:t> </w:t>
      </w:r>
      <w:r>
        <w:rPr/>
        <w:t>form</w:t>
      </w:r>
      <w:r>
        <w:rPr>
          <w:spacing w:val="-13"/>
        </w:rPr>
        <w:t> </w:t>
      </w:r>
      <w:r>
        <w:rPr/>
        <w:t>of</w:t>
      </w:r>
      <w:r>
        <w:rPr>
          <w:spacing w:val="-13"/>
        </w:rPr>
        <w:t> </w:t>
      </w:r>
      <w:r>
        <w:rPr/>
        <w:t>fixation</w:t>
      </w:r>
      <w:r>
        <w:rPr>
          <w:spacing w:val="-14"/>
        </w:rPr>
        <w:t> </w:t>
      </w:r>
      <w:r>
        <w:rPr/>
        <w:t>can</w:t>
      </w:r>
      <w:r>
        <w:rPr>
          <w:spacing w:val="-13"/>
        </w:rPr>
        <w:t> </w:t>
      </w:r>
      <w:r>
        <w:rPr/>
        <w:t>occur</w:t>
      </w:r>
      <w:r>
        <w:rPr>
          <w:spacing w:val="-13"/>
        </w:rPr>
        <w:t> </w:t>
      </w:r>
      <w:r>
        <w:rPr/>
        <w:t>when</w:t>
      </w:r>
      <w:r>
        <w:rPr>
          <w:spacing w:val="-14"/>
        </w:rPr>
        <w:t> </w:t>
      </w:r>
      <w:r>
        <w:rPr/>
        <w:t>CO</w:t>
      </w:r>
      <w:r>
        <w:rPr>
          <w:position w:val="-6"/>
          <w:sz w:val="11"/>
        </w:rPr>
        <w:t>2</w:t>
      </w:r>
      <w:r>
        <w:rPr>
          <w:spacing w:val="9"/>
          <w:position w:val="-6"/>
          <w:sz w:val="11"/>
        </w:rPr>
        <w:t> </w:t>
      </w:r>
      <w:r>
        <w:rPr/>
        <w:t>hydrate</w:t>
      </w:r>
      <w:r>
        <w:rPr>
          <w:spacing w:val="-14"/>
        </w:rPr>
        <w:t> </w:t>
      </w:r>
      <w:r>
        <w:rPr/>
        <w:t>is</w:t>
      </w:r>
      <w:r>
        <w:rPr>
          <w:spacing w:val="-13"/>
        </w:rPr>
        <w:t> </w:t>
      </w:r>
      <w:r>
        <w:rPr/>
        <w:t>formed in the deep ocean seafloor and onshore in permafrost regions (Koide </w:t>
      </w:r>
      <w:r>
        <w:rPr>
          <w:i/>
        </w:rPr>
        <w:t>et al.</w:t>
      </w:r>
      <w:r>
        <w:rPr/>
        <w:t>,</w:t>
      </w:r>
      <w:r>
        <w:rPr>
          <w:spacing w:val="-1"/>
        </w:rPr>
        <w:t> </w:t>
      </w:r>
      <w:r>
        <w:rPr/>
        <w:t>1997).</w:t>
      </w:r>
    </w:p>
    <w:p>
      <w:pPr>
        <w:pStyle w:val="BodyText"/>
        <w:spacing w:before="4"/>
        <w:rPr>
          <w:sz w:val="21"/>
        </w:rPr>
      </w:pPr>
    </w:p>
    <w:p>
      <w:pPr>
        <w:pStyle w:val="Heading2"/>
        <w:numPr>
          <w:ilvl w:val="2"/>
          <w:numId w:val="1"/>
        </w:numPr>
        <w:tabs>
          <w:tab w:pos="976" w:val="left" w:leader="none"/>
          <w:tab w:pos="978" w:val="left" w:leader="none"/>
        </w:tabs>
        <w:spacing w:line="240" w:lineRule="auto" w:before="0" w:after="0"/>
        <w:ind w:left="977" w:right="0" w:hanging="821"/>
        <w:jc w:val="left"/>
        <w:rPr>
          <w:i/>
          <w:sz w:val="11"/>
        </w:rPr>
      </w:pPr>
      <w:r>
        <w:rPr>
          <w:i/>
        </w:rPr>
        <w:t>Natural geological accumulations of</w:t>
      </w:r>
      <w:r>
        <w:rPr>
          <w:i/>
          <w:spacing w:val="-2"/>
        </w:rPr>
        <w:t> </w:t>
      </w:r>
      <w:r>
        <w:rPr>
          <w:i/>
        </w:rPr>
        <w:t>CO</w:t>
      </w:r>
      <w:r>
        <w:rPr>
          <w:i/>
          <w:position w:val="-6"/>
          <w:sz w:val="11"/>
        </w:rPr>
        <w:t>2</w:t>
      </w:r>
    </w:p>
    <w:p>
      <w:pPr>
        <w:pStyle w:val="BodyText"/>
        <w:spacing w:line="240" w:lineRule="exact" w:before="194"/>
        <w:ind w:left="157" w:right="38"/>
        <w:jc w:val="both"/>
      </w:pPr>
      <w:r>
        <w:rPr/>
        <w:t>Natural</w:t>
      </w:r>
      <w:r>
        <w:rPr>
          <w:spacing w:val="-14"/>
        </w:rPr>
        <w:t> </w:t>
      </w:r>
      <w:r>
        <w:rPr/>
        <w:t>sources</w:t>
      </w:r>
      <w:r>
        <w:rPr>
          <w:spacing w:val="-13"/>
        </w:rPr>
        <w:t> </w:t>
      </w:r>
      <w:r>
        <w:rPr/>
        <w:t>of</w:t>
      </w:r>
      <w:r>
        <w:rPr>
          <w:spacing w:val="-14"/>
        </w:rPr>
        <w:t> </w:t>
      </w:r>
      <w:r>
        <w:rPr/>
        <w:t>CO</w:t>
      </w:r>
      <w:r>
        <w:rPr>
          <w:position w:val="-6"/>
          <w:sz w:val="11"/>
        </w:rPr>
        <w:t>2</w:t>
      </w:r>
      <w:r>
        <w:rPr>
          <w:spacing w:val="9"/>
          <w:position w:val="-6"/>
          <w:sz w:val="11"/>
        </w:rPr>
        <w:t> </w:t>
      </w:r>
      <w:r>
        <w:rPr/>
        <w:t>occur,</w:t>
      </w:r>
      <w:r>
        <w:rPr>
          <w:spacing w:val="-13"/>
        </w:rPr>
        <w:t> </w:t>
      </w:r>
      <w:r>
        <w:rPr/>
        <w:t>as</w:t>
      </w:r>
      <w:r>
        <w:rPr>
          <w:spacing w:val="-14"/>
        </w:rPr>
        <w:t> </w:t>
      </w:r>
      <w:r>
        <w:rPr/>
        <w:t>gaseous</w:t>
      </w:r>
      <w:r>
        <w:rPr>
          <w:spacing w:val="-13"/>
        </w:rPr>
        <w:t> </w:t>
      </w:r>
      <w:r>
        <w:rPr/>
        <w:t>accumulations</w:t>
      </w:r>
      <w:r>
        <w:rPr>
          <w:spacing w:val="-14"/>
        </w:rPr>
        <w:t> </w:t>
      </w:r>
      <w:r>
        <w:rPr/>
        <w:t>of</w:t>
      </w:r>
      <w:r>
        <w:rPr>
          <w:spacing w:val="-13"/>
        </w:rPr>
        <w:t> </w:t>
      </w:r>
      <w:r>
        <w:rPr/>
        <w:t>CO</w:t>
      </w:r>
      <w:r>
        <w:rPr>
          <w:position w:val="-6"/>
          <w:sz w:val="11"/>
        </w:rPr>
        <w:t>2</w:t>
      </w:r>
      <w:r>
        <w:rPr/>
        <w:t>,</w:t>
      </w:r>
      <w:bookmarkStart w:name="_bookmark18" w:id="30"/>
      <w:bookmarkEnd w:id="30"/>
      <w:r>
        <w:rPr/>
      </w:r>
      <w:r>
        <w:rPr/>
        <w:t> CO</w:t>
      </w:r>
      <w:r>
        <w:rPr>
          <w:position w:val="-6"/>
          <w:sz w:val="11"/>
        </w:rPr>
        <w:t>2 </w:t>
      </w:r>
      <w:r>
        <w:rPr/>
        <w:t>mixed with natural gas and CO</w:t>
      </w:r>
      <w:r>
        <w:rPr>
          <w:position w:val="-6"/>
          <w:sz w:val="11"/>
        </w:rPr>
        <w:t>2 </w:t>
      </w:r>
      <w:r>
        <w:rPr/>
        <w:t>dissolved in formation water </w:t>
      </w:r>
      <w:hyperlink w:history="true" w:anchor="_bookmark17">
        <w:r>
          <w:rPr/>
          <w:t>(Figure 5.1</w:t>
        </w:r>
      </w:hyperlink>
      <w:r>
        <w:rPr/>
        <w:t>1). These natural accumulations have been studied in the United States, Australia and Europe (Pearce </w:t>
      </w:r>
      <w:r>
        <w:rPr>
          <w:i/>
        </w:rPr>
        <w:t>et </w:t>
      </w:r>
      <w:r>
        <w:rPr>
          <w:i/>
        </w:rPr>
        <w:t>al.</w:t>
      </w:r>
      <w:r>
        <w:rPr/>
        <w:t>, 1996; Allis </w:t>
      </w:r>
      <w:r>
        <w:rPr>
          <w:i/>
        </w:rPr>
        <w:t>et al.</w:t>
      </w:r>
      <w:r>
        <w:rPr/>
        <w:t>, 2001; Stevens </w:t>
      </w:r>
      <w:r>
        <w:rPr>
          <w:i/>
        </w:rPr>
        <w:t>et al.</w:t>
      </w:r>
      <w:r>
        <w:rPr/>
        <w:t>, 2003; </w:t>
      </w:r>
      <w:r>
        <w:rPr>
          <w:spacing w:val="-3"/>
        </w:rPr>
        <w:t>Watson </w:t>
      </w:r>
      <w:r>
        <w:rPr>
          <w:i/>
        </w:rPr>
        <w:t>et al.</w:t>
      </w:r>
      <w:r>
        <w:rPr/>
        <w:t>, 2004) as analogues for storage of CO</w:t>
      </w:r>
      <w:r>
        <w:rPr>
          <w:position w:val="-6"/>
          <w:sz w:val="11"/>
        </w:rPr>
        <w:t>2</w:t>
      </w:r>
      <w:r>
        <w:rPr/>
        <w:t>, as well as for leakage from engineered storage sites. Production of CO</w:t>
      </w:r>
      <w:r>
        <w:rPr>
          <w:position w:val="-6"/>
          <w:sz w:val="11"/>
        </w:rPr>
        <w:t>2 </w:t>
      </w:r>
      <w:r>
        <w:rPr/>
        <w:t>for EOR and other uses provides operational experience relevant to </w:t>
      </w:r>
      <w:r>
        <w:rPr>
          <w:spacing w:val="-5"/>
        </w:rPr>
        <w:t>CO</w:t>
      </w:r>
      <w:r>
        <w:rPr>
          <w:spacing w:val="-5"/>
          <w:position w:val="-6"/>
          <w:sz w:val="11"/>
        </w:rPr>
        <w:t>2 </w:t>
      </w:r>
      <w:r>
        <w:rPr/>
        <w:t>capture and storage. There are, of course, differences between natural accumulations of CO</w:t>
      </w:r>
      <w:r>
        <w:rPr>
          <w:position w:val="-6"/>
          <w:sz w:val="11"/>
        </w:rPr>
        <w:t>2 </w:t>
      </w:r>
      <w:r>
        <w:rPr/>
        <w:t>and engineered CO</w:t>
      </w:r>
      <w:r>
        <w:rPr>
          <w:position w:val="-6"/>
          <w:sz w:val="11"/>
        </w:rPr>
        <w:t>2 </w:t>
      </w:r>
      <w:r>
        <w:rPr/>
        <w:t>storage</w:t>
      </w:r>
      <w:r>
        <w:rPr>
          <w:spacing w:val="-26"/>
        </w:rPr>
        <w:t> </w:t>
      </w:r>
      <w:r>
        <w:rPr/>
        <w:t>sites: natural accumulations of CO</w:t>
      </w:r>
      <w:bookmarkStart w:name="_bookmark17" w:id="31"/>
      <w:bookmarkEnd w:id="31"/>
      <w:r>
        <w:rPr/>
      </w:r>
      <w:bookmarkStart w:name="_bookmark19" w:id="32"/>
      <w:bookmarkEnd w:id="32"/>
      <w:r>
        <w:rPr/>
      </w:r>
      <w:r>
        <w:rPr>
          <w:position w:val="-6"/>
          <w:sz w:val="11"/>
        </w:rPr>
        <w:t>2 </w:t>
      </w:r>
      <w:r>
        <w:rPr/>
        <w:t>collect over very long periods</w:t>
      </w:r>
      <w:r>
        <w:rPr>
          <w:spacing w:val="15"/>
        </w:rPr>
        <w:t> </w:t>
      </w:r>
      <w:r>
        <w:rPr/>
        <w:t>of</w:t>
      </w:r>
    </w:p>
    <w:p>
      <w:pPr>
        <w:pStyle w:val="BodyText"/>
        <w:spacing w:line="240" w:lineRule="exact" w:before="58"/>
        <w:ind w:left="157" w:right="529"/>
        <w:jc w:val="both"/>
      </w:pPr>
      <w:r>
        <w:rPr/>
        <w:br w:type="column"/>
      </w:r>
      <w:r>
        <w:rPr/>
        <w:t>time and at random sites, some of which might be naturally ‘leaky’. At engineered sites, CO</w:t>
      </w:r>
      <w:r>
        <w:rPr>
          <w:position w:val="-6"/>
          <w:sz w:val="11"/>
        </w:rPr>
        <w:t>2 </w:t>
      </w:r>
      <w:r>
        <w:rPr/>
        <w:t>injection rates will be rapid and the sites will necessarily be penetrated by injection wells (Celia and Bachu, 2003; Johnson </w:t>
      </w:r>
      <w:r>
        <w:rPr>
          <w:i/>
        </w:rPr>
        <w:t>et al.</w:t>
      </w:r>
      <w:r>
        <w:rPr/>
        <w:t>, 2005). Therefore, care must be taken to keep injection pressures low enough to avoid damaging the caprock (Section 5.5) and to make sure that the wells are properly sealed (Section 5.5).</w:t>
      </w:r>
    </w:p>
    <w:p>
      <w:pPr>
        <w:pStyle w:val="BodyText"/>
        <w:spacing w:line="240" w:lineRule="exact"/>
        <w:ind w:left="157" w:right="530" w:firstLine="283"/>
        <w:jc w:val="both"/>
      </w:pPr>
      <w:r>
        <w:rPr/>
        <w:t>Natural accumulations of relatively pure CO</w:t>
      </w:r>
      <w:r>
        <w:rPr>
          <w:position w:val="-6"/>
          <w:sz w:val="11"/>
        </w:rPr>
        <w:t>2 </w:t>
      </w:r>
      <w:r>
        <w:rPr/>
        <w:t>are found all over the world in a range of geological settings, particularly   in sedimentary basins, intra-plate volcanic regions </w:t>
      </w:r>
      <w:hyperlink w:history="true" w:anchor="_bookmark17">
        <w:r>
          <w:rPr/>
          <w:t>(Figure</w:t>
        </w:r>
      </w:hyperlink>
      <w:r>
        <w:rPr/>
        <w:t> </w:t>
      </w:r>
      <w:hyperlink w:history="true" w:anchor="_bookmark17">
        <w:r>
          <w:rPr/>
          <w:t>5.1</w:t>
        </w:r>
      </w:hyperlink>
      <w:r>
        <w:rPr/>
        <w:t>1) and in faulted areas or in quiescent volcanic structures. Natural accumulations occur in a number of different types   of sedimentary rocks, principally limestones, dolomites and sandstones and with a variety of seals (mudstone, shale, salt and anhydrite) and a range of trap types, reservoir depths and CO</w:t>
      </w:r>
      <w:r>
        <w:rPr>
          <w:position w:val="-6"/>
          <w:sz w:val="11"/>
        </w:rPr>
        <w:t>2</w:t>
      </w:r>
      <w:r>
        <w:rPr/>
        <w:t>-bearing phases.</w:t>
      </w:r>
    </w:p>
    <w:p>
      <w:pPr>
        <w:pStyle w:val="BodyText"/>
        <w:spacing w:line="240" w:lineRule="exact"/>
        <w:ind w:left="157" w:right="530" w:firstLine="283"/>
        <w:jc w:val="both"/>
      </w:pPr>
      <w:r>
        <w:rPr/>
        <w:t>Carbon dioxide fields in the Colorado Plateau and Rocky Mountains, USA, are comparable to conventional natural gas reservoirs (Allis </w:t>
      </w:r>
      <w:r>
        <w:rPr>
          <w:i/>
        </w:rPr>
        <w:t>et al.</w:t>
      </w:r>
      <w:r>
        <w:rPr/>
        <w:t>, 2001). Studies of three of these fields (McElmo Dome, St. Johns Field and Jackson Dome) have shown that each contains 1600 MtCO</w:t>
      </w:r>
      <w:r>
        <w:rPr>
          <w:position w:val="-6"/>
          <w:sz w:val="11"/>
        </w:rPr>
        <w:t>2</w:t>
      </w:r>
      <w:r>
        <w:rPr/>
        <w:t>, with measurable leakage (Stevens </w:t>
      </w:r>
      <w:r>
        <w:rPr>
          <w:i/>
        </w:rPr>
        <w:t>et al.</w:t>
      </w:r>
      <w:r>
        <w:rPr/>
        <w:t>, 2001a). </w:t>
      </w:r>
      <w:r>
        <w:rPr>
          <w:spacing w:val="-5"/>
        </w:rPr>
        <w:t>Two </w:t>
      </w:r>
      <w:r>
        <w:rPr/>
        <w:t>hundred Mt trapped in the Pisgah Anticline, northeast of the Jackson Dome, is thought to have been generated more than 65 million years ago (Studlick </w:t>
      </w:r>
      <w:r>
        <w:rPr>
          <w:i/>
        </w:rPr>
        <w:t>et al.</w:t>
      </w:r>
      <w:r>
        <w:rPr/>
        <w:t>, 1990), with no evidence of leakage, providing additional</w:t>
      </w:r>
    </w:p>
    <w:p>
      <w:pPr>
        <w:spacing w:after="0" w:line="240" w:lineRule="exact"/>
        <w:jc w:val="both"/>
        <w:sectPr>
          <w:type w:val="continuous"/>
          <w:pgSz w:w="12240" w:h="15840"/>
          <w:pgMar w:top="400" w:bottom="280" w:left="580" w:right="600"/>
          <w:cols w:num="2" w:equalWidth="0">
            <w:col w:w="5242" w:space="85"/>
            <w:col w:w="5733"/>
          </w:cols>
        </w:sectPr>
      </w:pPr>
    </w:p>
    <w:p>
      <w:pPr>
        <w:pStyle w:val="BodyText"/>
        <w:spacing w:before="2"/>
        <w:rPr>
          <w:sz w:val="29"/>
        </w:rPr>
      </w:pPr>
    </w:p>
    <w:p>
      <w:pPr>
        <w:pStyle w:val="BodyText"/>
        <w:ind w:left="187"/>
      </w:pPr>
      <w:r>
        <w:rPr/>
        <w:pict>
          <v:group style="width:513.0500pt;height:305.3pt;mso-position-horizontal-relative:char;mso-position-vertical-relative:line" coordorigin="0,0" coordsize="10261,6106">
            <v:rect style="position:absolute;left:5;top:5;width:10251;height:6096" filled="true" fillcolor="#c6e2f3" stroked="false">
              <v:fill type="solid"/>
            </v:rect>
            <v:shape style="position:absolute;left:5;top:5;width:10251;height:6096" coordorigin="5,5" coordsize="10251,6096" path="m10255,5l16,5,5,5,5,6100,16,6100,10255,6100,10255,5xe" filled="false" stroked="true" strokeweight=".5pt" strokecolor="#000000">
              <v:path arrowok="t"/>
              <v:stroke dashstyle="solid"/>
            </v:shape>
            <v:shape style="position:absolute;left:4377;top:6036;width:7;height:6" coordorigin="4378,6037" coordsize="7,6" path="m4378,6037l4378,6038,4379,6040,4381,6042,4384,6042,4384,6039,4384,6037,4381,6037,4378,6037xm4384,6037l4381,6037,4384,6037,4384,6037xe" filled="true" fillcolor="#fbcb8b" stroked="false">
              <v:path arrowok="t"/>
              <v:fill type="solid"/>
            </v:shape>
            <v:shape style="position:absolute;left:4377;top:6036;width:7;height:6" coordorigin="4378,6037" coordsize="7,6" path="m4381,6037l4384,6037,4384,6039,4384,6042,4381,6042,4379,6040,4378,6038,4378,6037,4381,6037e" filled="false" stroked="true" strokeweight=".5pt" strokecolor="#bcbdbe">
              <v:path arrowok="t"/>
              <v:stroke dashstyle="solid"/>
            </v:shape>
            <v:shape style="position:absolute;left:6;top:23;width:10249;height:5996" type="#_x0000_t75" stroked="false">
              <v:imagedata r:id="rId64" o:title=""/>
            </v:shape>
            <v:shape style="position:absolute;left:4377;top:6036;width:7;height:6" coordorigin="4378,6037" coordsize="7,6" path="m4378,6037l4378,6038,4379,6040,4381,6042,4384,6042,4384,6039,4384,6037,4381,6037,4378,6037xm4384,6037l4381,6037,4384,6037,4384,6037xe" filled="true" fillcolor="#bcc9a6" stroked="false">
              <v:path arrowok="t"/>
              <v:fill type="solid"/>
            </v:shape>
          </v:group>
        </w:pict>
      </w:r>
      <w:r>
        <w:rPr/>
      </w:r>
    </w:p>
    <w:p>
      <w:pPr>
        <w:spacing w:line="220" w:lineRule="exact" w:before="69"/>
        <w:ind w:left="157" w:right="529" w:firstLine="0"/>
        <w:jc w:val="both"/>
        <w:rPr>
          <w:sz w:val="18"/>
        </w:rPr>
      </w:pPr>
      <w:r>
        <w:rPr>
          <w:b/>
          <w:sz w:val="18"/>
        </w:rPr>
        <w:t>Figure </w:t>
      </w:r>
      <w:r>
        <w:rPr>
          <w:b/>
          <w:spacing w:val="-3"/>
          <w:sz w:val="18"/>
        </w:rPr>
        <w:t>5.11  </w:t>
      </w:r>
      <w:r>
        <w:rPr>
          <w:sz w:val="18"/>
        </w:rPr>
        <w:t>Examples of natural accumulations of CO</w:t>
      </w:r>
      <w:r>
        <w:rPr>
          <w:position w:val="-5"/>
          <w:sz w:val="10"/>
        </w:rPr>
        <w:t>2  </w:t>
      </w:r>
      <w:r>
        <w:rPr>
          <w:sz w:val="18"/>
        </w:rPr>
        <w:t>around the world. Regions containing many occurrences are enclosed by a dashed   line. Natural accumulations can be useful as analogues for certain aspects of storage and for assessing the environmental impacts of leakage. Data quality is variable and the apparent absence of accumulations in South America, southern Africa and central and northern Asia is probably more a reflection of lack of data than a lack of CO</w:t>
      </w:r>
      <w:r>
        <w:rPr>
          <w:position w:val="-5"/>
          <w:sz w:val="10"/>
        </w:rPr>
        <w:t>2</w:t>
      </w:r>
      <w:r>
        <w:rPr>
          <w:spacing w:val="19"/>
          <w:position w:val="-5"/>
          <w:sz w:val="10"/>
        </w:rPr>
        <w:t> </w:t>
      </w:r>
      <w:r>
        <w:rPr>
          <w:sz w:val="18"/>
        </w:rPr>
        <w:t>accumulations.</w:t>
      </w:r>
    </w:p>
    <w:p>
      <w:pPr>
        <w:spacing w:after="0" w:line="220" w:lineRule="exact"/>
        <w:jc w:val="both"/>
        <w:rPr>
          <w:sz w:val="18"/>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553"/>
        <w:jc w:val="both"/>
      </w:pPr>
      <w:bookmarkStart w:name="5.2.4 Industrial analogues for CO2 stora" w:id="33"/>
      <w:bookmarkEnd w:id="33"/>
      <w:r>
        <w:rPr/>
      </w:r>
      <w:r>
        <w:rPr/>
        <w:t>evidence of long-term trapping of CO</w:t>
      </w:r>
      <w:r>
        <w:rPr>
          <w:position w:val="-6"/>
          <w:sz w:val="11"/>
        </w:rPr>
        <w:t>2</w:t>
      </w:r>
      <w:r>
        <w:rPr/>
        <w:t>. Extensive studies have been undertaken on small-scale CO</w:t>
      </w:r>
      <w:r>
        <w:rPr>
          <w:position w:val="-6"/>
          <w:sz w:val="11"/>
        </w:rPr>
        <w:t>2 </w:t>
      </w:r>
      <w:r>
        <w:rPr/>
        <w:t>accumulations in the Otway Basin in Australia (Watson </w:t>
      </w:r>
      <w:r>
        <w:rPr>
          <w:i/>
        </w:rPr>
        <w:t>et al.</w:t>
      </w:r>
      <w:r>
        <w:rPr/>
        <w:t>, 2004) and in France, Germany, Hungary and Greece (Pearce </w:t>
      </w:r>
      <w:r>
        <w:rPr>
          <w:i/>
        </w:rPr>
        <w:t>et al.</w:t>
      </w:r>
      <w:r>
        <w:rPr/>
        <w:t>, 2003).</w:t>
      </w:r>
    </w:p>
    <w:p>
      <w:pPr>
        <w:pStyle w:val="BodyText"/>
        <w:spacing w:line="249" w:lineRule="auto" w:before="5"/>
        <w:ind w:left="553" w:firstLine="283"/>
        <w:jc w:val="both"/>
      </w:pPr>
      <w:r>
        <w:rPr/>
        <w:pict>
          <v:shape style="position:absolute;margin-left:200.832001pt;margin-top:44.543438pt;width:2.95pt;height:5.85pt;mso-position-horizontal-relative:page;mso-position-vertical-relative:paragraph;z-index:25169305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pict>
          <v:shape style="position:absolute;margin-left:286.327698pt;margin-top:44.543438pt;width:2.95pt;height:5.85pt;mso-position-horizontal-relative:page;mso-position-vertical-relative:paragraph;z-index:25169408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Conversely,  some  systems,  typically   spas   and  volcanic systems, are leaky and not useful analogues for geological storage. The Kileaua </w:t>
      </w:r>
      <w:r>
        <w:rPr>
          <w:spacing w:val="-4"/>
        </w:rPr>
        <w:t>Volcano </w:t>
      </w:r>
      <w:r>
        <w:rPr/>
        <w:t>emits on</w:t>
      </w:r>
      <w:r>
        <w:rPr>
          <w:spacing w:val="38"/>
        </w:rPr>
        <w:t> </w:t>
      </w:r>
      <w:r>
        <w:rPr/>
        <w:t>average</w:t>
      </w:r>
    </w:p>
    <w:p>
      <w:pPr>
        <w:pStyle w:val="BodyText"/>
        <w:spacing w:line="240" w:lineRule="exact" w:before="58"/>
        <w:ind w:left="242" w:right="135"/>
        <w:jc w:val="both"/>
      </w:pPr>
      <w:r>
        <w:rPr/>
        <w:br w:type="column"/>
      </w:r>
      <w:r>
        <w:rPr/>
        <w:t>Russia,</w:t>
      </w:r>
      <w:r>
        <w:rPr>
          <w:spacing w:val="-19"/>
        </w:rPr>
        <w:t> </w:t>
      </w:r>
      <w:r>
        <w:rPr/>
        <w:t>the</w:t>
      </w:r>
      <w:r>
        <w:rPr>
          <w:spacing w:val="-18"/>
        </w:rPr>
        <w:t> </w:t>
      </w:r>
      <w:r>
        <w:rPr/>
        <w:t>Paradox</w:t>
      </w:r>
      <w:r>
        <w:rPr>
          <w:spacing w:val="-18"/>
        </w:rPr>
        <w:t> </w:t>
      </w:r>
      <w:r>
        <w:rPr/>
        <w:t>Basin</w:t>
      </w:r>
      <w:r>
        <w:rPr>
          <w:spacing w:val="-19"/>
        </w:rPr>
        <w:t> </w:t>
      </w:r>
      <w:r>
        <w:rPr/>
        <w:t>(USA)</w:t>
      </w:r>
      <w:r>
        <w:rPr>
          <w:spacing w:val="-17"/>
        </w:rPr>
        <w:t> </w:t>
      </w:r>
      <w:r>
        <w:rPr/>
        <w:t>and</w:t>
      </w:r>
      <w:r>
        <w:rPr>
          <w:spacing w:val="-18"/>
        </w:rPr>
        <w:t> </w:t>
      </w:r>
      <w:r>
        <w:rPr/>
        <w:t>the</w:t>
      </w:r>
      <w:r>
        <w:rPr>
          <w:spacing w:val="-29"/>
        </w:rPr>
        <w:t> </w:t>
      </w:r>
      <w:r>
        <w:rPr/>
        <w:t>Alberta</w:t>
      </w:r>
      <w:r>
        <w:rPr>
          <w:spacing w:val="-18"/>
        </w:rPr>
        <w:t> </w:t>
      </w:r>
      <w:r>
        <w:rPr/>
        <w:t>Basin</w:t>
      </w:r>
      <w:r>
        <w:rPr>
          <w:spacing w:val="-19"/>
        </w:rPr>
        <w:t> </w:t>
      </w:r>
      <w:r>
        <w:rPr/>
        <w:t>(western Canada). In the North Sea and Barents Sea, a few fields have up to 10% CO</w:t>
      </w:r>
      <w:r>
        <w:rPr>
          <w:position w:val="-6"/>
          <w:sz w:val="11"/>
        </w:rPr>
        <w:t>2</w:t>
      </w:r>
      <w:r>
        <w:rPr/>
        <w:t>, including Sleipner and Snohvit </w:t>
      </w:r>
      <w:hyperlink w:history="true" w:anchor="_bookmark18">
        <w:r>
          <w:rPr/>
          <w:t>(Figure 5.1</w:t>
        </w:r>
      </w:hyperlink>
      <w:r>
        <w:rPr/>
        <w:t>1). The</w:t>
      </w:r>
      <w:r>
        <w:rPr>
          <w:spacing w:val="-6"/>
        </w:rPr>
        <w:t> </w:t>
      </w:r>
      <w:r>
        <w:rPr/>
        <w:t>La</w:t>
      </w:r>
      <w:r>
        <w:rPr>
          <w:spacing w:val="-5"/>
        </w:rPr>
        <w:t> </w:t>
      </w:r>
      <w:r>
        <w:rPr/>
        <w:t>Barge</w:t>
      </w:r>
      <w:r>
        <w:rPr>
          <w:spacing w:val="-5"/>
        </w:rPr>
        <w:t> </w:t>
      </w:r>
      <w:r>
        <w:rPr/>
        <w:t>natural</w:t>
      </w:r>
      <w:r>
        <w:rPr>
          <w:spacing w:val="-5"/>
        </w:rPr>
        <w:t> </w:t>
      </w:r>
      <w:r>
        <w:rPr/>
        <w:t>gas</w:t>
      </w:r>
      <w:r>
        <w:rPr>
          <w:spacing w:val="-6"/>
        </w:rPr>
        <w:t> </w:t>
      </w:r>
      <w:r>
        <w:rPr/>
        <w:t>field</w:t>
      </w:r>
      <w:r>
        <w:rPr>
          <w:spacing w:val="-6"/>
        </w:rPr>
        <w:t> </w:t>
      </w:r>
      <w:r>
        <w:rPr/>
        <w:t>in</w:t>
      </w:r>
      <w:r>
        <w:rPr>
          <w:spacing w:val="-9"/>
        </w:rPr>
        <w:t> </w:t>
      </w:r>
      <w:r>
        <w:rPr/>
        <w:t>Wyoming,</w:t>
      </w:r>
      <w:r>
        <w:rPr>
          <w:spacing w:val="-5"/>
        </w:rPr>
        <w:t> </w:t>
      </w:r>
      <w:r>
        <w:rPr/>
        <w:t>USA,</w:t>
      </w:r>
      <w:r>
        <w:rPr>
          <w:spacing w:val="-5"/>
        </w:rPr>
        <w:t> </w:t>
      </w:r>
      <w:r>
        <w:rPr/>
        <w:t>has</w:t>
      </w:r>
      <w:r>
        <w:rPr>
          <w:spacing w:val="-5"/>
        </w:rPr>
        <w:t> </w:t>
      </w:r>
      <w:r>
        <w:rPr/>
        <w:t>3300</w:t>
      </w:r>
      <w:r>
        <w:rPr>
          <w:spacing w:val="-5"/>
        </w:rPr>
        <w:t> </w:t>
      </w:r>
      <w:r>
        <w:rPr/>
        <w:t>Mt of gas reserves, with an average of 65% CO</w:t>
      </w:r>
      <w:r>
        <w:rPr>
          <w:position w:val="-6"/>
          <w:sz w:val="11"/>
        </w:rPr>
        <w:t>2 </w:t>
      </w:r>
      <w:r>
        <w:rPr/>
        <w:t>by volume. In the Appennine region of </w:t>
      </w:r>
      <w:r>
        <w:rPr>
          <w:spacing w:val="-3"/>
        </w:rPr>
        <w:t>Italy, </w:t>
      </w:r>
      <w:r>
        <w:rPr/>
        <w:t>many deep wells (1–3 km depth) have</w:t>
      </w:r>
      <w:r>
        <w:rPr>
          <w:spacing w:val="-18"/>
        </w:rPr>
        <w:t> </w:t>
      </w:r>
      <w:r>
        <w:rPr/>
        <w:t>trapped</w:t>
      </w:r>
      <w:r>
        <w:rPr>
          <w:spacing w:val="-17"/>
        </w:rPr>
        <w:t> </w:t>
      </w:r>
      <w:r>
        <w:rPr/>
        <w:t>gas</w:t>
      </w:r>
      <w:r>
        <w:rPr>
          <w:spacing w:val="-17"/>
        </w:rPr>
        <w:t> </w:t>
      </w:r>
      <w:r>
        <w:rPr/>
        <w:t>containing</w:t>
      </w:r>
      <w:r>
        <w:rPr>
          <w:spacing w:val="-18"/>
        </w:rPr>
        <w:t> </w:t>
      </w:r>
      <w:r>
        <w:rPr/>
        <w:t>90%</w:t>
      </w:r>
      <w:r>
        <w:rPr>
          <w:spacing w:val="-17"/>
        </w:rPr>
        <w:t> </w:t>
      </w:r>
      <w:r>
        <w:rPr/>
        <w:t>or</w:t>
      </w:r>
      <w:r>
        <w:rPr>
          <w:spacing w:val="-17"/>
        </w:rPr>
        <w:t> </w:t>
      </w:r>
      <w:r>
        <w:rPr/>
        <w:t>more</w:t>
      </w:r>
      <w:r>
        <w:rPr>
          <w:spacing w:val="-17"/>
        </w:rPr>
        <w:t> </w:t>
      </w:r>
      <w:r>
        <w:rPr/>
        <w:t>CO</w:t>
      </w:r>
      <w:r>
        <w:rPr>
          <w:position w:val="-6"/>
          <w:sz w:val="11"/>
        </w:rPr>
        <w:t>2</w:t>
      </w:r>
      <w:r>
        <w:rPr>
          <w:spacing w:val="5"/>
          <w:position w:val="-6"/>
          <w:sz w:val="11"/>
        </w:rPr>
        <w:t> </w:t>
      </w:r>
      <w:r>
        <w:rPr/>
        <w:t>by</w:t>
      </w:r>
      <w:r>
        <w:rPr>
          <w:spacing w:val="-17"/>
        </w:rPr>
        <w:t> </w:t>
      </w:r>
      <w:r>
        <w:rPr/>
        <w:t>volume.</w:t>
      </w:r>
      <w:r>
        <w:rPr>
          <w:spacing w:val="-17"/>
        </w:rPr>
        <w:t> </w:t>
      </w:r>
      <w:r>
        <w:rPr/>
        <w:t>Major</w:t>
      </w:r>
    </w:p>
    <w:p>
      <w:pPr>
        <w:spacing w:after="0" w:line="240" w:lineRule="exact"/>
        <w:jc w:val="both"/>
        <w:sectPr>
          <w:type w:val="continuous"/>
          <w:pgSz w:w="12240" w:h="15840"/>
          <w:pgMar w:top="400" w:bottom="280" w:left="580" w:right="600"/>
          <w:cols w:num="2" w:equalWidth="0">
            <w:col w:w="5598" w:space="40"/>
            <w:col w:w="5422"/>
          </w:cols>
        </w:sectPr>
      </w:pPr>
    </w:p>
    <w:p>
      <w:pPr>
        <w:pStyle w:val="BodyText"/>
        <w:spacing w:line="277" w:lineRule="exact" w:before="3"/>
        <w:ind w:left="553"/>
        <w:rPr>
          <w:sz w:val="11"/>
        </w:rPr>
      </w:pPr>
      <w:r>
        <w:rPr/>
        <w:t>4 MtCO</w:t>
      </w:r>
      <w:r>
        <w:rPr>
          <w:position w:val="-6"/>
          <w:sz w:val="11"/>
        </w:rPr>
        <w:t>2</w:t>
      </w:r>
    </w:p>
    <w:p>
      <w:pPr>
        <w:pStyle w:val="BodyText"/>
        <w:spacing w:before="3"/>
        <w:ind w:left="25"/>
      </w:pPr>
      <w:r>
        <w:rPr/>
        <w:br w:type="column"/>
      </w:r>
      <w:r>
        <w:rPr/>
        <w:t>yr</w:t>
      </w:r>
      <w:r>
        <w:rPr>
          <w:position w:val="7"/>
          <w:sz w:val="11"/>
        </w:rPr>
        <w:t>-1</w:t>
      </w:r>
      <w:r>
        <w:rPr/>
        <w:t>. More than 1200 tCO</w:t>
      </w:r>
    </w:p>
    <w:p>
      <w:pPr>
        <w:spacing w:before="3"/>
        <w:ind w:left="83" w:right="0" w:firstLine="0"/>
        <w:jc w:val="left"/>
        <w:rPr>
          <w:sz w:val="20"/>
        </w:rPr>
      </w:pPr>
      <w:r>
        <w:rPr/>
        <w:br w:type="column"/>
      </w:r>
      <w:r>
        <w:rPr>
          <w:sz w:val="20"/>
        </w:rPr>
        <w:t>day</w:t>
      </w:r>
      <w:r>
        <w:rPr>
          <w:position w:val="7"/>
          <w:sz w:val="11"/>
        </w:rPr>
        <w:t>–1 </w:t>
      </w:r>
      <w:r>
        <w:rPr>
          <w:sz w:val="20"/>
        </w:rPr>
        <w:t>(438,000 tCO</w:t>
      </w:r>
    </w:p>
    <w:p>
      <w:pPr>
        <w:spacing w:before="3"/>
        <w:ind w:left="83" w:right="0" w:firstLine="0"/>
        <w:jc w:val="left"/>
        <w:rPr>
          <w:sz w:val="20"/>
        </w:rPr>
      </w:pPr>
      <w:r>
        <w:rPr/>
        <w:br w:type="column"/>
      </w:r>
      <w:r>
        <w:rPr>
          <w:sz w:val="20"/>
        </w:rPr>
        <w:t>yr</w:t>
      </w:r>
      <w:r>
        <w:rPr>
          <w:position w:val="7"/>
          <w:sz w:val="11"/>
        </w:rPr>
        <w:t>-1</w:t>
      </w:r>
      <w:r>
        <w:rPr>
          <w:sz w:val="20"/>
        </w:rPr>
        <w:t>)</w:t>
      </w:r>
    </w:p>
    <w:p>
      <w:pPr>
        <w:spacing w:line="277" w:lineRule="exact" w:before="3"/>
        <w:ind w:left="243" w:right="0" w:firstLine="0"/>
        <w:jc w:val="left"/>
        <w:rPr>
          <w:sz w:val="11"/>
        </w:rPr>
      </w:pPr>
      <w:r>
        <w:rPr/>
        <w:br w:type="column"/>
      </w:r>
      <w:r>
        <w:rPr>
          <w:sz w:val="20"/>
        </w:rPr>
        <w:t>CO</w:t>
      </w:r>
      <w:r>
        <w:rPr>
          <w:position w:val="-6"/>
          <w:sz w:val="11"/>
        </w:rPr>
        <w:t>2</w:t>
      </w:r>
    </w:p>
    <w:p>
      <w:pPr>
        <w:pStyle w:val="BodyText"/>
        <w:spacing w:before="3"/>
        <w:ind w:left="45"/>
      </w:pPr>
      <w:r>
        <w:rPr/>
        <w:br w:type="column"/>
      </w:r>
      <w:r>
        <w:rPr/>
        <w:t>accumulations around the South China Sea include the</w:t>
      </w:r>
    </w:p>
    <w:p>
      <w:pPr>
        <w:spacing w:after="0"/>
        <w:sectPr>
          <w:type w:val="continuous"/>
          <w:pgSz w:w="12240" w:h="15840"/>
          <w:pgMar w:top="400" w:bottom="280" w:left="580" w:right="600"/>
          <w:cols w:num="6" w:equalWidth="0">
            <w:col w:w="1289" w:space="40"/>
            <w:col w:w="2108" w:space="39"/>
            <w:col w:w="1670" w:space="40"/>
            <w:col w:w="411" w:space="40"/>
            <w:col w:w="580" w:space="39"/>
            <w:col w:w="4804"/>
          </w:cols>
        </w:sectPr>
      </w:pPr>
    </w:p>
    <w:p>
      <w:pPr>
        <w:pStyle w:val="BodyText"/>
        <w:spacing w:line="193" w:lineRule="exact"/>
        <w:ind w:left="553"/>
      </w:pPr>
      <w:r>
        <w:rPr/>
        <w:t>leaked</w:t>
      </w:r>
      <w:r>
        <w:rPr>
          <w:spacing w:val="11"/>
        </w:rPr>
        <w:t> </w:t>
      </w:r>
      <w:r>
        <w:rPr/>
        <w:t>into</w:t>
      </w:r>
      <w:r>
        <w:rPr>
          <w:spacing w:val="11"/>
        </w:rPr>
        <w:t> </w:t>
      </w:r>
      <w:r>
        <w:rPr/>
        <w:t>the</w:t>
      </w:r>
      <w:r>
        <w:rPr>
          <w:spacing w:val="11"/>
        </w:rPr>
        <w:t> </w:t>
      </w:r>
      <w:r>
        <w:rPr/>
        <w:t>Mammoth</w:t>
      </w:r>
      <w:r>
        <w:rPr>
          <w:spacing w:val="11"/>
        </w:rPr>
        <w:t> </w:t>
      </w:r>
      <w:r>
        <w:rPr/>
        <w:t>Mountain</w:t>
      </w:r>
      <w:r>
        <w:rPr>
          <w:spacing w:val="11"/>
        </w:rPr>
        <w:t> </w:t>
      </w:r>
      <w:r>
        <w:rPr/>
        <w:t>area,</w:t>
      </w:r>
      <w:r>
        <w:rPr>
          <w:spacing w:val="11"/>
        </w:rPr>
        <w:t> </w:t>
      </w:r>
      <w:r>
        <w:rPr/>
        <w:t>California,</w:t>
      </w:r>
      <w:r>
        <w:rPr>
          <w:spacing w:val="12"/>
        </w:rPr>
        <w:t> </w:t>
      </w:r>
      <w:r>
        <w:rPr/>
        <w:t>between</w:t>
      </w:r>
    </w:p>
    <w:p>
      <w:pPr>
        <w:pStyle w:val="BodyText"/>
        <w:spacing w:before="10"/>
        <w:ind w:left="553"/>
      </w:pPr>
      <w:r>
        <w:rPr/>
        <w:t>1990</w:t>
      </w:r>
      <w:r>
        <w:rPr>
          <w:spacing w:val="-14"/>
        </w:rPr>
        <w:t> </w:t>
      </w:r>
      <w:r>
        <w:rPr/>
        <w:t>and</w:t>
      </w:r>
      <w:r>
        <w:rPr>
          <w:spacing w:val="-14"/>
        </w:rPr>
        <w:t> </w:t>
      </w:r>
      <w:r>
        <w:rPr/>
        <w:t>1995,</w:t>
      </w:r>
      <w:r>
        <w:rPr>
          <w:spacing w:val="-14"/>
        </w:rPr>
        <w:t> </w:t>
      </w:r>
      <w:r>
        <w:rPr/>
        <w:t>with</w:t>
      </w:r>
      <w:r>
        <w:rPr>
          <w:spacing w:val="-14"/>
        </w:rPr>
        <w:t> </w:t>
      </w:r>
      <w:r>
        <w:rPr/>
        <w:t>flux</w:t>
      </w:r>
      <w:r>
        <w:rPr>
          <w:spacing w:val="-14"/>
        </w:rPr>
        <w:t> </w:t>
      </w:r>
      <w:r>
        <w:rPr/>
        <w:t>variations</w:t>
      </w:r>
      <w:r>
        <w:rPr>
          <w:spacing w:val="-14"/>
        </w:rPr>
        <w:t> </w:t>
      </w:r>
      <w:r>
        <w:rPr/>
        <w:t>linked</w:t>
      </w:r>
      <w:r>
        <w:rPr>
          <w:spacing w:val="-14"/>
        </w:rPr>
        <w:t> </w:t>
      </w:r>
      <w:r>
        <w:rPr/>
        <w:t>to</w:t>
      </w:r>
      <w:r>
        <w:rPr>
          <w:spacing w:val="-14"/>
        </w:rPr>
        <w:t> </w:t>
      </w:r>
      <w:r>
        <w:rPr/>
        <w:t>seismicity</w:t>
      </w:r>
      <w:r>
        <w:rPr>
          <w:spacing w:val="-13"/>
        </w:rPr>
        <w:t> </w:t>
      </w:r>
      <w:r>
        <w:rPr/>
        <w:t>(USGS,</w:t>
      </w:r>
    </w:p>
    <w:p>
      <w:pPr>
        <w:pStyle w:val="BodyText"/>
        <w:spacing w:line="187" w:lineRule="auto"/>
        <w:ind w:left="243"/>
      </w:pPr>
      <w:r>
        <w:rPr/>
        <w:br w:type="column"/>
      </w:r>
      <w:r>
        <w:rPr>
          <w:spacing w:val="-3"/>
        </w:rPr>
        <w:t>world’s </w:t>
      </w:r>
      <w:r>
        <w:rPr/>
        <w:t>largest known CO</w:t>
      </w:r>
      <w:r>
        <w:rPr>
          <w:position w:val="-6"/>
          <w:sz w:val="11"/>
        </w:rPr>
        <w:t>2  </w:t>
      </w:r>
      <w:r>
        <w:rPr/>
        <w:t>accumulation, the Natuna D</w:t>
      </w:r>
      <w:r>
        <w:rPr>
          <w:spacing w:val="36"/>
        </w:rPr>
        <w:t> </w:t>
      </w:r>
      <w:r>
        <w:rPr/>
        <w:t>Alpha</w:t>
      </w:r>
    </w:p>
    <w:p>
      <w:pPr>
        <w:pStyle w:val="BodyText"/>
        <w:spacing w:line="213" w:lineRule="auto"/>
        <w:ind w:left="243"/>
      </w:pPr>
      <w:r>
        <w:rPr/>
        <w:t>field in Indonesia, with more than 9100 MtCO</w:t>
      </w:r>
      <w:r>
        <w:rPr>
          <w:position w:val="-6"/>
          <w:sz w:val="11"/>
        </w:rPr>
        <w:t>2 </w:t>
      </w:r>
      <w:r>
        <w:rPr/>
        <w:t>(720 Mt</w:t>
      </w:r>
      <w:r>
        <w:rPr>
          <w:spacing w:val="-37"/>
        </w:rPr>
        <w:t> </w:t>
      </w:r>
      <w:r>
        <w:rPr/>
        <w:t>natural</w:t>
      </w:r>
    </w:p>
    <w:p>
      <w:pPr>
        <w:spacing w:after="0" w:line="213" w:lineRule="auto"/>
        <w:sectPr>
          <w:type w:val="continuous"/>
          <w:pgSz w:w="12240" w:h="15840"/>
          <w:pgMar w:top="400" w:bottom="280" w:left="580" w:right="600"/>
          <w:cols w:num="2" w:equalWidth="0">
            <w:col w:w="5597" w:space="40"/>
            <w:col w:w="5423"/>
          </w:cols>
        </w:sectPr>
      </w:pPr>
    </w:p>
    <w:p>
      <w:pPr>
        <w:pStyle w:val="BodyText"/>
        <w:spacing w:line="184" w:lineRule="auto"/>
        <w:ind w:left="553"/>
        <w:rPr>
          <w:sz w:val="11"/>
        </w:rPr>
      </w:pPr>
      <w:r>
        <w:rPr/>
        <w:t>2001b). Average flux densities of 80–160 tCO</w:t>
      </w:r>
      <w:r>
        <w:rPr>
          <w:position w:val="-6"/>
          <w:sz w:val="11"/>
        </w:rPr>
        <w:t>2</w:t>
      </w:r>
    </w:p>
    <w:p>
      <w:pPr>
        <w:spacing w:line="188" w:lineRule="exact" w:before="0"/>
        <w:ind w:left="48" w:right="0" w:firstLine="0"/>
        <w:jc w:val="left"/>
        <w:rPr>
          <w:sz w:val="20"/>
        </w:rPr>
      </w:pPr>
      <w:r>
        <w:rPr/>
        <w:br w:type="column"/>
      </w:r>
      <w:r>
        <w:rPr>
          <w:sz w:val="20"/>
        </w:rPr>
        <w:t>m</w:t>
      </w:r>
      <w:r>
        <w:rPr>
          <w:position w:val="7"/>
          <w:sz w:val="11"/>
        </w:rPr>
        <w:t>–2 </w:t>
      </w:r>
      <w:r>
        <w:rPr>
          <w:sz w:val="20"/>
        </w:rPr>
        <w:t>yr</w:t>
      </w:r>
      <w:r>
        <w:rPr>
          <w:position w:val="7"/>
          <w:sz w:val="11"/>
        </w:rPr>
        <w:t>–1 </w:t>
      </w:r>
      <w:r>
        <w:rPr>
          <w:sz w:val="20"/>
        </w:rPr>
        <w:t>are</w:t>
      </w:r>
    </w:p>
    <w:p>
      <w:pPr>
        <w:pStyle w:val="BodyText"/>
        <w:spacing w:line="184" w:lineRule="auto"/>
        <w:ind w:left="243"/>
        <w:rPr>
          <w:sz w:val="11"/>
        </w:rPr>
      </w:pPr>
      <w:r>
        <w:rPr/>
        <w:br w:type="column"/>
      </w:r>
      <w:r>
        <w:rPr/>
        <w:t>gas). Concentrations of CO</w:t>
      </w:r>
      <w:r>
        <w:rPr>
          <w:position w:val="-6"/>
          <w:sz w:val="11"/>
        </w:rPr>
        <w:t>2</w:t>
      </w:r>
    </w:p>
    <w:p>
      <w:pPr>
        <w:pStyle w:val="BodyText"/>
        <w:spacing w:line="188" w:lineRule="exact"/>
        <w:ind w:left="42"/>
      </w:pPr>
      <w:r>
        <w:rPr/>
        <w:br w:type="column"/>
      </w:r>
      <w:r>
        <w:rPr/>
        <w:t>can be highly variable between</w:t>
      </w:r>
    </w:p>
    <w:p>
      <w:pPr>
        <w:spacing w:after="0" w:line="188" w:lineRule="exact"/>
        <w:sectPr>
          <w:type w:val="continuous"/>
          <w:pgSz w:w="12240" w:h="15840"/>
          <w:pgMar w:top="400" w:bottom="280" w:left="580" w:right="600"/>
          <w:cols w:num="4" w:equalWidth="0">
            <w:col w:w="4533" w:space="40"/>
            <w:col w:w="1025" w:space="39"/>
            <w:col w:w="2588" w:space="39"/>
            <w:col w:w="2796"/>
          </w:cols>
        </w:sectPr>
      </w:pPr>
    </w:p>
    <w:p>
      <w:pPr>
        <w:pStyle w:val="BodyText"/>
        <w:spacing w:line="198" w:lineRule="exact"/>
        <w:ind w:left="553"/>
        <w:jc w:val="both"/>
      </w:pPr>
      <w:r>
        <w:rPr/>
        <w:t>observed</w:t>
      </w:r>
      <w:r>
        <w:rPr>
          <w:spacing w:val="30"/>
        </w:rPr>
        <w:t> </w:t>
      </w:r>
      <w:r>
        <w:rPr/>
        <w:t>near</w:t>
      </w:r>
      <w:r>
        <w:rPr>
          <w:spacing w:val="31"/>
        </w:rPr>
        <w:t> </w:t>
      </w:r>
      <w:r>
        <w:rPr/>
        <w:t>Matraderecske,</w:t>
      </w:r>
      <w:r>
        <w:rPr>
          <w:spacing w:val="30"/>
        </w:rPr>
        <w:t> </w:t>
      </w:r>
      <w:r>
        <w:rPr>
          <w:spacing w:val="-3"/>
        </w:rPr>
        <w:t>Hungary,</w:t>
      </w:r>
      <w:r>
        <w:rPr>
          <w:spacing w:val="30"/>
        </w:rPr>
        <w:t> </w:t>
      </w:r>
      <w:r>
        <w:rPr/>
        <w:t>but</w:t>
      </w:r>
      <w:r>
        <w:rPr>
          <w:spacing w:val="31"/>
        </w:rPr>
        <w:t> </w:t>
      </w:r>
      <w:r>
        <w:rPr/>
        <w:t>along</w:t>
      </w:r>
      <w:r>
        <w:rPr>
          <w:spacing w:val="31"/>
        </w:rPr>
        <w:t> </w:t>
      </w:r>
      <w:r>
        <w:rPr/>
        <w:t>faults,</w:t>
      </w:r>
      <w:r>
        <w:rPr>
          <w:spacing w:val="31"/>
        </w:rPr>
        <w:t> </w:t>
      </w:r>
      <w:r>
        <w:rPr/>
        <w:t>the</w:t>
      </w:r>
    </w:p>
    <w:p>
      <w:pPr>
        <w:pStyle w:val="BodyText"/>
        <w:spacing w:line="225" w:lineRule="auto" w:before="21"/>
        <w:ind w:left="553"/>
        <w:jc w:val="both"/>
        <w:rPr>
          <w:sz w:val="11"/>
        </w:rPr>
      </w:pPr>
      <w:r>
        <w:rPr/>
        <w:t>flux density can reach approximately 6600 t m</w:t>
      </w:r>
      <w:r>
        <w:rPr>
          <w:position w:val="7"/>
          <w:sz w:val="11"/>
        </w:rPr>
        <w:t>–2 </w:t>
      </w:r>
      <w:r>
        <w:rPr/>
        <w:t>yr</w:t>
      </w:r>
      <w:r>
        <w:rPr>
          <w:position w:val="7"/>
          <w:sz w:val="11"/>
        </w:rPr>
        <w:t>–1 </w:t>
      </w:r>
      <w:r>
        <w:rPr/>
        <w:t>(Pearce </w:t>
      </w:r>
      <w:r>
        <w:rPr>
          <w:i/>
          <w:spacing w:val="-6"/>
        </w:rPr>
        <w:t>et </w:t>
      </w:r>
      <w:r>
        <w:rPr>
          <w:i/>
        </w:rPr>
        <w:t>al.</w:t>
      </w:r>
      <w:r>
        <w:rPr/>
        <w:t>, 2003). These high seepage rates result from release of CO</w:t>
      </w:r>
      <w:r>
        <w:rPr>
          <w:position w:val="-6"/>
          <w:sz w:val="11"/>
        </w:rPr>
        <w:t>2 </w:t>
      </w:r>
      <w:r>
        <w:rPr/>
        <w:t>from faulted volcanic systems, whereas a normal baseline</w:t>
      </w:r>
      <w:r>
        <w:rPr>
          <w:spacing w:val="23"/>
        </w:rPr>
        <w:t> </w:t>
      </w:r>
      <w:r>
        <w:rPr/>
        <w:t>CO</w:t>
      </w:r>
      <w:r>
        <w:rPr>
          <w:position w:val="-6"/>
          <w:sz w:val="11"/>
        </w:rPr>
        <w:t>2</w:t>
      </w:r>
    </w:p>
    <w:p>
      <w:pPr>
        <w:pStyle w:val="BodyText"/>
        <w:spacing w:line="198" w:lineRule="exact"/>
        <w:ind w:left="243"/>
        <w:jc w:val="both"/>
      </w:pPr>
      <w:r>
        <w:rPr/>
        <w:br w:type="column"/>
      </w:r>
      <w:r>
        <w:rPr/>
        <w:t>different fields in a basin and between different reservoir</w:t>
      </w:r>
      <w:r>
        <w:rPr>
          <w:spacing w:val="-24"/>
        </w:rPr>
        <w:t> </w:t>
      </w:r>
      <w:r>
        <w:rPr/>
        <w:t>zones</w:t>
      </w:r>
    </w:p>
    <w:p>
      <w:pPr>
        <w:pStyle w:val="BodyText"/>
        <w:spacing w:line="249" w:lineRule="auto" w:before="10"/>
        <w:ind w:left="243" w:right="133"/>
        <w:jc w:val="both"/>
      </w:pPr>
      <w:r>
        <w:rPr/>
        <w:t>within the same field, reflecting complex generation,</w:t>
      </w:r>
      <w:r>
        <w:rPr>
          <w:spacing w:val="-33"/>
        </w:rPr>
        <w:t> </w:t>
      </w:r>
      <w:r>
        <w:rPr/>
        <w:t>migration and mixing processes. In Australia’s Otway Basin, the timing of CO</w:t>
      </w:r>
      <w:r>
        <w:rPr>
          <w:position w:val="-6"/>
          <w:sz w:val="11"/>
        </w:rPr>
        <w:t>2  </w:t>
      </w:r>
      <w:r>
        <w:rPr/>
        <w:t>input and trapping ranges from 5000 years to a </w:t>
      </w:r>
      <w:r>
        <w:rPr>
          <w:spacing w:val="1"/>
        </w:rPr>
        <w:t> </w:t>
      </w:r>
      <w:r>
        <w:rPr/>
        <w:t>million</w:t>
      </w:r>
    </w:p>
    <w:p>
      <w:pPr>
        <w:spacing w:after="0" w:line="249" w:lineRule="auto"/>
        <w:jc w:val="both"/>
        <w:sectPr>
          <w:type w:val="continuous"/>
          <w:pgSz w:w="12240" w:h="15840"/>
          <w:pgMar w:top="400" w:bottom="280" w:left="580" w:right="600"/>
          <w:cols w:num="2" w:equalWidth="0">
            <w:col w:w="5597" w:space="40"/>
            <w:col w:w="5423"/>
          </w:cols>
        </w:sectPr>
      </w:pPr>
    </w:p>
    <w:p>
      <w:pPr>
        <w:pStyle w:val="BodyText"/>
        <w:spacing w:line="177" w:lineRule="auto"/>
        <w:ind w:left="553"/>
        <w:rPr>
          <w:sz w:val="11"/>
        </w:rPr>
      </w:pPr>
      <w:r>
        <w:rPr/>
        <w:t>flux is of the order of 10–100 </w:t>
      </w:r>
      <w:r>
        <w:rPr>
          <w:spacing w:val="-4"/>
        </w:rPr>
        <w:t>gCO</w:t>
      </w:r>
      <w:bookmarkStart w:name="_bookmark20" w:id="34"/>
      <w:bookmarkEnd w:id="34"/>
      <w:r>
        <w:rPr>
          <w:spacing w:val="-4"/>
        </w:rPr>
      </w:r>
      <w:r>
        <w:rPr>
          <w:spacing w:val="-4"/>
          <w:position w:val="-6"/>
          <w:sz w:val="11"/>
        </w:rPr>
        <w:t>2</w:t>
      </w:r>
    </w:p>
    <w:p>
      <w:pPr>
        <w:spacing w:line="182" w:lineRule="exact" w:before="0"/>
        <w:ind w:left="18" w:right="0" w:firstLine="0"/>
        <w:jc w:val="left"/>
        <w:rPr>
          <w:sz w:val="20"/>
        </w:rPr>
      </w:pPr>
      <w:r>
        <w:rPr/>
        <w:br w:type="column"/>
      </w:r>
      <w:r>
        <w:rPr>
          <w:sz w:val="20"/>
        </w:rPr>
        <w:t>m</w:t>
      </w:r>
      <w:r>
        <w:rPr>
          <w:position w:val="7"/>
          <w:sz w:val="11"/>
        </w:rPr>
        <w:t>–2 </w:t>
      </w:r>
      <w:r>
        <w:rPr>
          <w:sz w:val="20"/>
        </w:rPr>
        <w:t>day</w:t>
      </w:r>
      <w:r>
        <w:rPr>
          <w:position w:val="7"/>
          <w:sz w:val="11"/>
        </w:rPr>
        <w:t>–1 </w:t>
      </w:r>
      <w:r>
        <w:rPr>
          <w:sz w:val="20"/>
        </w:rPr>
        <w:t>under temperate</w:t>
      </w:r>
    </w:p>
    <w:p>
      <w:pPr>
        <w:spacing w:line="182" w:lineRule="exact" w:before="0"/>
        <w:ind w:left="243" w:right="0" w:firstLine="0"/>
        <w:jc w:val="left"/>
        <w:rPr>
          <w:sz w:val="20"/>
        </w:rPr>
      </w:pPr>
      <w:r>
        <w:rPr/>
        <w:br w:type="column"/>
      </w:r>
      <w:r>
        <w:rPr>
          <w:sz w:val="20"/>
        </w:rPr>
        <w:t>years (Watson </w:t>
      </w:r>
      <w:r>
        <w:rPr>
          <w:i/>
          <w:sz w:val="20"/>
        </w:rPr>
        <w:t>et al.</w:t>
      </w:r>
      <w:r>
        <w:rPr>
          <w:sz w:val="20"/>
        </w:rPr>
        <w:t>, 2004).</w:t>
      </w:r>
    </w:p>
    <w:p>
      <w:pPr>
        <w:spacing w:after="0" w:line="182" w:lineRule="exact"/>
        <w:jc w:val="left"/>
        <w:rPr>
          <w:sz w:val="20"/>
        </w:rPr>
        <w:sectPr>
          <w:type w:val="continuous"/>
          <w:pgSz w:w="12240" w:h="15840"/>
          <w:pgMar w:top="400" w:bottom="280" w:left="580" w:right="600"/>
          <w:cols w:num="3" w:equalWidth="0">
            <w:col w:w="3443" w:space="40"/>
            <w:col w:w="2115" w:space="39"/>
            <w:col w:w="5423"/>
          </w:cols>
        </w:sectPr>
      </w:pPr>
    </w:p>
    <w:p>
      <w:pPr>
        <w:pStyle w:val="BodyText"/>
        <w:spacing w:line="206" w:lineRule="auto"/>
        <w:ind w:left="553"/>
        <w:jc w:val="both"/>
      </w:pPr>
      <w:bookmarkStart w:name="_bookmark21" w:id="35"/>
      <w:bookmarkEnd w:id="35"/>
      <w:r>
        <w:rPr/>
      </w:r>
      <w:r>
        <w:rPr/>
        <w:t>climate conditions (Pizzino </w:t>
      </w:r>
      <w:r>
        <w:rPr>
          <w:i/>
        </w:rPr>
        <w:t>et al.</w:t>
      </w:r>
      <w:r>
        <w:rPr/>
        <w:t>, 2002). Seepage of CO</w:t>
      </w:r>
      <w:r>
        <w:rPr>
          <w:position w:val="-6"/>
          <w:sz w:val="11"/>
        </w:rPr>
        <w:t>2 </w:t>
      </w:r>
      <w:r>
        <w:rPr/>
        <w:t>into Lake Nyos (Cameroon) resulted in CO</w:t>
      </w:r>
      <w:r>
        <w:rPr>
          <w:position w:val="-6"/>
          <w:sz w:val="11"/>
        </w:rPr>
        <w:t>2 </w:t>
      </w:r>
      <w:r>
        <w:rPr/>
        <w:t>saturation of water deep</w:t>
      </w:r>
      <w:r>
        <w:rPr>
          <w:spacing w:val="-6"/>
        </w:rPr>
        <w:t> </w:t>
      </w:r>
      <w:r>
        <w:rPr/>
        <w:t>in</w:t>
      </w:r>
      <w:r>
        <w:rPr>
          <w:spacing w:val="-6"/>
        </w:rPr>
        <w:t> </w:t>
      </w:r>
      <w:r>
        <w:rPr/>
        <w:t>the</w:t>
      </w:r>
      <w:r>
        <w:rPr>
          <w:spacing w:val="-5"/>
        </w:rPr>
        <w:t> </w:t>
      </w:r>
      <w:r>
        <w:rPr/>
        <w:t>lake,</w:t>
      </w:r>
      <w:r>
        <w:rPr>
          <w:spacing w:val="-6"/>
        </w:rPr>
        <w:t> </w:t>
      </w:r>
      <w:r>
        <w:rPr/>
        <w:t>which</w:t>
      </w:r>
      <w:r>
        <w:rPr>
          <w:spacing w:val="-5"/>
        </w:rPr>
        <w:t> </w:t>
      </w:r>
      <w:r>
        <w:rPr/>
        <w:t>in</w:t>
      </w:r>
      <w:r>
        <w:rPr>
          <w:spacing w:val="-6"/>
        </w:rPr>
        <w:t> </w:t>
      </w:r>
      <w:r>
        <w:rPr/>
        <w:t>1987</w:t>
      </w:r>
      <w:r>
        <w:rPr>
          <w:spacing w:val="-6"/>
        </w:rPr>
        <w:t> </w:t>
      </w:r>
      <w:r>
        <w:rPr/>
        <w:t>produced</w:t>
      </w:r>
      <w:r>
        <w:rPr>
          <w:spacing w:val="-5"/>
        </w:rPr>
        <w:t> </w:t>
      </w:r>
      <w:r>
        <w:rPr/>
        <w:t>a</w:t>
      </w:r>
      <w:r>
        <w:rPr>
          <w:spacing w:val="-6"/>
        </w:rPr>
        <w:t> </w:t>
      </w:r>
      <w:r>
        <w:rPr/>
        <w:t>very</w:t>
      </w:r>
      <w:r>
        <w:rPr>
          <w:spacing w:val="-5"/>
        </w:rPr>
        <w:t> </w:t>
      </w:r>
      <w:r>
        <w:rPr/>
        <w:t>large-scale</w:t>
      </w:r>
      <w:r>
        <w:rPr>
          <w:spacing w:val="-6"/>
        </w:rPr>
        <w:t> </w:t>
      </w:r>
      <w:r>
        <w:rPr>
          <w:spacing w:val="-4"/>
        </w:rPr>
        <w:t>and</w:t>
      </w:r>
    </w:p>
    <w:p>
      <w:pPr>
        <w:pStyle w:val="BodyText"/>
        <w:spacing w:line="240" w:lineRule="exact"/>
        <w:ind w:left="553"/>
        <w:jc w:val="both"/>
      </w:pPr>
      <w:r>
        <w:rPr/>
        <w:t>(for more than 1700 persons) ultimately fatal release of </w:t>
      </w:r>
      <w:r>
        <w:rPr>
          <w:spacing w:val="-6"/>
        </w:rPr>
        <w:t>CO</w:t>
      </w:r>
      <w:r>
        <w:rPr>
          <w:spacing w:val="-6"/>
          <w:position w:val="-6"/>
          <w:sz w:val="11"/>
        </w:rPr>
        <w:t>2 </w:t>
      </w:r>
      <w:r>
        <w:rPr/>
        <w:t>when the lake overturned (Kling </w:t>
      </w:r>
      <w:r>
        <w:rPr>
          <w:i/>
        </w:rPr>
        <w:t>et al.</w:t>
      </w:r>
      <w:r>
        <w:rPr/>
        <w:t>, 1987). The overturn </w:t>
      </w:r>
      <w:r>
        <w:rPr>
          <w:spacing w:val="-6"/>
        </w:rPr>
        <w:t>of </w:t>
      </w:r>
      <w:r>
        <w:rPr/>
        <w:t>Lake Nyos (a deep, stratified tropical lake) and release of CO</w:t>
      </w:r>
      <w:r>
        <w:rPr>
          <w:position w:val="-6"/>
          <w:sz w:val="11"/>
        </w:rPr>
        <w:t>2 </w:t>
      </w:r>
      <w:r>
        <w:rPr/>
        <w:t>are not representative of the seepage through wells or fractures that may occur from underground geological storage sites. Engineered CO</w:t>
      </w:r>
      <w:r>
        <w:rPr>
          <w:position w:val="-6"/>
          <w:sz w:val="11"/>
        </w:rPr>
        <w:t>2 </w:t>
      </w:r>
      <w:r>
        <w:rPr/>
        <w:t>storage sites will be chosen to minimize the prospect of leakage. Natural storage and events such as Lake Nyos are not representative of geological storage for</w:t>
      </w:r>
      <w:r>
        <w:rPr>
          <w:spacing w:val="-33"/>
        </w:rPr>
        <w:t> </w:t>
      </w:r>
      <w:r>
        <w:rPr/>
        <w:t>predicting seepage from engineered sites, but can be useful for studying the health, safety and environmental effects of CO</w:t>
      </w:r>
      <w:r>
        <w:rPr>
          <w:position w:val="-6"/>
          <w:sz w:val="11"/>
        </w:rPr>
        <w:t>2 </w:t>
      </w:r>
      <w:r>
        <w:rPr/>
        <w:t>leakage (Section 5.7.4).</w:t>
      </w:r>
    </w:p>
    <w:p>
      <w:pPr>
        <w:pStyle w:val="BodyText"/>
        <w:spacing w:line="249" w:lineRule="auto"/>
        <w:ind w:left="553" w:firstLine="283"/>
        <w:jc w:val="both"/>
      </w:pPr>
      <w:r>
        <w:rPr/>
        <w:t>Carbon dioxide is found in some oil and gas fields as a separate gas phase or dissolved in oil. This type of storage is relatively common in Southeast Asia, China and Australia, less common in other oil and gas provinces such as in</w:t>
      </w:r>
      <w:r>
        <w:rPr>
          <w:spacing w:val="31"/>
        </w:rPr>
        <w:t> </w:t>
      </w:r>
      <w:r>
        <w:rPr/>
        <w:t>Algeria,</w:t>
      </w:r>
    </w:p>
    <w:p>
      <w:pPr>
        <w:pStyle w:val="Heading2"/>
        <w:numPr>
          <w:ilvl w:val="2"/>
          <w:numId w:val="1"/>
        </w:numPr>
        <w:tabs>
          <w:tab w:pos="1064" w:val="left" w:leader="none"/>
        </w:tabs>
        <w:spacing w:line="240" w:lineRule="auto" w:before="211" w:after="0"/>
        <w:ind w:left="1063" w:right="0" w:hanging="821"/>
        <w:jc w:val="both"/>
        <w:rPr>
          <w:i/>
        </w:rPr>
      </w:pPr>
      <w:r>
        <w:rPr>
          <w:i/>
          <w:spacing w:val="-1"/>
        </w:rPr>
        <w:br w:type="column"/>
      </w:r>
      <w:r>
        <w:rPr>
          <w:i/>
        </w:rPr>
        <w:t>Industrial analogues for CO</w:t>
      </w:r>
      <w:r>
        <w:rPr>
          <w:i/>
          <w:position w:val="-6"/>
          <w:sz w:val="11"/>
        </w:rPr>
        <w:t>2</w:t>
      </w:r>
      <w:r>
        <w:rPr>
          <w:i/>
          <w:spacing w:val="19"/>
          <w:position w:val="-6"/>
          <w:sz w:val="11"/>
        </w:rPr>
        <w:t> </w:t>
      </w:r>
      <w:r>
        <w:rPr>
          <w:i/>
        </w:rPr>
        <w:t>storage</w:t>
      </w:r>
    </w:p>
    <w:p>
      <w:pPr>
        <w:pStyle w:val="ListParagraph"/>
        <w:numPr>
          <w:ilvl w:val="3"/>
          <w:numId w:val="1"/>
        </w:numPr>
        <w:tabs>
          <w:tab w:pos="1063" w:val="left" w:leader="none"/>
        </w:tabs>
        <w:spacing w:line="240" w:lineRule="auto" w:before="199" w:after="0"/>
        <w:ind w:left="1063" w:right="0" w:hanging="821"/>
        <w:jc w:val="both"/>
        <w:rPr>
          <w:i/>
          <w:sz w:val="20"/>
        </w:rPr>
      </w:pPr>
      <w:r>
        <w:rPr>
          <w:i/>
          <w:sz w:val="20"/>
        </w:rPr>
        <w:t>Natural gas</w:t>
      </w:r>
      <w:r>
        <w:rPr>
          <w:i/>
          <w:spacing w:val="-1"/>
          <w:sz w:val="20"/>
        </w:rPr>
        <w:t> </w:t>
      </w:r>
      <w:r>
        <w:rPr>
          <w:i/>
          <w:sz w:val="20"/>
        </w:rPr>
        <w:t>storage</w:t>
      </w:r>
    </w:p>
    <w:p>
      <w:pPr>
        <w:pStyle w:val="BodyText"/>
        <w:spacing w:line="240" w:lineRule="exact" w:before="5"/>
        <w:ind w:left="242" w:right="133"/>
        <w:jc w:val="both"/>
      </w:pPr>
      <w:r>
        <w:rPr/>
        <w:t>Underground natural gas storage projects that offer experience relevant to CO</w:t>
      </w:r>
      <w:r>
        <w:rPr>
          <w:position w:val="-6"/>
          <w:sz w:val="11"/>
        </w:rPr>
        <w:t>2 </w:t>
      </w:r>
      <w:r>
        <w:rPr/>
        <w:t>storage (Lippmann and Benson, 2003; </w:t>
      </w:r>
      <w:r>
        <w:rPr>
          <w:spacing w:val="-3"/>
        </w:rPr>
        <w:t>Perry, </w:t>
      </w:r>
      <w:r>
        <w:rPr/>
        <w:t>2005) have operated successfully for almost 100 years and in many</w:t>
      </w:r>
      <w:r>
        <w:rPr>
          <w:spacing w:val="-19"/>
        </w:rPr>
        <w:t> </w:t>
      </w:r>
      <w:r>
        <w:rPr/>
        <w:t>parts</w:t>
      </w:r>
      <w:r>
        <w:rPr>
          <w:spacing w:val="-18"/>
        </w:rPr>
        <w:t> </w:t>
      </w:r>
      <w:r>
        <w:rPr/>
        <w:t>of</w:t>
      </w:r>
      <w:r>
        <w:rPr>
          <w:spacing w:val="-19"/>
        </w:rPr>
        <w:t> </w:t>
      </w:r>
      <w:r>
        <w:rPr/>
        <w:t>the</w:t>
      </w:r>
      <w:r>
        <w:rPr>
          <w:spacing w:val="-18"/>
        </w:rPr>
        <w:t> </w:t>
      </w:r>
      <w:r>
        <w:rPr/>
        <w:t>world</w:t>
      </w:r>
      <w:r>
        <w:rPr>
          <w:spacing w:val="-18"/>
        </w:rPr>
        <w:t> </w:t>
      </w:r>
      <w:hyperlink w:history="true" w:anchor="_bookmark21">
        <w:r>
          <w:rPr/>
          <w:t>(Figure</w:t>
        </w:r>
        <w:r>
          <w:rPr>
            <w:spacing w:val="-19"/>
          </w:rPr>
          <w:t> </w:t>
        </w:r>
        <w:r>
          <w:rPr/>
          <w:t>5.12).</w:t>
        </w:r>
        <w:r>
          <w:rPr>
            <w:spacing w:val="-21"/>
          </w:rPr>
          <w:t> </w:t>
        </w:r>
      </w:hyperlink>
      <w:r>
        <w:rPr/>
        <w:t>These</w:t>
      </w:r>
      <w:r>
        <w:rPr>
          <w:spacing w:val="-19"/>
        </w:rPr>
        <w:t> </w:t>
      </w:r>
      <w:r>
        <w:rPr/>
        <w:t>projects</w:t>
      </w:r>
      <w:r>
        <w:rPr>
          <w:spacing w:val="-18"/>
        </w:rPr>
        <w:t> </w:t>
      </w:r>
      <w:r>
        <w:rPr/>
        <w:t>provide</w:t>
      </w:r>
      <w:r>
        <w:rPr>
          <w:spacing w:val="-18"/>
        </w:rPr>
        <w:t> </w:t>
      </w:r>
      <w:r>
        <w:rPr/>
        <w:t>for peak loads and balance seasonal fluctuations in gas supply and demand. The Berlin Natural Gas Storage Project is an example of this </w:t>
      </w:r>
      <w:hyperlink w:history="true" w:anchor="_bookmark22">
        <w:r>
          <w:rPr/>
          <w:t>(Box </w:t>
        </w:r>
      </w:hyperlink>
      <w:r>
        <w:rPr/>
        <w:t>5.5). The majority of gas storage projects are in depleted oil and gas reservoirs and saline formations, although caverns in salt have also been used extensively. A number of factors are critical to the success of these projects, including   a suitable and adequately characterized site (permeability, thickness and extent of storage reservoir, tightness of caprock, geological structure, lithology, etc.). Injection wells must be properly designed, installed, monitored and maintained </w:t>
      </w:r>
      <w:r>
        <w:rPr>
          <w:spacing w:val="-5"/>
        </w:rPr>
        <w:t>and </w:t>
      </w:r>
      <w:r>
        <w:rPr/>
        <w:t>abandoned wells in and near the project must be located and plugged. </w:t>
      </w:r>
      <w:r>
        <w:rPr>
          <w:spacing w:val="-3"/>
        </w:rPr>
        <w:t>Finally, </w:t>
      </w:r>
      <w:r>
        <w:rPr/>
        <w:t>taking into account a range of </w:t>
      </w:r>
      <w:r>
        <w:rPr>
          <w:spacing w:val="-3"/>
        </w:rPr>
        <w:t>solubility, </w:t>
      </w:r>
      <w:r>
        <w:rPr/>
        <w:t>density and trapping conditions, overpressuring the storage reservoir</w:t>
      </w:r>
      <w:r>
        <w:rPr>
          <w:spacing w:val="-7"/>
        </w:rPr>
        <w:t> </w:t>
      </w:r>
      <w:r>
        <w:rPr/>
        <w:t>(injecting</w:t>
      </w:r>
      <w:r>
        <w:rPr>
          <w:spacing w:val="-6"/>
        </w:rPr>
        <w:t> </w:t>
      </w:r>
      <w:r>
        <w:rPr/>
        <w:t>gas</w:t>
      </w:r>
      <w:r>
        <w:rPr>
          <w:spacing w:val="-6"/>
        </w:rPr>
        <w:t> </w:t>
      </w:r>
      <w:r>
        <w:rPr/>
        <w:t>at</w:t>
      </w:r>
      <w:r>
        <w:rPr>
          <w:spacing w:val="-6"/>
        </w:rPr>
        <w:t> </w:t>
      </w:r>
      <w:r>
        <w:rPr/>
        <w:t>a</w:t>
      </w:r>
      <w:r>
        <w:rPr>
          <w:spacing w:val="-7"/>
        </w:rPr>
        <w:t> </w:t>
      </w:r>
      <w:r>
        <w:rPr/>
        <w:t>pressure</w:t>
      </w:r>
      <w:r>
        <w:rPr>
          <w:spacing w:val="-6"/>
        </w:rPr>
        <w:t> </w:t>
      </w:r>
      <w:r>
        <w:rPr/>
        <w:t>that</w:t>
      </w:r>
      <w:r>
        <w:rPr>
          <w:spacing w:val="-6"/>
        </w:rPr>
        <w:t> </w:t>
      </w:r>
      <w:r>
        <w:rPr/>
        <w:t>is</w:t>
      </w:r>
      <w:r>
        <w:rPr>
          <w:spacing w:val="-6"/>
        </w:rPr>
        <w:t> </w:t>
      </w:r>
      <w:r>
        <w:rPr/>
        <w:t>well</w:t>
      </w:r>
      <w:r>
        <w:rPr>
          <w:spacing w:val="-7"/>
        </w:rPr>
        <w:t> </w:t>
      </w:r>
      <w:r>
        <w:rPr/>
        <w:t>in</w:t>
      </w:r>
      <w:r>
        <w:rPr>
          <w:spacing w:val="-6"/>
        </w:rPr>
        <w:t> </w:t>
      </w:r>
      <w:r>
        <w:rPr/>
        <w:t>excess</w:t>
      </w:r>
      <w:r>
        <w:rPr>
          <w:spacing w:val="-6"/>
        </w:rPr>
        <w:t> </w:t>
      </w:r>
      <w:r>
        <w:rPr/>
        <w:t>of</w:t>
      </w:r>
      <w:r>
        <w:rPr>
          <w:spacing w:val="-6"/>
        </w:rPr>
        <w:t> </w:t>
      </w:r>
      <w:r>
        <w:rPr/>
        <w:t>the in situ formation pressure) must be</w:t>
      </w:r>
      <w:r>
        <w:rPr>
          <w:spacing w:val="-2"/>
        </w:rPr>
        <w:t> </w:t>
      </w:r>
      <w:r>
        <w:rPr/>
        <w:t>avoided.</w:t>
      </w:r>
    </w:p>
    <w:p>
      <w:pPr>
        <w:pStyle w:val="BodyText"/>
        <w:spacing w:line="249" w:lineRule="auto" w:before="5"/>
        <w:ind w:left="242" w:right="133" w:firstLine="283"/>
        <w:jc w:val="both"/>
      </w:pPr>
      <w:r>
        <w:rPr/>
        <w:t>While</w:t>
      </w:r>
      <w:r>
        <w:rPr>
          <w:spacing w:val="-8"/>
        </w:rPr>
        <w:t> </w:t>
      </w:r>
      <w:r>
        <w:rPr/>
        <w:t>underground</w:t>
      </w:r>
      <w:r>
        <w:rPr>
          <w:spacing w:val="-7"/>
        </w:rPr>
        <w:t> </w:t>
      </w:r>
      <w:r>
        <w:rPr/>
        <w:t>natural</w:t>
      </w:r>
      <w:r>
        <w:rPr>
          <w:spacing w:val="-7"/>
        </w:rPr>
        <w:t> </w:t>
      </w:r>
      <w:r>
        <w:rPr/>
        <w:t>gas</w:t>
      </w:r>
      <w:r>
        <w:rPr>
          <w:spacing w:val="-7"/>
        </w:rPr>
        <w:t> </w:t>
      </w:r>
      <w:r>
        <w:rPr/>
        <w:t>storage</w:t>
      </w:r>
      <w:r>
        <w:rPr>
          <w:spacing w:val="-7"/>
        </w:rPr>
        <w:t> </w:t>
      </w:r>
      <w:r>
        <w:rPr/>
        <w:t>is</w:t>
      </w:r>
      <w:r>
        <w:rPr>
          <w:spacing w:val="-7"/>
        </w:rPr>
        <w:t> </w:t>
      </w:r>
      <w:r>
        <w:rPr/>
        <w:t>safe</w:t>
      </w:r>
      <w:r>
        <w:rPr>
          <w:spacing w:val="-7"/>
        </w:rPr>
        <w:t> </w:t>
      </w:r>
      <w:r>
        <w:rPr/>
        <w:t>and</w:t>
      </w:r>
      <w:r>
        <w:rPr>
          <w:spacing w:val="-7"/>
        </w:rPr>
        <w:t> </w:t>
      </w:r>
      <w:r>
        <w:rPr/>
        <w:t>effective, some projects have leaked, mostly caused by poorly</w:t>
      </w:r>
      <w:r>
        <w:rPr>
          <w:spacing w:val="-11"/>
        </w:rPr>
        <w:t> </w:t>
      </w:r>
      <w:r>
        <w:rPr/>
        <w:t>completed or</w:t>
      </w:r>
      <w:r>
        <w:rPr>
          <w:spacing w:val="-7"/>
        </w:rPr>
        <w:t> </w:t>
      </w:r>
      <w:r>
        <w:rPr/>
        <w:t>improperly</w:t>
      </w:r>
      <w:r>
        <w:rPr>
          <w:spacing w:val="-6"/>
        </w:rPr>
        <w:t> </w:t>
      </w:r>
      <w:r>
        <w:rPr/>
        <w:t>plugged</w:t>
      </w:r>
      <w:r>
        <w:rPr>
          <w:spacing w:val="-7"/>
        </w:rPr>
        <w:t> </w:t>
      </w:r>
      <w:r>
        <w:rPr/>
        <w:t>and</w:t>
      </w:r>
      <w:r>
        <w:rPr>
          <w:spacing w:val="-6"/>
        </w:rPr>
        <w:t> </w:t>
      </w:r>
      <w:r>
        <w:rPr/>
        <w:t>abandoned</w:t>
      </w:r>
      <w:r>
        <w:rPr>
          <w:spacing w:val="-7"/>
        </w:rPr>
        <w:t> </w:t>
      </w:r>
      <w:r>
        <w:rPr/>
        <w:t>wells</w:t>
      </w:r>
      <w:r>
        <w:rPr>
          <w:spacing w:val="-6"/>
        </w:rPr>
        <w:t> </w:t>
      </w:r>
      <w:r>
        <w:rPr/>
        <w:t>and</w:t>
      </w:r>
      <w:r>
        <w:rPr>
          <w:spacing w:val="-7"/>
        </w:rPr>
        <w:t> </w:t>
      </w:r>
      <w:r>
        <w:rPr/>
        <w:t>by</w:t>
      </w:r>
      <w:r>
        <w:rPr>
          <w:spacing w:val="-6"/>
        </w:rPr>
        <w:t> </w:t>
      </w:r>
      <w:r>
        <w:rPr/>
        <w:t>leaky</w:t>
      </w:r>
      <w:r>
        <w:rPr>
          <w:spacing w:val="-6"/>
        </w:rPr>
        <w:t> </w:t>
      </w:r>
      <w:r>
        <w:rPr/>
        <w:t>faults (Gurevich </w:t>
      </w:r>
      <w:r>
        <w:rPr>
          <w:i/>
        </w:rPr>
        <w:t>et al.</w:t>
      </w:r>
      <w:r>
        <w:rPr/>
        <w:t>, 1993; Lippmann and Benson, 2003; </w:t>
      </w:r>
      <w:r>
        <w:rPr>
          <w:spacing w:val="-3"/>
        </w:rPr>
        <w:t>Perry,  </w:t>
      </w:r>
      <w:r>
        <w:rPr/>
        <w:t>2005). Abandoned oil and gas fields are easier to assess as natural gas storage sites than are saline formations, because</w:t>
      </w:r>
      <w:r>
        <w:rPr>
          <w:spacing w:val="-33"/>
        </w:rPr>
        <w:t> </w:t>
      </w:r>
      <w:r>
        <w:rPr/>
        <w:t>the geological structure and caprock are usually well characterized from</w:t>
      </w:r>
      <w:r>
        <w:rPr>
          <w:spacing w:val="-22"/>
        </w:rPr>
        <w:t> </w:t>
      </w:r>
      <w:r>
        <w:rPr/>
        <w:t>existing</w:t>
      </w:r>
      <w:r>
        <w:rPr>
          <w:spacing w:val="-22"/>
        </w:rPr>
        <w:t> </w:t>
      </w:r>
      <w:r>
        <w:rPr/>
        <w:t>wells.</w:t>
      </w:r>
      <w:r>
        <w:rPr>
          <w:spacing w:val="-32"/>
        </w:rPr>
        <w:t> </w:t>
      </w:r>
      <w:r>
        <w:rPr/>
        <w:t>At</w:t>
      </w:r>
      <w:r>
        <w:rPr>
          <w:spacing w:val="-22"/>
        </w:rPr>
        <w:t> </w:t>
      </w:r>
      <w:r>
        <w:rPr/>
        <w:t>most</w:t>
      </w:r>
      <w:r>
        <w:rPr>
          <w:spacing w:val="-22"/>
        </w:rPr>
        <w:t> </w:t>
      </w:r>
      <w:r>
        <w:rPr/>
        <w:t>natural</w:t>
      </w:r>
      <w:r>
        <w:rPr>
          <w:spacing w:val="-22"/>
        </w:rPr>
        <w:t> </w:t>
      </w:r>
      <w:r>
        <w:rPr/>
        <w:t>gas</w:t>
      </w:r>
      <w:r>
        <w:rPr>
          <w:spacing w:val="-21"/>
        </w:rPr>
        <w:t> </w:t>
      </w:r>
      <w:r>
        <w:rPr/>
        <w:t>storage</w:t>
      </w:r>
      <w:r>
        <w:rPr>
          <w:spacing w:val="-22"/>
        </w:rPr>
        <w:t> </w:t>
      </w:r>
      <w:r>
        <w:rPr/>
        <w:t>sites,</w:t>
      </w:r>
      <w:r>
        <w:rPr>
          <w:spacing w:val="-22"/>
        </w:rPr>
        <w:t> </w:t>
      </w:r>
      <w:r>
        <w:rPr/>
        <w:t>monitoring requirements focus on ensuring that the injection well is not leaking (by the use of pressure measurements and through </w:t>
      </w:r>
      <w:r>
        <w:rPr>
          <w:i/>
        </w:rPr>
        <w:t>in </w:t>
      </w:r>
      <w:r>
        <w:rPr>
          <w:i/>
        </w:rPr>
        <w:t>situ </w:t>
      </w:r>
      <w:r>
        <w:rPr/>
        <w:t>downhole measurements of temperature, pressure, noise/ sonic,</w:t>
      </w:r>
      <w:r>
        <w:rPr>
          <w:spacing w:val="-15"/>
        </w:rPr>
        <w:t> </w:t>
      </w:r>
      <w:r>
        <w:rPr/>
        <w:t>casing</w:t>
      </w:r>
      <w:r>
        <w:rPr>
          <w:spacing w:val="-15"/>
        </w:rPr>
        <w:t> </w:t>
      </w:r>
      <w:r>
        <w:rPr/>
        <w:t>conditions,</w:t>
      </w:r>
      <w:r>
        <w:rPr>
          <w:spacing w:val="-14"/>
        </w:rPr>
        <w:t> </w:t>
      </w:r>
      <w:r>
        <w:rPr/>
        <w:t>etc.).</w:t>
      </w:r>
      <w:r>
        <w:rPr>
          <w:spacing w:val="-15"/>
        </w:rPr>
        <w:t> </w:t>
      </w:r>
      <w:r>
        <w:rPr/>
        <w:t>Observation</w:t>
      </w:r>
      <w:r>
        <w:rPr>
          <w:spacing w:val="-14"/>
        </w:rPr>
        <w:t> </w:t>
      </w:r>
      <w:r>
        <w:rPr/>
        <w:t>wells</w:t>
      </w:r>
      <w:r>
        <w:rPr>
          <w:spacing w:val="-15"/>
        </w:rPr>
        <w:t> </w:t>
      </w:r>
      <w:r>
        <w:rPr/>
        <w:t>are</w:t>
      </w:r>
      <w:r>
        <w:rPr>
          <w:spacing w:val="-14"/>
        </w:rPr>
        <w:t> </w:t>
      </w:r>
      <w:r>
        <w:rPr/>
        <w:t>sometimes used to verify that gas has not leaked into shallower</w:t>
      </w:r>
      <w:r>
        <w:rPr>
          <w:spacing w:val="-10"/>
        </w:rPr>
        <w:t> </w:t>
      </w:r>
      <w:r>
        <w:rPr/>
        <w:t>strata.</w:t>
      </w:r>
    </w:p>
    <w:p>
      <w:pPr>
        <w:spacing w:after="0" w:line="249" w:lineRule="auto"/>
        <w:jc w:val="both"/>
        <w:sectPr>
          <w:type w:val="continuous"/>
          <w:pgSz w:w="12240" w:h="15840"/>
          <w:pgMar w:top="400" w:bottom="280" w:left="580" w:right="600"/>
          <w:cols w:num="2" w:equalWidth="0">
            <w:col w:w="5598" w:space="40"/>
            <w:col w:w="5422"/>
          </w:cols>
        </w:sectPr>
      </w:pPr>
    </w:p>
    <w:p>
      <w:pPr>
        <w:pStyle w:val="BodyText"/>
      </w:pPr>
    </w:p>
    <w:p>
      <w:pPr>
        <w:pStyle w:val="BodyText"/>
      </w:pPr>
    </w:p>
    <w:p>
      <w:pPr>
        <w:pStyle w:val="BodyText"/>
        <w:spacing w:before="7"/>
        <w:rPr>
          <w:sz w:val="19"/>
        </w:rPr>
      </w:pPr>
    </w:p>
    <w:p>
      <w:pPr>
        <w:spacing w:before="71"/>
        <w:ind w:left="553" w:right="0" w:firstLine="0"/>
        <w:jc w:val="left"/>
        <w:rPr>
          <w:sz w:val="16"/>
        </w:rPr>
      </w:pPr>
      <w:r>
        <w:rPr/>
        <w:pict>
          <v:group style="position:absolute;margin-left:56.693501pt;margin-top:-239.61055pt;width:251.7pt;height:235.2pt;mso-position-horizontal-relative:page;mso-position-vertical-relative:paragraph;z-index:251692032" coordorigin="1134,-4792" coordsize="5034,4704">
            <v:shape style="position:absolute;left:1517;top:-2263;width:119;height:71" coordorigin="1518,-2262" coordsize="119,71" path="m1636,-2262l1518,-2262,1522,-2247,1575,-2203,1604,-2191,1610,-2207,1613,-2217,1612,-2223,1609,-2231,1603,-2243,1607,-2246,1619,-2246,1636,-2262xe" filled="true" fillcolor="#ececed" stroked="false">
              <v:path arrowok="t"/>
              <v:fill type="solid"/>
            </v:shape>
            <v:shape style="position:absolute;left:1517;top:-2263;width:119;height:71" coordorigin="1518,-2262" coordsize="119,71" path="m1518,-2262l1575,-2203,1604,-2191,1610,-2207,1613,-2217,1612,-2223,1609,-2231,1603,-2243,1607,-2246,1613,-2246,1619,-2246,1636,-2262,1518,-2262xe" filled="false" stroked="true" strokeweight=".506pt" strokecolor="#c5c6c8">
              <v:path arrowok="t"/>
              <v:stroke dashstyle="solid"/>
            </v:shape>
            <v:shape style="position:absolute;left:1134;top:-4787;width:5033;height:2530" type="#_x0000_t75" stroked="false">
              <v:imagedata r:id="rId65" o:title=""/>
            </v:shape>
            <v:rect style="position:absolute;left:1143;top:-2266;width:3643;height:2168" filled="true" fillcolor="#dce4ee" stroked="false">
              <v:fill type="solid"/>
            </v:rect>
            <v:shape style="position:absolute;left:1323;top:-2276;width:3472;height:2187" type="#_x0000_t75" stroked="false">
              <v:imagedata r:id="rId66" o:title=""/>
            </v:shape>
            <v:shape style="position:absolute;left:1143;top:-4783;width:5009;height:4683" coordorigin="1144,-4782" coordsize="5009,4683" path="m1145,-2267l1145,-100,4950,-100,4950,-2267,1145,-2267xm1144,-4782l1144,-2264,6152,-2264,6152,-4782,1144,-4782xe" filled="false" stroked="true" strokeweight="1.011000pt" strokecolor="#000000">
              <v:path arrowok="t"/>
              <v:stroke dashstyle="solid"/>
            </v:shape>
            <v:shape style="position:absolute;left:4776;top:-2279;width:1386;height:2189" type="#_x0000_t75" stroked="false">
              <v:imagedata r:id="rId67" o:title=""/>
            </v:shape>
            <v:shape style="position:absolute;left:1316;top:-2636;width:1689;height:243" type="#_x0000_t75" stroked="false">
              <v:imagedata r:id="rId68" o:title=""/>
            </v:shape>
            <v:rect style="position:absolute;left:1325;top:-476;width:1158;height:221" filled="true" fillcolor="#ffffff" stroked="false">
              <v:fill type="solid"/>
            </v:rect>
            <v:rect style="position:absolute;left:1325;top:-476;width:1158;height:221" filled="false" stroked="true" strokeweight=".506pt" strokecolor="#000000">
              <v:stroke dashstyle="solid"/>
            </v:rect>
            <v:shape style="position:absolute;left:1735;top:-425;width:318;height:123" type="#_x0000_t75" stroked="false">
              <v:imagedata r:id="rId69" o:title=""/>
            </v:shape>
            <w10:wrap type="none"/>
          </v:group>
        </w:pict>
      </w:r>
      <w:r>
        <w:rPr>
          <w:b/>
          <w:sz w:val="16"/>
        </w:rPr>
        <w:t>Figure 5.12 </w:t>
      </w:r>
      <w:r>
        <w:rPr>
          <w:sz w:val="16"/>
        </w:rPr>
        <w:t>Location of some natural gas storage projects.</w:t>
      </w:r>
    </w:p>
    <w:p>
      <w:pPr>
        <w:spacing w:after="0"/>
        <w:jc w:val="left"/>
        <w:rPr>
          <w:sz w:val="16"/>
        </w:rPr>
        <w:sectPr>
          <w:type w:val="continuous"/>
          <w:pgSz w:w="12240" w:h="15840"/>
          <w:pgMar w:top="400" w:bottom="280" w:left="580" w:right="600"/>
        </w:sectPr>
      </w:pPr>
    </w:p>
    <w:p>
      <w:pPr>
        <w:pStyle w:val="BodyText"/>
      </w:pPr>
    </w:p>
    <w:p>
      <w:pPr>
        <w:pStyle w:val="BodyText"/>
        <w:spacing w:before="9"/>
        <w:rPr>
          <w:sz w:val="16"/>
        </w:rPr>
      </w:pPr>
    </w:p>
    <w:p>
      <w:pPr>
        <w:pStyle w:val="BodyText"/>
        <w:spacing w:before="63"/>
        <w:ind w:left="157"/>
      </w:pPr>
      <w:r>
        <w:rPr/>
        <w:pict>
          <v:shape style="position:absolute;margin-left:36.849998pt;margin-top:20.399937pt;width:518.5pt;height:218.95pt;mso-position-horizontal-relative:page;mso-position-vertical-relative:paragraph;z-index:-251621376;mso-wrap-distance-left:0;mso-wrap-distance-right:0" type="#_x0000_t202" filled="false" stroked="true" strokeweight=".5pt" strokecolor="#000000">
            <v:textbox inset="0,0,0,0">
              <w:txbxContent>
                <w:p>
                  <w:pPr>
                    <w:pStyle w:val="BodyText"/>
                    <w:spacing w:line="240" w:lineRule="exact" w:before="124"/>
                    <w:ind w:left="165" w:right="162"/>
                    <w:jc w:val="both"/>
                  </w:pPr>
                  <w:r>
                    <w:rPr/>
                    <w:t>The</w:t>
                  </w:r>
                  <w:r>
                    <w:rPr>
                      <w:spacing w:val="-9"/>
                    </w:rPr>
                    <w:t> </w:t>
                  </w:r>
                  <w:r>
                    <w:rPr/>
                    <w:t>Berlin</w:t>
                  </w:r>
                  <w:r>
                    <w:rPr>
                      <w:spacing w:val="-9"/>
                    </w:rPr>
                    <w:t> </w:t>
                  </w:r>
                  <w:r>
                    <w:rPr/>
                    <w:t>Natural</w:t>
                  </w:r>
                  <w:r>
                    <w:rPr>
                      <w:spacing w:val="-9"/>
                    </w:rPr>
                    <w:t> </w:t>
                  </w:r>
                  <w:r>
                    <w:rPr/>
                    <w:t>Gas</w:t>
                  </w:r>
                  <w:r>
                    <w:rPr>
                      <w:spacing w:val="-9"/>
                    </w:rPr>
                    <w:t> </w:t>
                  </w:r>
                  <w:r>
                    <w:rPr/>
                    <w:t>Storage</w:t>
                  </w:r>
                  <w:r>
                    <w:rPr>
                      <w:spacing w:val="-9"/>
                    </w:rPr>
                    <w:t> </w:t>
                  </w:r>
                  <w:r>
                    <w:rPr/>
                    <w:t>Facility</w:t>
                  </w:r>
                  <w:r>
                    <w:rPr>
                      <w:spacing w:val="-9"/>
                    </w:rPr>
                    <w:t> </w:t>
                  </w:r>
                  <w:r>
                    <w:rPr/>
                    <w:t>is</w:t>
                  </w:r>
                  <w:r>
                    <w:rPr>
                      <w:spacing w:val="-8"/>
                    </w:rPr>
                    <w:t> </w:t>
                  </w:r>
                  <w:r>
                    <w:rPr/>
                    <w:t>located</w:t>
                  </w:r>
                  <w:r>
                    <w:rPr>
                      <w:spacing w:val="-9"/>
                    </w:rPr>
                    <w:t> </w:t>
                  </w:r>
                  <w:r>
                    <w:rPr/>
                    <w:t>in</w:t>
                  </w:r>
                  <w:r>
                    <w:rPr>
                      <w:spacing w:val="-9"/>
                    </w:rPr>
                    <w:t> </w:t>
                  </w:r>
                  <w:r>
                    <w:rPr/>
                    <w:t>central</w:t>
                  </w:r>
                  <w:r>
                    <w:rPr>
                      <w:spacing w:val="-9"/>
                    </w:rPr>
                    <w:t> </w:t>
                  </w:r>
                  <w:r>
                    <w:rPr/>
                    <w:t>Berlin,</w:t>
                  </w:r>
                  <w:r>
                    <w:rPr>
                      <w:spacing w:val="-9"/>
                    </w:rPr>
                    <w:t> </w:t>
                  </w:r>
                  <w:r>
                    <w:rPr>
                      <w:spacing w:val="-3"/>
                    </w:rPr>
                    <w:t>Germany,</w:t>
                  </w:r>
                  <w:r>
                    <w:rPr>
                      <w:spacing w:val="-9"/>
                    </w:rPr>
                    <w:t> </w:t>
                  </w:r>
                  <w:r>
                    <w:rPr/>
                    <w:t>in</w:t>
                  </w:r>
                  <w:r>
                    <w:rPr>
                      <w:spacing w:val="-8"/>
                    </w:rPr>
                    <w:t> </w:t>
                  </w:r>
                  <w:r>
                    <w:rPr/>
                    <w:t>an</w:t>
                  </w:r>
                  <w:r>
                    <w:rPr>
                      <w:spacing w:val="-9"/>
                    </w:rPr>
                    <w:t> </w:t>
                  </w:r>
                  <w:r>
                    <w:rPr/>
                    <w:t>area</w:t>
                  </w:r>
                  <w:r>
                    <w:rPr>
                      <w:spacing w:val="-9"/>
                    </w:rPr>
                    <w:t> </w:t>
                  </w:r>
                  <w:r>
                    <w:rPr/>
                    <w:t>that</w:t>
                  </w:r>
                  <w:r>
                    <w:rPr>
                      <w:spacing w:val="-9"/>
                    </w:rPr>
                    <w:t> </w:t>
                  </w:r>
                  <w:r>
                    <w:rPr/>
                    <w:t>combines</w:t>
                  </w:r>
                  <w:r>
                    <w:rPr>
                      <w:spacing w:val="-9"/>
                    </w:rPr>
                    <w:t> </w:t>
                  </w:r>
                  <w:r>
                    <w:rPr/>
                    <w:t>high</w:t>
                  </w:r>
                  <w:r>
                    <w:rPr>
                      <w:spacing w:val="-9"/>
                    </w:rPr>
                    <w:t> </w:t>
                  </w:r>
                  <w:r>
                    <w:rPr/>
                    <w:t>population</w:t>
                  </w:r>
                  <w:r>
                    <w:rPr>
                      <w:spacing w:val="-9"/>
                    </w:rPr>
                    <w:t> </w:t>
                  </w:r>
                  <w:r>
                    <w:rPr/>
                    <w:t>density with nature and water conservation reservations. This facility, with a capacity of 1085 million m³, was originally designed to be</w:t>
                  </w:r>
                  <w:r>
                    <w:rPr>
                      <w:spacing w:val="-6"/>
                    </w:rPr>
                    <w:t> </w:t>
                  </w:r>
                  <w:r>
                    <w:rPr/>
                    <w:t>a</w:t>
                  </w:r>
                  <w:r>
                    <w:rPr>
                      <w:spacing w:val="-6"/>
                    </w:rPr>
                    <w:t> </w:t>
                  </w:r>
                  <w:r>
                    <w:rPr/>
                    <w:t>reserve</w:t>
                  </w:r>
                  <w:r>
                    <w:rPr>
                      <w:spacing w:val="-5"/>
                    </w:rPr>
                    <w:t> </w:t>
                  </w:r>
                  <w:r>
                    <w:rPr/>
                    <w:t>natural</w:t>
                  </w:r>
                  <w:r>
                    <w:rPr>
                      <w:spacing w:val="-6"/>
                    </w:rPr>
                    <w:t> </w:t>
                  </w:r>
                  <w:r>
                    <w:rPr/>
                    <w:t>gas</w:t>
                  </w:r>
                  <w:r>
                    <w:rPr>
                      <w:spacing w:val="-5"/>
                    </w:rPr>
                    <w:t> </w:t>
                  </w:r>
                  <w:r>
                    <w:rPr/>
                    <w:t>storage</w:t>
                  </w:r>
                  <w:r>
                    <w:rPr>
                      <w:spacing w:val="-6"/>
                    </w:rPr>
                    <w:t> </w:t>
                  </w:r>
                  <w:r>
                    <w:rPr/>
                    <w:t>unit</w:t>
                  </w:r>
                  <w:r>
                    <w:rPr>
                      <w:spacing w:val="-5"/>
                    </w:rPr>
                    <w:t> </w:t>
                  </w:r>
                  <w:r>
                    <w:rPr/>
                    <w:t>for</w:t>
                  </w:r>
                  <w:r>
                    <w:rPr>
                      <w:spacing w:val="-6"/>
                    </w:rPr>
                    <w:t> </w:t>
                  </w:r>
                  <w:r>
                    <w:rPr/>
                    <w:t>limited</w:t>
                  </w:r>
                  <w:r>
                    <w:rPr>
                      <w:spacing w:val="-6"/>
                    </w:rPr>
                    <w:t> </w:t>
                  </w:r>
                  <w:r>
                    <w:rPr/>
                    <w:t>seasonal</w:t>
                  </w:r>
                  <w:r>
                    <w:rPr>
                      <w:spacing w:val="-5"/>
                    </w:rPr>
                    <w:t> </w:t>
                  </w:r>
                  <w:r>
                    <w:rPr/>
                    <w:t>quantity</w:t>
                  </w:r>
                  <w:r>
                    <w:rPr>
                      <w:spacing w:val="-6"/>
                    </w:rPr>
                    <w:t> </w:t>
                  </w:r>
                  <w:r>
                    <w:rPr/>
                    <w:t>equalization.</w:t>
                  </w:r>
                  <w:r>
                    <w:rPr>
                      <w:spacing w:val="-16"/>
                    </w:rPr>
                    <w:t> </w:t>
                  </w:r>
                  <w:r>
                    <w:rPr/>
                    <w:t>A</w:t>
                  </w:r>
                  <w:r>
                    <w:rPr>
                      <w:spacing w:val="-17"/>
                    </w:rPr>
                    <w:t> </w:t>
                  </w:r>
                  <w:r>
                    <w:rPr/>
                    <w:t>storage</w:t>
                  </w:r>
                  <w:r>
                    <w:rPr>
                      <w:spacing w:val="-5"/>
                    </w:rPr>
                    <w:t> </w:t>
                  </w:r>
                  <w:r>
                    <w:rPr/>
                    <w:t>production</w:t>
                  </w:r>
                  <w:r>
                    <w:rPr>
                      <w:spacing w:val="-6"/>
                    </w:rPr>
                    <w:t> </w:t>
                  </w:r>
                  <w:r>
                    <w:rPr/>
                    <w:t>rate</w:t>
                  </w:r>
                  <w:r>
                    <w:rPr>
                      <w:spacing w:val="-5"/>
                    </w:rPr>
                    <w:t> </w:t>
                  </w:r>
                  <w:r>
                    <w:rPr/>
                    <w:t>of</w:t>
                  </w:r>
                  <w:r>
                    <w:rPr>
                      <w:spacing w:val="-6"/>
                    </w:rPr>
                    <w:t> </w:t>
                  </w:r>
                  <w:r>
                    <w:rPr/>
                    <w:t>450,000</w:t>
                  </w:r>
                  <w:r>
                    <w:rPr>
                      <w:spacing w:val="-5"/>
                    </w:rPr>
                    <w:t> </w:t>
                  </w:r>
                  <w:r>
                    <w:rPr/>
                    <w:t>m³</w:t>
                  </w:r>
                  <w:r>
                    <w:rPr>
                      <w:spacing w:val="-6"/>
                    </w:rPr>
                    <w:t> </w:t>
                  </w:r>
                  <w:r>
                    <w:rPr/>
                    <w:t>h</w:t>
                  </w:r>
                  <w:r>
                    <w:rPr>
                      <w:position w:val="7"/>
                      <w:sz w:val="11"/>
                    </w:rPr>
                    <w:t>–1</w:t>
                  </w:r>
                  <w:r>
                    <w:rPr>
                      <w:spacing w:val="17"/>
                      <w:position w:val="7"/>
                      <w:sz w:val="11"/>
                    </w:rPr>
                    <w:t> </w:t>
                  </w:r>
                  <w:r>
                    <w:rPr/>
                    <w:t>can be achieved with the existing storage wells and surface facilities. Although the geological and engineering aspects and scale</w:t>
                  </w:r>
                  <w:bookmarkStart w:name="5.2.5 Security and duration of CO2 stora" w:id="36"/>
                  <w:bookmarkEnd w:id="36"/>
                  <w:r>
                    <w:rPr/>
                  </w:r>
                  <w:r>
                    <w:rPr/>
                    <w:t> of the facility make it a useful analogue for a small CO</w:t>
                  </w:r>
                  <w:r>
                    <w:rPr>
                      <w:position w:val="-6"/>
                      <w:sz w:val="11"/>
                    </w:rPr>
                    <w:t>2 </w:t>
                  </w:r>
                  <w:r>
                    <w:rPr/>
                    <w:t>storage project, this project is more complex because the input and output for natural gas is highly variable, depending on consumer demand. The risk profiles are also different, considering the highly flammable and explosive nature of natural gas and conversely the reactive nature of</w:t>
                  </w:r>
                  <w:r>
                    <w:rPr>
                      <w:spacing w:val="-6"/>
                    </w:rPr>
                    <w:t> </w:t>
                  </w:r>
                  <w:r>
                    <w:rPr/>
                    <w:t>CO</w:t>
                  </w:r>
                  <w:r>
                    <w:rPr>
                      <w:position w:val="-6"/>
                      <w:sz w:val="11"/>
                    </w:rPr>
                    <w:t>2</w:t>
                  </w:r>
                  <w:r>
                    <w:rPr/>
                    <w:t>.</w:t>
                  </w:r>
                </w:p>
                <w:p>
                  <w:pPr>
                    <w:pStyle w:val="BodyText"/>
                    <w:spacing w:line="249" w:lineRule="auto" w:before="6"/>
                    <w:ind w:left="165" w:right="159" w:firstLine="550"/>
                    <w:jc w:val="both"/>
                  </w:pPr>
                  <w:r>
                    <w:rPr/>
                    <w:t>The facility lies to the east of the North German Basin, which is part of a complex of basin structures extending from The</w:t>
                  </w:r>
                  <w:r>
                    <w:rPr>
                      <w:spacing w:val="-9"/>
                    </w:rPr>
                    <w:t> </w:t>
                  </w:r>
                  <w:r>
                    <w:rPr/>
                    <w:t>Netherlands</w:t>
                  </w:r>
                  <w:r>
                    <w:rPr>
                      <w:spacing w:val="-10"/>
                    </w:rPr>
                    <w:t> </w:t>
                  </w:r>
                  <w:r>
                    <w:rPr/>
                    <w:t>to</w:t>
                  </w:r>
                  <w:r>
                    <w:rPr>
                      <w:spacing w:val="-9"/>
                    </w:rPr>
                    <w:t> </w:t>
                  </w:r>
                  <w:r>
                    <w:rPr/>
                    <w:t>Poland.</w:t>
                  </w:r>
                  <w:r>
                    <w:rPr>
                      <w:spacing w:val="-13"/>
                    </w:rPr>
                    <w:t> </w:t>
                  </w:r>
                  <w:r>
                    <w:rPr/>
                    <w:t>The</w:t>
                  </w:r>
                  <w:r>
                    <w:rPr>
                      <w:spacing w:val="-9"/>
                    </w:rPr>
                    <w:t> </w:t>
                  </w:r>
                  <w:r>
                    <w:rPr/>
                    <w:t>sandstone</w:t>
                  </w:r>
                  <w:r>
                    <w:rPr>
                      <w:spacing w:val="-10"/>
                    </w:rPr>
                    <w:t> </w:t>
                  </w:r>
                  <w:r>
                    <w:rPr/>
                    <w:t>storage</w:t>
                  </w:r>
                  <w:r>
                    <w:rPr>
                      <w:spacing w:val="-10"/>
                    </w:rPr>
                    <w:t> </w:t>
                  </w:r>
                  <w:r>
                    <w:rPr/>
                    <w:t>horizons</w:t>
                  </w:r>
                  <w:r>
                    <w:rPr>
                      <w:spacing w:val="-8"/>
                    </w:rPr>
                    <w:t> </w:t>
                  </w:r>
                  <w:r>
                    <w:rPr/>
                    <w:t>are</w:t>
                  </w:r>
                  <w:r>
                    <w:rPr>
                      <w:spacing w:val="-9"/>
                    </w:rPr>
                    <w:t> </w:t>
                  </w:r>
                  <w:r>
                    <w:rPr/>
                    <w:t>at</w:t>
                  </w:r>
                  <w:r>
                    <w:rPr>
                      <w:spacing w:val="-9"/>
                    </w:rPr>
                    <w:t> </w:t>
                  </w:r>
                  <w:r>
                    <w:rPr/>
                    <w:t>approximately</w:t>
                  </w:r>
                  <w:r>
                    <w:rPr>
                      <w:spacing w:val="-10"/>
                    </w:rPr>
                    <w:t> </w:t>
                  </w:r>
                  <w:r>
                    <w:rPr/>
                    <w:t>800</w:t>
                  </w:r>
                  <w:r>
                    <w:rPr>
                      <w:spacing w:val="-9"/>
                    </w:rPr>
                    <w:t> </w:t>
                  </w:r>
                  <w:r>
                    <w:rPr/>
                    <w:t>m</w:t>
                  </w:r>
                  <w:r>
                    <w:rPr>
                      <w:spacing w:val="-9"/>
                    </w:rPr>
                    <w:t> </w:t>
                  </w:r>
                  <w:r>
                    <w:rPr/>
                    <w:t>below</w:t>
                  </w:r>
                  <w:r>
                    <w:rPr>
                      <w:spacing w:val="-9"/>
                    </w:rPr>
                    <w:t> </w:t>
                  </w:r>
                  <w:r>
                    <w:rPr/>
                    <w:t>sea</w:t>
                  </w:r>
                  <w:r>
                    <w:rPr>
                      <w:spacing w:val="-10"/>
                    </w:rPr>
                    <w:t> </w:t>
                  </w:r>
                  <w:r>
                    <w:rPr/>
                    <w:t>level.</w:t>
                  </w:r>
                  <w:r>
                    <w:rPr>
                      <w:spacing w:val="-12"/>
                    </w:rPr>
                    <w:t> </w:t>
                  </w:r>
                  <w:r>
                    <w:rPr/>
                    <w:t>The</w:t>
                  </w:r>
                  <w:r>
                    <w:rPr>
                      <w:spacing w:val="-9"/>
                    </w:rPr>
                    <w:t> </w:t>
                  </w:r>
                  <w:r>
                    <w:rPr/>
                    <w:t>gas</w:t>
                  </w:r>
                  <w:r>
                    <w:rPr>
                      <w:spacing w:val="-9"/>
                    </w:rPr>
                    <w:t> </w:t>
                  </w:r>
                  <w:r>
                    <w:rPr/>
                    <w:t>storage</w:t>
                  </w:r>
                  <w:r>
                    <w:rPr>
                      <w:spacing w:val="-10"/>
                    </w:rPr>
                    <w:t> </w:t>
                  </w:r>
                  <w:r>
                    <w:rPr/>
                    <w:t>layers are</w:t>
                  </w:r>
                  <w:r>
                    <w:rPr>
                      <w:spacing w:val="-3"/>
                    </w:rPr>
                    <w:t> </w:t>
                  </w:r>
                  <w:r>
                    <w:rPr/>
                    <w:t>covered</w:t>
                  </w:r>
                  <w:r>
                    <w:rPr>
                      <w:spacing w:val="-2"/>
                    </w:rPr>
                    <w:t> </w:t>
                  </w:r>
                  <w:r>
                    <w:rPr/>
                    <w:t>with</w:t>
                  </w:r>
                  <w:r>
                    <w:rPr>
                      <w:spacing w:val="-2"/>
                    </w:rPr>
                    <w:t> </w:t>
                  </w:r>
                  <w:r>
                    <w:rPr/>
                    <w:t>layers</w:t>
                  </w:r>
                  <w:r>
                    <w:rPr>
                      <w:spacing w:val="-3"/>
                    </w:rPr>
                    <w:t> </w:t>
                  </w:r>
                  <w:r>
                    <w:rPr/>
                    <w:t>of</w:t>
                  </w:r>
                  <w:r>
                    <w:rPr>
                      <w:spacing w:val="-2"/>
                    </w:rPr>
                    <w:t> </w:t>
                  </w:r>
                  <w:r>
                    <w:rPr/>
                    <w:t>claystone,</w:t>
                  </w:r>
                  <w:r>
                    <w:rPr>
                      <w:spacing w:val="-2"/>
                    </w:rPr>
                    <w:t> </w:t>
                  </w:r>
                  <w:r>
                    <w:rPr/>
                    <w:t>anhydrite</w:t>
                  </w:r>
                  <w:r>
                    <w:rPr>
                      <w:spacing w:val="-3"/>
                    </w:rPr>
                    <w:t> </w:t>
                  </w:r>
                  <w:r>
                    <w:rPr/>
                    <w:t>and</w:t>
                  </w:r>
                  <w:r>
                    <w:rPr>
                      <w:spacing w:val="-2"/>
                    </w:rPr>
                    <w:t> </w:t>
                  </w:r>
                  <w:r>
                    <w:rPr/>
                    <w:t>halite,</w:t>
                  </w:r>
                  <w:r>
                    <w:rPr>
                      <w:spacing w:val="-2"/>
                    </w:rPr>
                    <w:t> </w:t>
                  </w:r>
                  <w:r>
                    <w:rPr/>
                    <w:t>approximately</w:t>
                  </w:r>
                  <w:r>
                    <w:rPr>
                      <w:spacing w:val="-3"/>
                    </w:rPr>
                    <w:t> </w:t>
                  </w:r>
                  <w:r>
                    <w:rPr/>
                    <w:t>200</w:t>
                  </w:r>
                  <w:r>
                    <w:rPr>
                      <w:spacing w:val="-2"/>
                    </w:rPr>
                    <w:t> </w:t>
                  </w:r>
                  <w:r>
                    <w:rPr/>
                    <w:t>m</w:t>
                  </w:r>
                  <w:r>
                    <w:rPr>
                      <w:spacing w:val="-2"/>
                    </w:rPr>
                    <w:t> </w:t>
                  </w:r>
                  <w:r>
                    <w:rPr/>
                    <w:t>thick.</w:t>
                  </w:r>
                  <w:r>
                    <w:rPr>
                      <w:spacing w:val="-6"/>
                    </w:rPr>
                    <w:t> </w:t>
                  </w:r>
                  <w:r>
                    <w:rPr/>
                    <w:t>This</w:t>
                  </w:r>
                  <w:r>
                    <w:rPr>
                      <w:spacing w:val="-2"/>
                    </w:rPr>
                    <w:t> </w:t>
                  </w:r>
                  <w:r>
                    <w:rPr/>
                    <w:t>site</w:t>
                  </w:r>
                  <w:r>
                    <w:rPr>
                      <w:spacing w:val="-2"/>
                    </w:rPr>
                    <w:t> </w:t>
                  </w:r>
                  <w:r>
                    <w:rPr/>
                    <w:t>has</w:t>
                  </w:r>
                  <w:r>
                    <w:rPr>
                      <w:spacing w:val="-3"/>
                    </w:rPr>
                    <w:t> </w:t>
                  </w:r>
                  <w:r>
                    <w:rPr/>
                    <w:t>complicated</w:t>
                  </w:r>
                  <w:r>
                    <w:rPr>
                      <w:spacing w:val="-2"/>
                    </w:rPr>
                    <w:t> </w:t>
                  </w:r>
                  <w:r>
                    <w:rPr/>
                    <w:t>tectonics</w:t>
                  </w:r>
                  <w:r>
                    <w:rPr>
                      <w:spacing w:val="-2"/>
                    </w:rPr>
                    <w:t> </w:t>
                  </w:r>
                  <w:r>
                    <w:rPr/>
                    <w:t>and heterogeneous reservoir lithologies.</w:t>
                  </w:r>
                </w:p>
                <w:p>
                  <w:pPr>
                    <w:pStyle w:val="BodyText"/>
                    <w:spacing w:line="249" w:lineRule="auto" w:before="3"/>
                    <w:ind w:left="165" w:right="162" w:firstLine="550"/>
                    <w:jc w:val="both"/>
                  </w:pPr>
                  <w:r>
                    <w:rPr>
                      <w:spacing w:val="-3"/>
                    </w:rPr>
                    <w:t>Twelve </w:t>
                  </w:r>
                  <w:r>
                    <w:rPr/>
                    <w:t>wells drilled at three sites are available for natural gas storage operation. The varying storage sand types also require</w:t>
                  </w:r>
                  <w:r>
                    <w:rPr>
                      <w:spacing w:val="-6"/>
                    </w:rPr>
                    <w:t> </w:t>
                  </w:r>
                  <w:r>
                    <w:rPr/>
                    <w:t>different</w:t>
                  </w:r>
                  <w:r>
                    <w:rPr>
                      <w:spacing w:val="-6"/>
                    </w:rPr>
                    <w:t> </w:t>
                  </w:r>
                  <w:r>
                    <w:rPr/>
                    <w:t>methods</w:t>
                  </w:r>
                  <w:r>
                    <w:rPr>
                      <w:spacing w:val="-5"/>
                    </w:rPr>
                    <w:t> </w:t>
                  </w:r>
                  <w:r>
                    <w:rPr/>
                    <w:t>of</w:t>
                  </w:r>
                  <w:r>
                    <w:rPr>
                      <w:spacing w:val="-6"/>
                    </w:rPr>
                    <w:t> </w:t>
                  </w:r>
                  <w:r>
                    <w:rPr/>
                    <w:t>completion</w:t>
                  </w:r>
                  <w:r>
                    <w:rPr>
                      <w:spacing w:val="-5"/>
                    </w:rPr>
                    <w:t> </w:t>
                  </w:r>
                  <w:r>
                    <w:rPr/>
                    <w:t>of</w:t>
                  </w:r>
                  <w:r>
                    <w:rPr>
                      <w:spacing w:val="-6"/>
                    </w:rPr>
                    <w:t> </w:t>
                  </w:r>
                  <w:r>
                    <w:rPr/>
                    <w:t>the</w:t>
                  </w:r>
                  <w:r>
                    <w:rPr>
                      <w:spacing w:val="-5"/>
                    </w:rPr>
                    <w:t> </w:t>
                  </w:r>
                  <w:r>
                    <w:rPr/>
                    <w:t>wells.</w:t>
                  </w:r>
                  <w:r>
                    <w:rPr>
                      <w:spacing w:val="-10"/>
                    </w:rPr>
                    <w:t> </w:t>
                  </w:r>
                  <w:r>
                    <w:rPr/>
                    <w:t>The</w:t>
                  </w:r>
                  <w:r>
                    <w:rPr>
                      <w:spacing w:val="-5"/>
                    </w:rPr>
                    <w:t> </w:t>
                  </w:r>
                  <w:r>
                    <w:rPr/>
                    <w:t>wells</w:t>
                  </w:r>
                  <w:r>
                    <w:rPr>
                      <w:spacing w:val="-6"/>
                    </w:rPr>
                    <w:t> </w:t>
                  </w:r>
                  <w:r>
                    <w:rPr/>
                    <w:t>also</w:t>
                  </w:r>
                  <w:r>
                    <w:rPr>
                      <w:spacing w:val="-5"/>
                    </w:rPr>
                    <w:t> </w:t>
                  </w:r>
                  <w:r>
                    <w:rPr/>
                    <w:t>have</w:t>
                  </w:r>
                  <w:r>
                    <w:rPr>
                      <w:spacing w:val="-6"/>
                    </w:rPr>
                    <w:t> </w:t>
                  </w:r>
                  <w:r>
                    <w:rPr/>
                    <w:t>major</w:t>
                  </w:r>
                  <w:r>
                    <w:rPr>
                      <w:spacing w:val="-5"/>
                    </w:rPr>
                    <w:t> </w:t>
                  </w:r>
                  <w:r>
                    <w:rPr/>
                    <w:t>differences</w:t>
                  </w:r>
                  <w:r>
                    <w:rPr>
                      <w:spacing w:val="-6"/>
                    </w:rPr>
                    <w:t> </w:t>
                  </w:r>
                  <w:r>
                    <w:rPr/>
                    <w:t>in</w:t>
                  </w:r>
                  <w:r>
                    <w:rPr>
                      <w:spacing w:val="-5"/>
                    </w:rPr>
                    <w:t> </w:t>
                  </w:r>
                  <w:r>
                    <w:rPr/>
                    <w:t>their</w:t>
                  </w:r>
                  <w:r>
                    <w:rPr>
                      <w:spacing w:val="-6"/>
                    </w:rPr>
                    <w:t> </w:t>
                  </w:r>
                  <w:r>
                    <w:rPr/>
                    <w:t>production</w:t>
                  </w:r>
                  <w:r>
                    <w:rPr>
                      <w:spacing w:val="-5"/>
                    </w:rPr>
                    <w:t> </w:t>
                  </w:r>
                  <w:r>
                    <w:rPr/>
                    <w:t>behaviour.</w:t>
                  </w:r>
                  <w:r>
                    <w:rPr>
                      <w:spacing w:val="-10"/>
                    </w:rPr>
                    <w:t> </w:t>
                  </w:r>
                  <w:r>
                    <w:rPr/>
                    <w:t>The wellheads of the storage wells and of the water disposal wells are housed in 5 m deep cellars covered with concrete plates, with</w:t>
                  </w:r>
                  <w:r>
                    <w:rPr>
                      <w:spacing w:val="-7"/>
                    </w:rPr>
                    <w:t> </w:t>
                  </w:r>
                  <w:r>
                    <w:rPr/>
                    <w:t>special</w:t>
                  </w:r>
                  <w:r>
                    <w:rPr>
                      <w:spacing w:val="-6"/>
                    </w:rPr>
                    <w:t> </w:t>
                  </w:r>
                  <w:r>
                    <w:rPr/>
                    <w:t>steel</w:t>
                  </w:r>
                  <w:r>
                    <w:rPr>
                      <w:spacing w:val="-6"/>
                    </w:rPr>
                    <w:t> </w:t>
                  </w:r>
                  <w:r>
                    <w:rPr/>
                    <w:t>covers</w:t>
                  </w:r>
                  <w:r>
                    <w:rPr>
                      <w:spacing w:val="-6"/>
                    </w:rPr>
                    <w:t> </w:t>
                  </w:r>
                  <w:r>
                    <w:rPr/>
                    <w:t>over</w:t>
                  </w:r>
                  <w:r>
                    <w:rPr>
                      <w:spacing w:val="-5"/>
                    </w:rPr>
                    <w:t> </w:t>
                  </w:r>
                  <w:r>
                    <w:rPr/>
                    <w:t>the</w:t>
                  </w:r>
                  <w:r>
                    <w:rPr>
                      <w:spacing w:val="-6"/>
                    </w:rPr>
                    <w:t> </w:t>
                  </w:r>
                  <w:r>
                    <w:rPr/>
                    <w:t>wellheads</w:t>
                  </w:r>
                  <w:r>
                    <w:rPr>
                      <w:spacing w:val="-6"/>
                    </w:rPr>
                    <w:t> </w:t>
                  </w:r>
                  <w:r>
                    <w:rPr/>
                    <w:t>to</w:t>
                  </w:r>
                  <w:r>
                    <w:rPr>
                      <w:spacing w:val="-6"/>
                    </w:rPr>
                    <w:t> </w:t>
                  </w:r>
                  <w:r>
                    <w:rPr/>
                    <w:t>allow</w:t>
                  </w:r>
                  <w:r>
                    <w:rPr>
                      <w:spacing w:val="-5"/>
                    </w:rPr>
                    <w:t> </w:t>
                  </w:r>
                  <w:r>
                    <w:rPr/>
                    <w:t>for</w:t>
                  </w:r>
                  <w:r>
                    <w:rPr>
                      <w:spacing w:val="-5"/>
                    </w:rPr>
                    <w:t> </w:t>
                  </w:r>
                  <w:r>
                    <w:rPr/>
                    <w:t>wireline</w:t>
                  </w:r>
                  <w:r>
                    <w:rPr>
                      <w:spacing w:val="-7"/>
                    </w:rPr>
                    <w:t> </w:t>
                  </w:r>
                  <w:r>
                    <w:rPr/>
                    <w:t>logging.</w:t>
                  </w:r>
                  <w:r>
                    <w:rPr>
                      <w:spacing w:val="-5"/>
                    </w:rPr>
                    <w:t> </w:t>
                  </w:r>
                  <w:r>
                    <w:rPr/>
                    <w:t>Because</w:t>
                  </w:r>
                  <w:r>
                    <w:rPr>
                      <w:spacing w:val="-6"/>
                    </w:rPr>
                    <w:t> </w:t>
                  </w:r>
                  <w:r>
                    <w:rPr/>
                    <w:t>of</w:t>
                  </w:r>
                  <w:r>
                    <w:rPr>
                      <w:spacing w:val="-5"/>
                    </w:rPr>
                    <w:t> </w:t>
                  </w:r>
                  <w:r>
                    <w:rPr/>
                    <w:t>the</w:t>
                  </w:r>
                  <w:r>
                    <w:rPr>
                      <w:spacing w:val="-6"/>
                    </w:rPr>
                    <w:t> </w:t>
                  </w:r>
                  <w:r>
                    <w:rPr/>
                    <w:t>urban</w:t>
                  </w:r>
                  <w:r>
                    <w:rPr>
                      <w:spacing w:val="-5"/>
                    </w:rPr>
                    <w:t> </w:t>
                  </w:r>
                  <w:r>
                    <w:rPr/>
                    <w:t>location,</w:t>
                  </w:r>
                  <w:r>
                    <w:rPr>
                      <w:spacing w:val="-6"/>
                    </w:rPr>
                    <w:t> </w:t>
                  </w:r>
                  <w:r>
                    <w:rPr/>
                    <w:t>a</w:t>
                  </w:r>
                  <w:r>
                    <w:rPr>
                      <w:spacing w:val="-6"/>
                    </w:rPr>
                    <w:t> </w:t>
                  </w:r>
                  <w:r>
                    <w:rPr/>
                    <w:t>total</w:t>
                  </w:r>
                  <w:r>
                    <w:rPr>
                      <w:spacing w:val="-6"/>
                    </w:rPr>
                    <w:t> </w:t>
                  </w:r>
                  <w:r>
                    <w:rPr/>
                    <w:t>of</w:t>
                  </w:r>
                  <w:r>
                    <w:rPr>
                      <w:spacing w:val="-5"/>
                    </w:rPr>
                    <w:t> </w:t>
                  </w:r>
                  <w:r>
                    <w:rPr/>
                    <w:t>16</w:t>
                  </w:r>
                  <w:r>
                    <w:rPr>
                      <w:spacing w:val="-5"/>
                    </w:rPr>
                    <w:t> </w:t>
                  </w:r>
                  <w:r>
                    <w:rPr/>
                    <w:t>deviated storage wells and water disposal wells were concentrated at four sites. Facilities containing substances that could endanger water are set up within fluid-tight concrete enclosures and/or have their own watertight concrete</w:t>
                  </w:r>
                  <w:r>
                    <w:rPr>
                      <w:spacing w:val="-19"/>
                    </w:rPr>
                    <w:t> </w:t>
                  </w:r>
                  <w:r>
                    <w:rPr/>
                    <w:t>enclosures.</w:t>
                  </w:r>
                </w:p>
              </w:txbxContent>
            </v:textbox>
            <v:stroke dashstyle="solid"/>
            <w10:wrap type="topAndBottom"/>
          </v:shape>
        </w:pict>
      </w:r>
      <w:bookmarkStart w:name="_bookmark22" w:id="37"/>
      <w:bookmarkEnd w:id="37"/>
      <w:r>
        <w:rPr/>
      </w:r>
      <w:r>
        <w:rPr>
          <w:b/>
        </w:rPr>
        <w:t>Box 5.5 </w:t>
      </w:r>
      <w:r>
        <w:rPr/>
        <w:t>The Berlin Natural Gas Storage Facility.</w:t>
      </w:r>
    </w:p>
    <w:p>
      <w:pPr>
        <w:pStyle w:val="BodyText"/>
        <w:spacing w:before="9"/>
      </w:pPr>
    </w:p>
    <w:p>
      <w:pPr>
        <w:spacing w:after="0"/>
        <w:sectPr>
          <w:pgSz w:w="12240" w:h="15840"/>
          <w:pgMar w:header="567" w:footer="0" w:top="760" w:bottom="280" w:left="580" w:right="600"/>
        </w:sectPr>
      </w:pPr>
    </w:p>
    <w:p>
      <w:pPr>
        <w:pStyle w:val="ListParagraph"/>
        <w:numPr>
          <w:ilvl w:val="3"/>
          <w:numId w:val="1"/>
        </w:numPr>
        <w:tabs>
          <w:tab w:pos="977" w:val="left" w:leader="none"/>
        </w:tabs>
        <w:spacing w:line="240" w:lineRule="auto" w:before="63" w:after="0"/>
        <w:ind w:left="977" w:right="0" w:hanging="820"/>
        <w:jc w:val="both"/>
        <w:rPr>
          <w:i/>
          <w:sz w:val="20"/>
        </w:rPr>
      </w:pPr>
      <w:r>
        <w:rPr>
          <w:i/>
          <w:sz w:val="20"/>
        </w:rPr>
        <w:t>Acid gas injection</w:t>
      </w:r>
    </w:p>
    <w:p>
      <w:pPr>
        <w:pStyle w:val="BodyText"/>
        <w:spacing w:before="7"/>
        <w:rPr>
          <w:i/>
          <w:sz w:val="19"/>
        </w:rPr>
      </w:pPr>
    </w:p>
    <w:p>
      <w:pPr>
        <w:pStyle w:val="BodyText"/>
        <w:spacing w:line="240" w:lineRule="exact"/>
        <w:ind w:left="157" w:right="38"/>
        <w:jc w:val="both"/>
      </w:pPr>
      <w:r>
        <w:rPr/>
        <w:t>Acid gas injection operations represent a commercial analogue for some aspects of geological CO</w:t>
      </w:r>
      <w:r>
        <w:rPr>
          <w:position w:val="-6"/>
          <w:sz w:val="11"/>
        </w:rPr>
        <w:t>2 </w:t>
      </w:r>
      <w:r>
        <w:rPr/>
        <w:t>storage. Acid gas is a mixture of H</w:t>
      </w:r>
      <w:r>
        <w:rPr>
          <w:position w:val="-6"/>
          <w:sz w:val="11"/>
        </w:rPr>
        <w:t>2</w:t>
      </w:r>
      <w:r>
        <w:rPr/>
        <w:t>S and CO</w:t>
      </w:r>
      <w:r>
        <w:rPr>
          <w:position w:val="-6"/>
          <w:sz w:val="11"/>
        </w:rPr>
        <w:t>2</w:t>
      </w:r>
      <w:r>
        <w:rPr/>
        <w:t>, with minor amounts of hydrocarbon gases that can result from petroleum production or processing. In Western Canada, operators are increasingly turning to acid gas disposal by injection into deep geological formations. Although the purpose of the acid gas injection operations is to dispose of H</w:t>
      </w:r>
      <w:r>
        <w:rPr>
          <w:position w:val="-6"/>
          <w:sz w:val="11"/>
        </w:rPr>
        <w:t>2</w:t>
      </w:r>
      <w:r>
        <w:rPr/>
        <w:t>S, significant quantities of CO</w:t>
      </w:r>
      <w:r>
        <w:rPr>
          <w:position w:val="-6"/>
          <w:sz w:val="11"/>
        </w:rPr>
        <w:t>2 </w:t>
      </w:r>
      <w:r>
        <w:rPr/>
        <w:t>are injected at the same time because it is uneconomic to separate the two gases.</w:t>
      </w:r>
    </w:p>
    <w:p>
      <w:pPr>
        <w:pStyle w:val="BodyText"/>
        <w:spacing w:line="240" w:lineRule="exact"/>
        <w:ind w:left="157" w:right="38" w:firstLine="283"/>
        <w:jc w:val="both"/>
      </w:pPr>
      <w:r>
        <w:rPr/>
        <w:t>Currently, regulatory agencies in </w:t>
      </w:r>
      <w:r>
        <w:rPr>
          <w:spacing w:val="-3"/>
        </w:rPr>
        <w:t>Western </w:t>
      </w:r>
      <w:r>
        <w:rPr/>
        <w:t>Canada approve the maximum H</w:t>
      </w:r>
      <w:r>
        <w:rPr>
          <w:position w:val="-6"/>
          <w:sz w:val="11"/>
        </w:rPr>
        <w:t>2</w:t>
      </w:r>
      <w:r>
        <w:rPr/>
        <w:t>S fraction, maximum wellhead injection pressure and rate and maximum injection volume. Acid gas </w:t>
      </w:r>
      <w:r>
        <w:rPr>
          <w:spacing w:val="-6"/>
        </w:rPr>
        <w:t>is </w:t>
      </w:r>
      <w:r>
        <w:rPr/>
        <w:t>currently injected into 51 different formations at 44 </w:t>
      </w:r>
      <w:r>
        <w:rPr>
          <w:spacing w:val="-3"/>
        </w:rPr>
        <w:t>different </w:t>
      </w:r>
      <w:r>
        <w:rPr/>
        <w:t>locations across the Alberta Basin in the provinces of Alberta and British Columbia </w:t>
      </w:r>
      <w:hyperlink w:history="true" w:anchor="_bookmark23">
        <w:r>
          <w:rPr/>
          <w:t>(Figure 5.13).</w:t>
        </w:r>
      </w:hyperlink>
      <w:r>
        <w:rPr/>
        <w:t> Carbon dioxide </w:t>
      </w:r>
      <w:r>
        <w:rPr>
          <w:spacing w:val="-3"/>
        </w:rPr>
        <w:t>often </w:t>
      </w:r>
      <w:r>
        <w:rPr/>
        <w:t>represents the largest component of the injected acid gas stream, in many cases, 14–98% of the total volume. A </w:t>
      </w:r>
      <w:r>
        <w:rPr>
          <w:spacing w:val="28"/>
        </w:rPr>
        <w:t> </w:t>
      </w:r>
      <w:r>
        <w:rPr/>
        <w:t>total of</w:t>
      </w:r>
    </w:p>
    <w:p>
      <w:pPr>
        <w:pStyle w:val="BodyText"/>
        <w:spacing w:line="206" w:lineRule="auto" w:before="24"/>
        <w:ind w:left="157" w:right="38"/>
        <w:jc w:val="both"/>
      </w:pPr>
      <w:r>
        <w:rPr/>
        <w:t>2.5 MtCO</w:t>
      </w:r>
      <w:r>
        <w:rPr>
          <w:position w:val="-6"/>
          <w:sz w:val="11"/>
        </w:rPr>
        <w:t>2 </w:t>
      </w:r>
      <w:r>
        <w:rPr/>
        <w:t>and 2 MtH</w:t>
      </w:r>
      <w:r>
        <w:rPr>
          <w:position w:val="-6"/>
          <w:sz w:val="11"/>
        </w:rPr>
        <w:t>2</w:t>
      </w:r>
      <w:r>
        <w:rPr/>
        <w:t>S had been injected in </w:t>
      </w:r>
      <w:r>
        <w:rPr>
          <w:spacing w:val="-3"/>
        </w:rPr>
        <w:t>Western </w:t>
      </w:r>
      <w:r>
        <w:rPr/>
        <w:t>Canada by</w:t>
      </w:r>
      <w:r>
        <w:rPr>
          <w:spacing w:val="12"/>
        </w:rPr>
        <w:t> </w:t>
      </w:r>
      <w:r>
        <w:rPr/>
        <w:t>the</w:t>
      </w:r>
      <w:r>
        <w:rPr>
          <w:spacing w:val="12"/>
        </w:rPr>
        <w:t> </w:t>
      </w:r>
      <w:r>
        <w:rPr/>
        <w:t>end</w:t>
      </w:r>
      <w:r>
        <w:rPr>
          <w:spacing w:val="13"/>
        </w:rPr>
        <w:t> </w:t>
      </w:r>
      <w:r>
        <w:rPr/>
        <w:t>of</w:t>
      </w:r>
      <w:r>
        <w:rPr>
          <w:spacing w:val="12"/>
        </w:rPr>
        <w:t> </w:t>
      </w:r>
      <w:r>
        <w:rPr/>
        <w:t>2003,</w:t>
      </w:r>
      <w:r>
        <w:rPr>
          <w:spacing w:val="13"/>
        </w:rPr>
        <w:t> </w:t>
      </w:r>
      <w:r>
        <w:rPr/>
        <w:t>at</w:t>
      </w:r>
      <w:r>
        <w:rPr>
          <w:spacing w:val="12"/>
        </w:rPr>
        <w:t> </w:t>
      </w:r>
      <w:r>
        <w:rPr/>
        <w:t>rates</w:t>
      </w:r>
      <w:r>
        <w:rPr>
          <w:spacing w:val="12"/>
        </w:rPr>
        <w:t> </w:t>
      </w:r>
      <w:r>
        <w:rPr/>
        <w:t>of</w:t>
      </w:r>
      <w:r>
        <w:rPr>
          <w:spacing w:val="13"/>
        </w:rPr>
        <w:t> </w:t>
      </w:r>
      <w:r>
        <w:rPr/>
        <w:t>840–500,720</w:t>
      </w:r>
      <w:r>
        <w:rPr>
          <w:spacing w:val="12"/>
        </w:rPr>
        <w:t> </w:t>
      </w:r>
      <w:r>
        <w:rPr/>
        <w:t>m</w:t>
      </w:r>
      <w:r>
        <w:rPr>
          <w:position w:val="7"/>
          <w:sz w:val="11"/>
        </w:rPr>
        <w:t>3 </w:t>
      </w:r>
      <w:r>
        <w:rPr>
          <w:spacing w:val="8"/>
          <w:position w:val="7"/>
          <w:sz w:val="11"/>
        </w:rPr>
        <w:t> </w:t>
      </w:r>
      <w:r>
        <w:rPr/>
        <w:t>day</w:t>
      </w:r>
      <w:r>
        <w:rPr>
          <w:position w:val="7"/>
          <w:sz w:val="11"/>
        </w:rPr>
        <w:t>–1 </w:t>
      </w:r>
      <w:r>
        <w:rPr>
          <w:spacing w:val="7"/>
          <w:position w:val="7"/>
          <w:sz w:val="11"/>
        </w:rPr>
        <w:t> </w:t>
      </w:r>
      <w:r>
        <w:rPr/>
        <w:t>per</w:t>
      </w:r>
      <w:r>
        <w:rPr>
          <w:spacing w:val="12"/>
        </w:rPr>
        <w:t> </w:t>
      </w:r>
      <w:r>
        <w:rPr/>
        <w:t>site,</w:t>
      </w:r>
    </w:p>
    <w:p>
      <w:pPr>
        <w:pStyle w:val="BodyText"/>
        <w:spacing w:before="7"/>
        <w:rPr>
          <w:sz w:val="24"/>
        </w:rPr>
      </w:pPr>
      <w:r>
        <w:rPr/>
        <w:br w:type="column"/>
      </w:r>
      <w:r>
        <w:rPr>
          <w:sz w:val="24"/>
        </w:rPr>
      </w:r>
    </w:p>
    <w:p>
      <w:pPr>
        <w:pStyle w:val="BodyText"/>
        <w:spacing w:line="249" w:lineRule="auto" w:before="1"/>
        <w:ind w:left="157" w:right="531"/>
        <w:jc w:val="both"/>
      </w:pPr>
      <w:r>
        <w:rPr/>
        <w:t>currently</w:t>
      </w:r>
      <w:r>
        <w:rPr>
          <w:spacing w:val="-20"/>
        </w:rPr>
        <w:t> </w:t>
      </w:r>
      <w:r>
        <w:rPr/>
        <w:t>active.</w:t>
      </w:r>
      <w:r>
        <w:rPr>
          <w:spacing w:val="-20"/>
        </w:rPr>
        <w:t> </w:t>
      </w:r>
      <w:r>
        <w:rPr/>
        <w:t>One</w:t>
      </w:r>
      <w:r>
        <w:rPr>
          <w:spacing w:val="-20"/>
        </w:rPr>
        <w:t> </w:t>
      </w:r>
      <w:r>
        <w:rPr/>
        <w:t>operation</w:t>
      </w:r>
      <w:r>
        <w:rPr>
          <w:spacing w:val="-20"/>
        </w:rPr>
        <w:t> </w:t>
      </w:r>
      <w:r>
        <w:rPr/>
        <w:t>was</w:t>
      </w:r>
      <w:r>
        <w:rPr>
          <w:spacing w:val="-20"/>
        </w:rPr>
        <w:t> </w:t>
      </w:r>
      <w:r>
        <w:rPr/>
        <w:t>not</w:t>
      </w:r>
      <w:r>
        <w:rPr>
          <w:spacing w:val="-19"/>
        </w:rPr>
        <w:t> </w:t>
      </w:r>
      <w:r>
        <w:rPr/>
        <w:t>implemented,</w:t>
      </w:r>
      <w:r>
        <w:rPr>
          <w:spacing w:val="-20"/>
        </w:rPr>
        <w:t> </w:t>
      </w:r>
      <w:r>
        <w:rPr/>
        <w:t>three</w:t>
      </w:r>
      <w:r>
        <w:rPr>
          <w:spacing w:val="-20"/>
        </w:rPr>
        <w:t> </w:t>
      </w:r>
      <w:r>
        <w:rPr/>
        <w:t>were rescinded after a period of operation (either because injection volumes reached the approved limit or because the gas </w:t>
      </w:r>
      <w:r>
        <w:rPr>
          <w:spacing w:val="-4"/>
        </w:rPr>
        <w:t>plant </w:t>
      </w:r>
      <w:r>
        <w:rPr/>
        <w:t>producing the acid gas was decommissioned) and three sites were suspended by the regulatory agency because of reservoir overpressuring.</w:t>
      </w:r>
    </w:p>
    <w:p>
      <w:pPr>
        <w:pStyle w:val="BodyText"/>
        <w:spacing w:before="3"/>
        <w:rPr>
          <w:sz w:val="21"/>
        </w:rPr>
      </w:pPr>
    </w:p>
    <w:p>
      <w:pPr>
        <w:pStyle w:val="ListParagraph"/>
        <w:numPr>
          <w:ilvl w:val="3"/>
          <w:numId w:val="1"/>
        </w:numPr>
        <w:tabs>
          <w:tab w:pos="977" w:val="left" w:leader="none"/>
        </w:tabs>
        <w:spacing w:line="240" w:lineRule="auto" w:before="0" w:after="0"/>
        <w:ind w:left="977" w:right="0" w:hanging="820"/>
        <w:jc w:val="both"/>
        <w:rPr>
          <w:i/>
          <w:sz w:val="20"/>
        </w:rPr>
      </w:pPr>
      <w:r>
        <w:rPr>
          <w:i/>
          <w:sz w:val="20"/>
        </w:rPr>
        <w:t>Liquid waste</w:t>
      </w:r>
      <w:r>
        <w:rPr>
          <w:i/>
          <w:spacing w:val="-2"/>
          <w:sz w:val="20"/>
        </w:rPr>
        <w:t> </w:t>
      </w:r>
      <w:r>
        <w:rPr>
          <w:i/>
          <w:sz w:val="20"/>
        </w:rPr>
        <w:t>injection</w:t>
      </w:r>
    </w:p>
    <w:p>
      <w:pPr>
        <w:pStyle w:val="BodyText"/>
        <w:spacing w:line="240" w:lineRule="exact" w:before="5"/>
        <w:ind w:left="157" w:right="529"/>
        <w:jc w:val="both"/>
      </w:pPr>
      <w:r>
        <w:rPr/>
        <w:t>In many parts of the world, large volumes of liquid waste are injected into the deep subsurface every </w:t>
      </w:r>
      <w:r>
        <w:rPr>
          <w:spacing w:val="-4"/>
        </w:rPr>
        <w:t>day. </w:t>
      </w:r>
      <w:r>
        <w:rPr/>
        <w:t>For example, for the past 60 years, approximately 9 billion gallons (34.1 million m</w:t>
      </w:r>
      <w:r>
        <w:rPr>
          <w:position w:val="7"/>
          <w:sz w:val="11"/>
        </w:rPr>
        <w:t>3</w:t>
      </w:r>
      <w:r>
        <w:rPr/>
        <w:t>) of hazardous waste is injected into saline formations in the United</w:t>
      </w:r>
      <w:r>
        <w:rPr>
          <w:spacing w:val="-8"/>
        </w:rPr>
        <w:t> </w:t>
      </w:r>
      <w:r>
        <w:rPr/>
        <w:t>States</w:t>
      </w:r>
      <w:r>
        <w:rPr>
          <w:spacing w:val="-8"/>
        </w:rPr>
        <w:t> </w:t>
      </w:r>
      <w:r>
        <w:rPr/>
        <w:t>from</w:t>
      </w:r>
      <w:r>
        <w:rPr>
          <w:spacing w:val="-8"/>
        </w:rPr>
        <w:t> </w:t>
      </w:r>
      <w:r>
        <w:rPr/>
        <w:t>about</w:t>
      </w:r>
      <w:r>
        <w:rPr>
          <w:spacing w:val="-8"/>
        </w:rPr>
        <w:t> </w:t>
      </w:r>
      <w:r>
        <w:rPr/>
        <w:t>500</w:t>
      </w:r>
      <w:r>
        <w:rPr>
          <w:spacing w:val="-8"/>
        </w:rPr>
        <w:t> </w:t>
      </w:r>
      <w:r>
        <w:rPr/>
        <w:t>wells</w:t>
      </w:r>
      <w:r>
        <w:rPr>
          <w:spacing w:val="-8"/>
        </w:rPr>
        <w:t> </w:t>
      </w:r>
      <w:r>
        <w:rPr/>
        <w:t>each</w:t>
      </w:r>
      <w:r>
        <w:rPr>
          <w:spacing w:val="-8"/>
        </w:rPr>
        <w:t> </w:t>
      </w:r>
      <w:r>
        <w:rPr>
          <w:spacing w:val="-3"/>
        </w:rPr>
        <w:t>year.</w:t>
      </w:r>
      <w:r>
        <w:rPr>
          <w:spacing w:val="-8"/>
        </w:rPr>
        <w:t> </w:t>
      </w:r>
      <w:r>
        <w:rPr/>
        <w:t>In</w:t>
      </w:r>
      <w:r>
        <w:rPr>
          <w:spacing w:val="-8"/>
        </w:rPr>
        <w:t> </w:t>
      </w:r>
      <w:r>
        <w:rPr/>
        <w:t>addition,</w:t>
      </w:r>
      <w:r>
        <w:rPr>
          <w:spacing w:val="-8"/>
        </w:rPr>
        <w:t> </w:t>
      </w:r>
      <w:r>
        <w:rPr/>
        <w:t>more than 750 billion gallons (2843 million m</w:t>
      </w:r>
      <w:r>
        <w:rPr>
          <w:position w:val="7"/>
          <w:sz w:val="11"/>
        </w:rPr>
        <w:t>3</w:t>
      </w:r>
      <w:r>
        <w:rPr/>
        <w:t>) of oil field brines are injected from 150,000 wells each </w:t>
      </w:r>
      <w:r>
        <w:rPr>
          <w:spacing w:val="-3"/>
        </w:rPr>
        <w:t>year. </w:t>
      </w:r>
      <w:r>
        <w:rPr/>
        <w:t>This combined annual US injectate volume of about 3000 million m</w:t>
      </w:r>
      <w:r>
        <w:rPr>
          <w:position w:val="7"/>
          <w:sz w:val="11"/>
        </w:rPr>
        <w:t>3</w:t>
      </w:r>
      <w:r>
        <w:rPr/>
        <w:t>, when converted to volume equivalent, corresponds to the volume   of approximately 2 GtCO</w:t>
      </w:r>
      <w:r>
        <w:rPr>
          <w:position w:val="-6"/>
          <w:sz w:val="11"/>
        </w:rPr>
        <w:t>2 </w:t>
      </w:r>
      <w:r>
        <w:rPr/>
        <w:t>at a depth of 1 km. Therefore, the experience gained from existing deep-fluid-injection projects</w:t>
      </w:r>
      <w:r>
        <w:rPr>
          <w:spacing w:val="-34"/>
        </w:rPr>
        <w:t> </w:t>
      </w:r>
      <w:r>
        <w:rPr>
          <w:spacing w:val="-7"/>
        </w:rPr>
        <w:t>is </w:t>
      </w:r>
      <w:r>
        <w:rPr/>
        <w:t>relevant</w:t>
      </w:r>
      <w:r>
        <w:rPr>
          <w:spacing w:val="20"/>
        </w:rPr>
        <w:t> </w:t>
      </w:r>
      <w:r>
        <w:rPr/>
        <w:t>in</w:t>
      </w:r>
      <w:r>
        <w:rPr>
          <w:spacing w:val="20"/>
        </w:rPr>
        <w:t> </w:t>
      </w:r>
      <w:r>
        <w:rPr/>
        <w:t>terms</w:t>
      </w:r>
      <w:r>
        <w:rPr>
          <w:spacing w:val="20"/>
        </w:rPr>
        <w:t> </w:t>
      </w:r>
      <w:r>
        <w:rPr/>
        <w:t>of</w:t>
      </w:r>
      <w:r>
        <w:rPr>
          <w:spacing w:val="20"/>
        </w:rPr>
        <w:t> </w:t>
      </w:r>
      <w:r>
        <w:rPr/>
        <w:t>the</w:t>
      </w:r>
      <w:r>
        <w:rPr>
          <w:spacing w:val="20"/>
        </w:rPr>
        <w:t> </w:t>
      </w:r>
      <w:r>
        <w:rPr/>
        <w:t>style</w:t>
      </w:r>
      <w:r>
        <w:rPr>
          <w:spacing w:val="20"/>
        </w:rPr>
        <w:t> </w:t>
      </w:r>
      <w:r>
        <w:rPr/>
        <w:t>of</w:t>
      </w:r>
      <w:r>
        <w:rPr>
          <w:spacing w:val="20"/>
        </w:rPr>
        <w:t> </w:t>
      </w:r>
      <w:r>
        <w:rPr/>
        <w:t>operation</w:t>
      </w:r>
      <w:r>
        <w:rPr>
          <w:spacing w:val="20"/>
        </w:rPr>
        <w:t> </w:t>
      </w:r>
      <w:r>
        <w:rPr/>
        <w:t>and</w:t>
      </w:r>
      <w:r>
        <w:rPr>
          <w:spacing w:val="20"/>
        </w:rPr>
        <w:t> </w:t>
      </w:r>
      <w:r>
        <w:rPr/>
        <w:t>is</w:t>
      </w:r>
      <w:r>
        <w:rPr>
          <w:spacing w:val="21"/>
        </w:rPr>
        <w:t> </w:t>
      </w:r>
      <w:r>
        <w:rPr/>
        <w:t>of</w:t>
      </w:r>
      <w:r>
        <w:rPr>
          <w:spacing w:val="20"/>
        </w:rPr>
        <w:t> </w:t>
      </w:r>
      <w:r>
        <w:rPr/>
        <w:t>a</w:t>
      </w:r>
      <w:r>
        <w:rPr>
          <w:spacing w:val="20"/>
        </w:rPr>
        <w:t> </w:t>
      </w:r>
      <w:r>
        <w:rPr/>
        <w:t>similar</w:t>
      </w:r>
    </w:p>
    <w:p>
      <w:pPr>
        <w:spacing w:after="0" w:line="240" w:lineRule="exact"/>
        <w:jc w:val="both"/>
        <w:sectPr>
          <w:type w:val="continuous"/>
          <w:pgSz w:w="12240" w:h="15840"/>
          <w:pgMar w:top="400" w:bottom="280" w:left="580" w:right="600"/>
          <w:cols w:num="2" w:equalWidth="0">
            <w:col w:w="5242" w:space="84"/>
            <w:col w:w="5734"/>
          </w:cols>
        </w:sectPr>
      </w:pPr>
    </w:p>
    <w:p>
      <w:pPr>
        <w:pStyle w:val="BodyText"/>
        <w:spacing w:line="260" w:lineRule="exact" w:before="5"/>
        <w:ind w:left="157"/>
        <w:rPr>
          <w:sz w:val="11"/>
        </w:rPr>
      </w:pPr>
      <w:r>
        <w:rPr/>
        <w:t>with an aggregate injection rate in 2003 of 0.45 </w:t>
      </w:r>
      <w:r>
        <w:rPr>
          <w:spacing w:val="-4"/>
        </w:rPr>
        <w:t>MtCO</w:t>
      </w:r>
      <w:r>
        <w:rPr>
          <w:spacing w:val="-4"/>
          <w:position w:val="-6"/>
          <w:sz w:val="11"/>
        </w:rPr>
        <w:t>2</w:t>
      </w:r>
    </w:p>
    <w:p>
      <w:pPr>
        <w:pStyle w:val="BodyText"/>
        <w:spacing w:line="210" w:lineRule="exact"/>
        <w:ind w:left="157"/>
      </w:pPr>
      <w:r>
        <w:rPr/>
        <w:pict>
          <v:shape style="position:absolute;margin-left:75.741997pt;margin-top:7.28062pt;width:2.95pt;height:5.85pt;mso-position-horizontal-relative:page;mso-position-vertical-relative:paragraph;z-index:-25886310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0.55 MtH S yr</w:t>
      </w:r>
      <w:r>
        <w:rPr>
          <w:position w:val="7"/>
          <w:sz w:val="11"/>
        </w:rPr>
        <w:t>-1</w:t>
      </w:r>
      <w:r>
        <w:rPr/>
        <w:t>, with no detectable leakage.</w:t>
      </w:r>
    </w:p>
    <w:p>
      <w:pPr>
        <w:spacing w:before="5"/>
        <w:ind w:left="8" w:right="0" w:firstLine="0"/>
        <w:jc w:val="left"/>
        <w:rPr>
          <w:sz w:val="20"/>
        </w:rPr>
      </w:pPr>
      <w:r>
        <w:rPr/>
        <w:br w:type="column"/>
      </w:r>
      <w:r>
        <w:rPr>
          <w:sz w:val="20"/>
        </w:rPr>
        <w:t>yr</w:t>
      </w:r>
      <w:r>
        <w:rPr>
          <w:position w:val="7"/>
          <w:sz w:val="11"/>
        </w:rPr>
        <w:t>-1 </w:t>
      </w:r>
      <w:r>
        <w:rPr>
          <w:sz w:val="20"/>
        </w:rPr>
        <w:t>and</w:t>
      </w:r>
    </w:p>
    <w:p>
      <w:pPr>
        <w:pStyle w:val="BodyText"/>
        <w:spacing w:line="249" w:lineRule="auto" w:before="5"/>
        <w:ind w:left="157" w:right="348"/>
      </w:pPr>
      <w:r>
        <w:rPr/>
        <w:br w:type="column"/>
      </w:r>
      <w:r>
        <w:rPr/>
        <w:t>magnitude to that which may be required for geological storage of CO</w:t>
      </w:r>
      <w:r>
        <w:rPr>
          <w:position w:val="-6"/>
          <w:sz w:val="11"/>
        </w:rPr>
        <w:t>2</w:t>
      </w:r>
      <w:r>
        <w:rPr/>
        <w:t>.</w:t>
      </w:r>
    </w:p>
    <w:p>
      <w:pPr>
        <w:spacing w:after="0" w:line="249" w:lineRule="auto"/>
        <w:sectPr>
          <w:type w:val="continuous"/>
          <w:pgSz w:w="12240" w:h="15840"/>
          <w:pgMar w:top="400" w:bottom="280" w:left="580" w:right="600"/>
          <w:cols w:num="3" w:equalWidth="0">
            <w:col w:w="4555" w:space="40"/>
            <w:col w:w="646" w:space="85"/>
            <w:col w:w="5734"/>
          </w:cols>
        </w:sectPr>
      </w:pPr>
    </w:p>
    <w:p>
      <w:pPr>
        <w:pStyle w:val="BodyText"/>
        <w:spacing w:line="181" w:lineRule="exact"/>
        <w:ind w:left="440"/>
        <w:jc w:val="both"/>
      </w:pPr>
      <w:r>
        <w:rPr/>
        <w:t>Acid gas injection in Western Canada occurs over a wide</w:t>
      </w:r>
    </w:p>
    <w:p>
      <w:pPr>
        <w:pStyle w:val="BodyText"/>
        <w:spacing w:line="249" w:lineRule="auto" w:before="10"/>
        <w:ind w:left="157" w:right="38"/>
        <w:jc w:val="both"/>
      </w:pPr>
      <w:r>
        <w:rPr/>
        <w:t>range of formation and reservoir types, acid gas </w:t>
      </w:r>
      <w:r>
        <w:rPr>
          <w:spacing w:val="-2"/>
        </w:rPr>
        <w:t>compositions </w:t>
      </w:r>
      <w:r>
        <w:rPr/>
        <w:t>and operating conditions. Injection takes place in deep saline formations at 27 sites, into depleted oil and/or gas reservoirs at 19</w:t>
      </w:r>
      <w:r>
        <w:rPr>
          <w:spacing w:val="-12"/>
        </w:rPr>
        <w:t> </w:t>
      </w:r>
      <w:r>
        <w:rPr/>
        <w:t>sites</w:t>
      </w:r>
      <w:r>
        <w:rPr>
          <w:spacing w:val="-12"/>
        </w:rPr>
        <w:t> </w:t>
      </w:r>
      <w:r>
        <w:rPr/>
        <w:t>and</w:t>
      </w:r>
      <w:r>
        <w:rPr>
          <w:spacing w:val="-11"/>
        </w:rPr>
        <w:t> </w:t>
      </w:r>
      <w:r>
        <w:rPr/>
        <w:t>into</w:t>
      </w:r>
      <w:r>
        <w:rPr>
          <w:spacing w:val="-12"/>
        </w:rPr>
        <w:t> </w:t>
      </w:r>
      <w:r>
        <w:rPr/>
        <w:t>the</w:t>
      </w:r>
      <w:r>
        <w:rPr>
          <w:spacing w:val="-12"/>
        </w:rPr>
        <w:t> </w:t>
      </w:r>
      <w:r>
        <w:rPr/>
        <w:t>underlying</w:t>
      </w:r>
      <w:r>
        <w:rPr>
          <w:spacing w:val="-11"/>
        </w:rPr>
        <w:t> </w:t>
      </w:r>
      <w:r>
        <w:rPr/>
        <w:t>water</w:t>
      </w:r>
      <w:r>
        <w:rPr>
          <w:spacing w:val="-12"/>
        </w:rPr>
        <w:t> </w:t>
      </w:r>
      <w:r>
        <w:rPr/>
        <w:t>leg</w:t>
      </w:r>
      <w:r>
        <w:rPr>
          <w:spacing w:val="-12"/>
        </w:rPr>
        <w:t> </w:t>
      </w:r>
      <w:r>
        <w:rPr/>
        <w:t>of</w:t>
      </w:r>
      <w:r>
        <w:rPr>
          <w:spacing w:val="-11"/>
        </w:rPr>
        <w:t> </w:t>
      </w:r>
      <w:r>
        <w:rPr/>
        <w:t>depleted</w:t>
      </w:r>
      <w:r>
        <w:rPr>
          <w:spacing w:val="-12"/>
        </w:rPr>
        <w:t> </w:t>
      </w:r>
      <w:r>
        <w:rPr/>
        <w:t>oil</w:t>
      </w:r>
      <w:r>
        <w:rPr>
          <w:spacing w:val="-12"/>
        </w:rPr>
        <w:t> </w:t>
      </w:r>
      <w:r>
        <w:rPr/>
        <w:t>and</w:t>
      </w:r>
      <w:r>
        <w:rPr>
          <w:spacing w:val="-11"/>
        </w:rPr>
        <w:t> </w:t>
      </w:r>
      <w:r>
        <w:rPr/>
        <w:t>gas reservoirs at 4 sites. Carbonates form the reservoir at 29 sites and</w:t>
      </w:r>
      <w:r>
        <w:rPr>
          <w:spacing w:val="-18"/>
        </w:rPr>
        <w:t> </w:t>
      </w:r>
      <w:r>
        <w:rPr/>
        <w:t>quartz-rich</w:t>
      </w:r>
      <w:r>
        <w:rPr>
          <w:spacing w:val="-17"/>
        </w:rPr>
        <w:t> </w:t>
      </w:r>
      <w:r>
        <w:rPr/>
        <w:t>sandstones</w:t>
      </w:r>
      <w:r>
        <w:rPr>
          <w:spacing w:val="-17"/>
        </w:rPr>
        <w:t> </w:t>
      </w:r>
      <w:r>
        <w:rPr/>
        <w:t>dominate</w:t>
      </w:r>
      <w:r>
        <w:rPr>
          <w:spacing w:val="-17"/>
        </w:rPr>
        <w:t> </w:t>
      </w:r>
      <w:r>
        <w:rPr/>
        <w:t>at</w:t>
      </w:r>
      <w:r>
        <w:rPr>
          <w:spacing w:val="-17"/>
        </w:rPr>
        <w:t> </w:t>
      </w:r>
      <w:r>
        <w:rPr/>
        <w:t>the</w:t>
      </w:r>
      <w:r>
        <w:rPr>
          <w:spacing w:val="-17"/>
        </w:rPr>
        <w:t> </w:t>
      </w:r>
      <w:r>
        <w:rPr/>
        <w:t>remaining</w:t>
      </w:r>
      <w:r>
        <w:rPr>
          <w:spacing w:val="-17"/>
        </w:rPr>
        <w:t> </w:t>
      </w:r>
      <w:r>
        <w:rPr/>
        <w:t>21</w:t>
      </w:r>
      <w:r>
        <w:rPr>
          <w:spacing w:val="-17"/>
        </w:rPr>
        <w:t> </w:t>
      </w:r>
      <w:hyperlink w:history="true" w:anchor="_bookmark23">
        <w:r>
          <w:rPr/>
          <w:t>(Figure</w:t>
        </w:r>
      </w:hyperlink>
      <w:r>
        <w:rPr/>
        <w:t> </w:t>
      </w:r>
      <w:hyperlink w:history="true" w:anchor="_bookmark23">
        <w:r>
          <w:rPr/>
          <w:t>5.13). </w:t>
        </w:r>
      </w:hyperlink>
      <w:r>
        <w:rPr/>
        <w:t>In most cases, shale constitutes the overlying confining unit (caprock), with the remainder of the injection zones being confined by tight limestones, evaporites and</w:t>
      </w:r>
      <w:r>
        <w:rPr>
          <w:spacing w:val="-4"/>
        </w:rPr>
        <w:t> </w:t>
      </w:r>
      <w:r>
        <w:rPr/>
        <w:t>anhydrites.</w:t>
      </w:r>
    </w:p>
    <w:p>
      <w:pPr>
        <w:pStyle w:val="BodyText"/>
        <w:spacing w:before="7"/>
        <w:ind w:right="39"/>
        <w:jc w:val="right"/>
      </w:pPr>
      <w:r>
        <w:rPr/>
        <w:t>Since  the  first  acid-gas  injection  operation  in  1990, </w:t>
      </w:r>
      <w:r>
        <w:rPr>
          <w:spacing w:val="10"/>
        </w:rPr>
        <w:t> </w:t>
      </w:r>
      <w:r>
        <w:rPr/>
        <w:t>51</w:t>
      </w:r>
    </w:p>
    <w:p>
      <w:pPr>
        <w:pStyle w:val="BodyText"/>
        <w:spacing w:before="10"/>
        <w:ind w:right="39"/>
        <w:jc w:val="right"/>
      </w:pPr>
      <w:r>
        <w:rPr/>
        <w:t>different</w:t>
      </w:r>
      <w:r>
        <w:rPr>
          <w:spacing w:val="20"/>
        </w:rPr>
        <w:t> </w:t>
      </w:r>
      <w:r>
        <w:rPr/>
        <w:t>injection</w:t>
      </w:r>
      <w:r>
        <w:rPr>
          <w:spacing w:val="21"/>
        </w:rPr>
        <w:t> </w:t>
      </w:r>
      <w:r>
        <w:rPr/>
        <w:t>sites</w:t>
      </w:r>
      <w:r>
        <w:rPr>
          <w:spacing w:val="21"/>
        </w:rPr>
        <w:t> </w:t>
      </w:r>
      <w:r>
        <w:rPr/>
        <w:t>have</w:t>
      </w:r>
      <w:r>
        <w:rPr>
          <w:spacing w:val="20"/>
        </w:rPr>
        <w:t> </w:t>
      </w:r>
      <w:r>
        <w:rPr/>
        <w:t>been</w:t>
      </w:r>
      <w:r>
        <w:rPr>
          <w:spacing w:val="21"/>
        </w:rPr>
        <w:t> </w:t>
      </w:r>
      <w:r>
        <w:rPr/>
        <w:t>approved,</w:t>
      </w:r>
      <w:r>
        <w:rPr>
          <w:spacing w:val="21"/>
        </w:rPr>
        <w:t> </w:t>
      </w:r>
      <w:r>
        <w:rPr/>
        <w:t>of</w:t>
      </w:r>
      <w:r>
        <w:rPr>
          <w:spacing w:val="20"/>
        </w:rPr>
        <w:t> </w:t>
      </w:r>
      <w:r>
        <w:rPr/>
        <w:t>which</w:t>
      </w:r>
      <w:r>
        <w:rPr>
          <w:spacing w:val="21"/>
        </w:rPr>
        <w:t> </w:t>
      </w:r>
      <w:r>
        <w:rPr/>
        <w:t>44</w:t>
      </w:r>
      <w:r>
        <w:rPr>
          <w:spacing w:val="21"/>
        </w:rPr>
        <w:t> </w:t>
      </w:r>
      <w:r>
        <w:rPr/>
        <w:t>are</w:t>
      </w:r>
    </w:p>
    <w:p>
      <w:pPr>
        <w:pStyle w:val="BodyText"/>
        <w:spacing w:before="3"/>
        <w:rPr>
          <w:sz w:val="18"/>
        </w:rPr>
      </w:pPr>
      <w:r>
        <w:rPr/>
        <w:br w:type="column"/>
      </w:r>
      <w:r>
        <w:rPr>
          <w:sz w:val="18"/>
        </w:rPr>
      </w:r>
    </w:p>
    <w:p>
      <w:pPr>
        <w:pStyle w:val="Heading2"/>
        <w:numPr>
          <w:ilvl w:val="2"/>
          <w:numId w:val="1"/>
        </w:numPr>
        <w:tabs>
          <w:tab w:pos="976" w:val="left" w:leader="none"/>
          <w:tab w:pos="977" w:val="left" w:leader="none"/>
        </w:tabs>
        <w:spacing w:line="206" w:lineRule="auto" w:before="0" w:after="0"/>
        <w:ind w:left="977" w:right="590" w:hanging="821"/>
        <w:jc w:val="left"/>
      </w:pPr>
      <w:r>
        <w:rPr>
          <w:i/>
        </w:rPr>
        <w:t>Security and duration of CO</w:t>
      </w:r>
      <w:r>
        <w:rPr>
          <w:i/>
          <w:position w:val="-6"/>
          <w:sz w:val="11"/>
        </w:rPr>
        <w:t>2 </w:t>
      </w:r>
      <w:r>
        <w:rPr>
          <w:i/>
        </w:rPr>
        <w:t>storage in geological </w:t>
      </w:r>
      <w:r>
        <w:rPr/>
        <w:t>formations</w:t>
      </w:r>
    </w:p>
    <w:p>
      <w:pPr>
        <w:pStyle w:val="BodyText"/>
        <w:spacing w:before="8"/>
        <w:rPr>
          <w:b/>
          <w:i/>
          <w:sz w:val="21"/>
        </w:rPr>
      </w:pPr>
    </w:p>
    <w:p>
      <w:pPr>
        <w:pStyle w:val="BodyText"/>
        <w:spacing w:line="240" w:lineRule="exact"/>
        <w:ind w:left="157" w:right="530"/>
        <w:jc w:val="both"/>
      </w:pPr>
      <w:r>
        <w:rPr/>
        <w:t>Evidence from oil and gas fields indicates that hydrocarbons and other gases and fluids including CO</w:t>
      </w:r>
      <w:r>
        <w:rPr>
          <w:position w:val="-6"/>
          <w:sz w:val="11"/>
        </w:rPr>
        <w:t>2 </w:t>
      </w:r>
      <w:r>
        <w:rPr/>
        <w:t>can remain trapped for millions of years (Magoon and </w:t>
      </w:r>
      <w:r>
        <w:rPr>
          <w:spacing w:val="-4"/>
        </w:rPr>
        <w:t>Dow, </w:t>
      </w:r>
      <w:r>
        <w:rPr/>
        <w:t>1994; Bradshaw </w:t>
      </w:r>
      <w:r>
        <w:rPr>
          <w:i/>
        </w:rPr>
        <w:t>et </w:t>
      </w:r>
      <w:r>
        <w:rPr>
          <w:i/>
        </w:rPr>
        <w:t>al.</w:t>
      </w:r>
      <w:r>
        <w:rPr/>
        <w:t>, 2005). Carbon dioxide has a tendency to remain in </w:t>
      </w:r>
      <w:r>
        <w:rPr>
          <w:spacing w:val="-5"/>
        </w:rPr>
        <w:t>the </w:t>
      </w:r>
      <w:r>
        <w:rPr/>
        <w:t>subsurface (relative to hydrocarbons) via its many physico- chemical immobilization mechanisms. World-class petroleum provinces have storage times for oil and gas of 5–100 million years,</w:t>
      </w:r>
      <w:r>
        <w:rPr>
          <w:spacing w:val="-13"/>
        </w:rPr>
        <w:t> </w:t>
      </w:r>
      <w:r>
        <w:rPr/>
        <w:t>others</w:t>
      </w:r>
      <w:r>
        <w:rPr>
          <w:spacing w:val="-13"/>
        </w:rPr>
        <w:t> </w:t>
      </w:r>
      <w:r>
        <w:rPr/>
        <w:t>for</w:t>
      </w:r>
      <w:r>
        <w:rPr>
          <w:spacing w:val="-13"/>
        </w:rPr>
        <w:t> </w:t>
      </w:r>
      <w:r>
        <w:rPr/>
        <w:t>350</w:t>
      </w:r>
      <w:r>
        <w:rPr>
          <w:spacing w:val="-12"/>
        </w:rPr>
        <w:t> </w:t>
      </w:r>
      <w:r>
        <w:rPr/>
        <w:t>million</w:t>
      </w:r>
      <w:r>
        <w:rPr>
          <w:spacing w:val="-13"/>
        </w:rPr>
        <w:t> </w:t>
      </w:r>
      <w:r>
        <w:rPr/>
        <w:t>years,</w:t>
      </w:r>
      <w:r>
        <w:rPr>
          <w:spacing w:val="-13"/>
        </w:rPr>
        <w:t> </w:t>
      </w:r>
      <w:r>
        <w:rPr/>
        <w:t>while</w:t>
      </w:r>
      <w:r>
        <w:rPr>
          <w:spacing w:val="-13"/>
        </w:rPr>
        <w:t> </w:t>
      </w:r>
      <w:r>
        <w:rPr/>
        <w:t>some</w:t>
      </w:r>
      <w:r>
        <w:rPr>
          <w:spacing w:val="-12"/>
        </w:rPr>
        <w:t> </w:t>
      </w:r>
      <w:r>
        <w:rPr/>
        <w:t>minor</w:t>
      </w:r>
      <w:r>
        <w:rPr>
          <w:spacing w:val="-13"/>
        </w:rPr>
        <w:t> </w:t>
      </w:r>
      <w:r>
        <w:rPr/>
        <w:t>petroleum</w:t>
      </w:r>
    </w:p>
    <w:p>
      <w:pPr>
        <w:spacing w:after="0" w:line="240" w:lineRule="exact"/>
        <w:jc w:val="both"/>
        <w:sectPr>
          <w:type w:val="continuous"/>
          <w:pgSz w:w="12240" w:h="15840"/>
          <w:pgMar w:top="400" w:bottom="280" w:left="580" w:right="600"/>
          <w:cols w:num="2" w:equalWidth="0">
            <w:col w:w="5241" w:space="85"/>
            <w:col w:w="5734"/>
          </w:cols>
        </w:sectPr>
      </w:pPr>
    </w:p>
    <w:p>
      <w:pPr>
        <w:pStyle w:val="BodyText"/>
      </w:pPr>
    </w:p>
    <w:p>
      <w:pPr>
        <w:pStyle w:val="BodyText"/>
        <w:spacing w:before="8"/>
        <w:rPr>
          <w:sz w:val="23"/>
        </w:rPr>
      </w:pPr>
    </w:p>
    <w:p>
      <w:pPr>
        <w:pStyle w:val="BodyText"/>
        <w:ind w:left="548"/>
      </w:pPr>
      <w:r>
        <w:rPr/>
        <w:pict>
          <v:group style="width:519pt;height:363.6pt;mso-position-horizontal-relative:char;mso-position-vertical-relative:line" coordorigin="0,0" coordsize="10380,7272">
            <v:shape style="position:absolute;left:735;top:988;width:426;height:430" coordorigin="736,988" coordsize="426,430" path="m1161,1418l1160,1416,1159,1414,1158,1412,1157,1410,1156,1409,1155,1407,1153,1405,1150,1404,1148,1404,1146,1404,1144,1404,1142,1405,1140,1406,1139,1408,1137,1409,1135,1410,1133,1412,1131,1413,1130,1414,1127,1414,1125,1414,1116,1407,1117,1405,1118,1402,1125,1392,1126,1390,1132,1378,1131,1376,1131,1374,1130,1372,1129,1370,1128,1369,1127,1367,1126,1365,1127,1362,1127,1360,1126,1358,1126,1356,1125,1354,1125,1352,1124,1350,1122,1348,1121,1347,1120,1345,1119,1343,1118,1341,1117,1339,1115,1338,1114,1336,1113,1334,1112,1332,1110,1330,1110,1328,1109,1327,1108,1325,1107,1323,1107,1321,1106,1319,1106,1317,1106,1314,1106,1312,1106,1310,1105,1308,1105,1306,1104,1304,1104,1302,1103,1300,1102,1299,1101,1297,1101,1295,1099,1293,1099,1291,1098,1289,1097,1287,1096,1285,1096,1283,1095,1281,1094,1279,1093,1277,1093,1275,1093,1273,1091,1263,1091,1261,1091,1259,1091,1257,1091,1254,1091,1252,1091,1250,1091,1248,1091,1246,1092,1243,1092,1241,1093,1238,1093,1236,1094,1234,1096,1222,1095,1220,1094,1218,1093,1217,1092,1215,1090,1213,1088,1212,1086,1210,1083,1209,1081,1208,1078,1208,1076,1208,1074,1207,1072,1208,1070,1208,1067,1208,1065,1208,1063,1208,1061,1208,1058,1207,1056,1207,1054,1207,1051,1207,1051,1205,1051,1203,1051,1201,1051,1199,1051,1196,1051,1194,1051,1192,1051,1190,1051,1187,1051,1186,1051,1183,1050,1181,1050,1179,1049,1177,1049,1175,1049,1173,1048,1171,1047,1170,1046,1167,1045,1166,1045,1164,1043,1162,1042,1160,1041,1158,1040,1156,1039,1154,1038,1153,1037,1151,1035,1149,1033,1147,1032,1146,1031,1144,1029,1142,1027,1141,1026,1139,1025,1137,1024,1135,1023,1133,1022,1132,1021,1130,1019,1128,1019,1126,1018,1124,1018,1122,1017,1120,1017,1118,1017,1116,1017,1114,1017,1111,1017,1109,1027,1098,1029,1097,1031,1096,1033,1096,1035,1094,1036,1092,1038,1091,1040,1090,1041,1088,1043,1086,1045,1084,1046,1082,1047,1080,1049,1078,1050,1075,1051,1073,1051,1070,1051,1069,1050,1067,1049,1065,1048,1063,1047,1061,1046,1059,1044,1057,1043,1055,1043,1053,1042,1052,1042,1050,1042,1047,1042,1045,1042,1043,1042,1041,1041,1039,1042,1037,1042,1034,1042,1032,1042,1030,1042,1028,1042,1026,1042,1024,1041,1022,1041,1020,1040,1017,1040,1015,1040,1013,1039,1011,1039,1009,1038,1007,1038,1005,1037,1003,1036,1001,1035,999,1034,998,1032,996,1030,995,1027,995,1025,996,1023,997,1022,998,1020,1000,1018,1000,1016,1000,1013,998,1011,997,1008,996,1007,997,1005,998,1003,999,1001,999,999,998,997,996,996,994,994,992,993,991,991,989,989,988,987,989,985,991,985,994,984,996,982,998,980,1000,979,1002,977,1004,976,1006,974,1008,973,1011,972,1013,972,1015,972,1017,972,1019,972,1021,973,1024,973,1026,973,1028,974,1030,973,1032,973,1034,972,1036,970,1036,968,1037,966,1037,964,1037,962,1037,959,1036,957,1035,954,1035,952,1034,950,1034,947,1033,945,1032,943,1032,941,1032,938,1033,936,1033,934,1034,932,1034,930,1034,928,1034,926,1035,924,1034,921,1035,919,1034,917,1034,915,1034,912,1033,910,1033,908,1033,906,1033,905,1034,903,1035,901,1037,900,1040,899,1043,897,1044,895,1046,893,1046,891,1047,889,1047,887,1049,886,1050,884,1052,882,1054,881,1055,879,1056,877,1056,875,1057,873,1058,871,1058,869,1058,867,1058,864,1058,862,1057,860,1057,857,1056,855,1054,852,1053,849,1052,847,1050,845,1049,843,1047,841,1046,838,1044,837,1043,834,1041,832,1040,830,1038,827,1037,825,1035,822,1035,820,1034,818,1034,816,1035,813,1035,811,1034,809,1034,807,1033,804,1033,802,1032,800,1032,797,1032,795,1031,793,1030,792,1028,791,1026,789,1024,789,1022,787,1021,786,1019,784,1017,783,1016,781,1014,780,1012,778,1010,776,1009,762,997,760,998,758,998,756,999,754,1000,752,1001,750,1002,748,1003,746,1004,745,1006,743,1008,742,1011,741,1013,741,1016,740,1018,740,1020,739,1023,738,1025,737,1028,736,1030,736,1033e" filled="false" stroked="true" strokeweight=".75pt" strokecolor="#a2a6a9">
              <v:path arrowok="t"/>
              <v:stroke dashstyle="solid"/>
            </v:shape>
            <v:shape style="position:absolute;left:6031;top:988;width:426;height:430" coordorigin="6031,988" coordsize="426,430" path="m6456,1418l6455,1416,6455,1414,6454,1412,6453,1410,6451,1409,6450,1407,6449,1405,6446,1404,6444,1404,6442,1404,6440,1404,6438,1405,6436,1406,6434,1408,6433,1409,6431,1410,6429,1412,6427,1413,6425,1414,6423,1414,6421,1414,6412,1407,6413,1405,6414,1402,6421,1392,6422,1390,6427,1378,6427,1376,6426,1374,6425,1372,6424,1370,6423,1369,6423,1367,6422,1365,6422,1362,6422,1360,6422,1358,6422,1356,6421,1354,6420,1352,6419,1350,6418,1348,6417,1347,6416,1345,6415,1343,6413,1341,6412,1339,6411,1338,6410,1336,6409,1334,6408,1332,6406,1330,6405,1328,6404,1327,6403,1325,6403,1323,6402,1321,6402,1319,6402,1317,6402,1314,6402,1312,6401,1310,6401,1308,6400,1306,6400,1304,6399,1302,6398,1300,6398,1299,6397,1297,6396,1295,6395,1293,6395,1291,6394,1289,6393,1287,6392,1285,6391,1283,6390,1281,6390,1279,6389,1277,6389,1275,6388,1273,6387,1263,6386,1261,6386,1259,6386,1257,6387,1254,6387,1252,6386,1250,6387,1248,6387,1246,6387,1243,6388,1241,6388,1238,6389,1236,6389,1234,6391,1222,6391,1220,6390,1218,6389,1217,6387,1215,6386,1213,6384,1212,6381,1210,6379,1209,6376,1208,6374,1208,6372,1208,6370,1207,6367,1208,6365,1208,6363,1208,6361,1208,6358,1208,6356,1208,6354,1207,6352,1207,6349,1207,6347,1207,6346,1205,6346,1203,6347,1201,6347,1199,6347,1196,6346,1194,6347,1192,6347,1190,6347,1187,6346,1186,6346,1183,6346,1181,6345,1179,6345,1177,6344,1175,6344,1173,6344,1171,6342,1170,6342,1167,6341,1166,6340,1164,6339,1162,6338,1160,6337,1158,6336,1156,6335,1154,6333,1153,6332,1151,6331,1149,6329,1147,6328,1146,6326,1144,6325,1142,6323,1141,6322,1139,6321,1137,6320,1135,6319,1133,6317,1132,6316,1130,6315,1128,6315,1126,6314,1124,6313,1122,6313,1120,6313,1118,6313,1116,6313,1114,6313,1111,6312,1109,6323,1098,6325,1097,6326,1096,6328,1096,6330,1094,6332,1092,6334,1091,6335,1090,6337,1088,6339,1086,6340,1084,6342,1082,6343,1080,6345,1078,6346,1075,6347,1073,6347,1070,6346,1069,6345,1067,6344,1065,6343,1063,6342,1061,6341,1059,6340,1057,6339,1055,6339,1053,6338,1052,6338,1050,6337,1047,6337,1045,6337,1043,6338,1041,6337,1039,6337,1037,6337,1034,6337,1032,6337,1030,6337,1028,6337,1026,6337,1024,6337,1022,6336,1020,6336,1017,6336,1015,6336,1013,6335,1011,6335,1009,6334,1007,6334,1005,6333,1003,6332,1001,6331,999,6330,998,6327,996,6325,995,6323,995,6321,996,6319,997,6318,998,6316,1000,6314,1000,6312,1000,6309,998,6307,997,6304,996,6302,997,6300,998,6298,999,6297,999,6294,998,6292,996,6291,994,6290,992,6288,991,6286,989,6284,988,6282,989,6281,991,6280,994,6279,996,6277,998,6276,1000,6274,1002,6273,1004,6272,1006,6270,1008,6268,1011,6268,1013,6268,1015,6268,1017,6268,1019,6268,1021,6269,1024,6269,1026,6269,1028,6269,1030,6269,1032,6269,1034,6267,1036,6266,1036,6264,1037,6262,1037,6260,1037,6257,1037,6255,1036,6253,1035,6250,1035,6248,1034,6246,1034,6243,1033,6241,1032,6239,1032,6236,1032,6234,1033,6232,1033,6230,1034,6228,1034,6226,1034,6224,1034,6222,1035,6219,1034,6217,1035,6215,1034,6213,1034,6210,1034,6208,1033,6206,1033,6204,1033,6202,1033,6200,1034,6198,1035,6197,1037,6195,1040,6194,1043,6192,1044,6191,1046,6189,1046,6187,1047,6185,1047,6183,1049,6181,1050,6180,1052,6178,1054,6177,1055,6175,1056,6173,1056,6171,1057,6169,1058,6167,1058,6164,1058,6162,1058,6160,1058,6158,1057,6155,1057,6153,1056,6150,1054,6148,1053,6145,1052,6143,1050,6141,1049,6138,1047,6136,1046,6134,1044,6132,1043,6130,1041,6128,1040,6125,1038,6123,1037,6120,1035,6118,1035,6116,1034,6113,1034,6111,1035,6109,1035,6107,1034,6105,1034,6102,1033,6100,1033,6098,1032,6095,1032,6093,1032,6091,1031,6089,1030,6088,1028,6087,1026,6085,1024,6084,1022,6083,1021,6081,1019,6080,1017,6078,1016,6077,1014,6075,1012,6074,1010,6072,1009,6070,1007,6069,1005,6067,1004,6066,1002,6064,1000,6062,999,6060,998,6057,997,6055,998,6053,998,6052,999,6049,1000,6047,1001,6046,1002,6044,1003,6042,1004,6041,1006,6039,1008,6038,1011,6037,1013,6036,1016,6036,1018,6035,1020,6035,1023,6034,1025,6033,1028,6032,1030,6031,1033e" filled="false" stroked="true" strokeweight=".75pt" strokecolor="#a2a6a9">
              <v:path arrowok="t"/>
              <v:stroke dashstyle="solid"/>
            </v:shape>
            <v:shape style="position:absolute;left:7190;top:4093;width:318;height:2057" type="#_x0000_t75" stroked="false">
              <v:imagedata r:id="rId70" o:title=""/>
            </v:shape>
            <v:shape style="position:absolute;left:7507;top:4093;width:318;height:2057" type="#_x0000_t75" stroked="false">
              <v:imagedata r:id="rId71" o:title=""/>
            </v:shape>
            <v:shape style="position:absolute;left:7825;top:4093;width:318;height:2057" type="#_x0000_t75" stroked="false">
              <v:imagedata r:id="rId72" o:title=""/>
            </v:shape>
            <v:shape style="position:absolute;left:8143;top:4093;width:318;height:2057" type="#_x0000_t75" stroked="false">
              <v:imagedata r:id="rId73" o:title=""/>
            </v:shape>
            <v:shape style="position:absolute;left:8460;top:4093;width:384;height:2057" type="#_x0000_t75" stroked="false">
              <v:imagedata r:id="rId74" o:title=""/>
            </v:shape>
            <v:shape style="position:absolute;left:5400;top:483;width:4871;height:5825" type="#_x0000_t75" stroked="false">
              <v:imagedata r:id="rId75" o:title=""/>
            </v:shape>
            <v:shape style="position:absolute;left:1892;top:4093;width:318;height:2057" type="#_x0000_t75" stroked="false">
              <v:imagedata r:id="rId76" o:title=""/>
            </v:shape>
            <v:shape style="position:absolute;left:2210;top:4093;width:318;height:2057" type="#_x0000_t75" stroked="false">
              <v:imagedata r:id="rId77" o:title=""/>
            </v:shape>
            <v:shape style="position:absolute;left:2528;top:4093;width:318;height:2057" type="#_x0000_t75" stroked="false">
              <v:imagedata r:id="rId78" o:title=""/>
            </v:shape>
            <v:shape style="position:absolute;left:2845;top:4093;width:318;height:2057" type="#_x0000_t75" stroked="false">
              <v:imagedata r:id="rId79" o:title=""/>
            </v:shape>
            <v:shape style="position:absolute;left:3163;top:4093;width:387;height:2057" type="#_x0000_t75" stroked="false">
              <v:imagedata r:id="rId80" o:title=""/>
            </v:shape>
            <v:shape style="position:absolute;left:104;top:203;width:6344;height:6105" type="#_x0000_t75" stroked="false">
              <v:imagedata r:id="rId81" o:title=""/>
            </v:shape>
            <v:shape style="position:absolute;left:9054;top:5513;width:85;height:85" coordorigin="9055,5513" coordsize="85,85" path="m9097,5513l9081,5517,9067,5526,9058,5539,9055,5556,9058,5572,9067,5586,9081,5595,9097,5598,9114,5595,9127,5586,9136,5572,9139,5556,9136,5539,9127,5526,9114,5517,9097,5513xe" filled="true" fillcolor="#ffea49" stroked="false">
              <v:path arrowok="t"/>
              <v:fill type="solid"/>
            </v:shape>
            <v:shape style="position:absolute;left:9054;top:5513;width:85;height:85" coordorigin="9055,5513" coordsize="85,85" path="m9139,5556l9136,5572,9127,5586,9114,5595,9097,5598,9081,5595,9067,5586,9058,5572,9055,5556,9058,5539,9067,5526,9081,5517,9097,5513,9114,5517,9127,5526,9136,5539,9139,5556xe" filled="false" stroked="true" strokeweight=".5pt" strokecolor="#000000">
              <v:path arrowok="t"/>
              <v:stroke dashstyle="solid"/>
            </v:shape>
            <v:shape style="position:absolute;left:8369;top:4025;width:85;height:85" coordorigin="8369,4025" coordsize="85,85" path="m8411,4025l8395,4029,8382,4038,8372,4051,8369,4068,8372,4084,8382,4098,8395,4107,8411,4110,8428,4107,8441,4098,8451,4084,8454,4068,8451,4051,8441,4038,8428,4029,8411,4025xe" filled="true" fillcolor="#ffea49" stroked="false">
              <v:path arrowok="t"/>
              <v:fill type="solid"/>
            </v:shape>
            <v:shape style="position:absolute;left:8369;top:4025;width:85;height:85" coordorigin="8369,4025" coordsize="85,85" path="m8454,4068l8451,4084,8441,4098,8428,4107,8411,4110,8395,4107,8382,4098,8372,4084,8369,4068,8372,4051,8382,4038,8395,4029,8411,4025,8428,4029,8441,4038,8451,4051,8454,4068xe" filled="false" stroked="true" strokeweight=".5pt" strokecolor="#000000">
              <v:path arrowok="t"/>
              <v:stroke dashstyle="solid"/>
            </v:shape>
            <v:shape style="position:absolute;left:7362;top:3427;width:85;height:85" coordorigin="7363,3427" coordsize="85,85" path="m7405,3427l7388,3431,7375,3440,7366,3453,7363,3470,7366,3486,7375,3500,7388,3509,7405,3512,7421,3509,7435,3500,7444,3486,7447,3470,7444,3453,7435,3440,7421,3431,7405,3427xe" filled="true" fillcolor="#ffea49" stroked="false">
              <v:path arrowok="t"/>
              <v:fill type="solid"/>
            </v:shape>
            <v:shape style="position:absolute;left:7362;top:3427;width:85;height:85" coordorigin="7363,3427" coordsize="85,85" path="m7447,3470l7444,3486,7435,3500,7421,3509,7405,3512,7388,3509,7375,3500,7366,3486,7363,3470,7366,3453,7375,3440,7388,3431,7405,3427,7421,3431,7435,3440,7444,3453,7447,3470xe" filled="false" stroked="true" strokeweight=".5pt" strokecolor="#000000">
              <v:path arrowok="t"/>
              <v:stroke dashstyle="solid"/>
            </v:shape>
            <v:shape style="position:absolute;left:7552;top:3303;width:85;height:85" coordorigin="7552,3303" coordsize="85,85" path="m7595,3303l7578,3307,7565,3316,7556,3329,7552,3346,7556,3362,7565,3376,7578,3385,7595,3388,7611,3385,7625,3376,7634,3362,7637,3346,7634,3329,7625,3316,7611,3307,7595,3303xe" filled="true" fillcolor="#ffea49" stroked="false">
              <v:path arrowok="t"/>
              <v:fill type="solid"/>
            </v:shape>
            <v:shape style="position:absolute;left:7552;top:3303;width:85;height:85" coordorigin="7552,3303" coordsize="85,85" path="m7637,3346l7634,3362,7625,3376,7611,3385,7595,3388,7578,3385,7565,3376,7556,3362,7552,3346,7556,3329,7565,3316,7578,3307,7595,3303,7611,3307,7625,3316,7634,3329,7637,3346xe" filled="false" stroked="true" strokeweight=".5pt" strokecolor="#000000">
              <v:path arrowok="t"/>
              <v:stroke dashstyle="solid"/>
            </v:shape>
            <v:shape style="position:absolute;left:7541;top:3139;width:85;height:85" coordorigin="7541,3139" coordsize="85,85" path="m7584,3139l7567,3142,7554,3152,7545,3165,7541,3181,7545,3198,7554,3211,7567,3221,7584,3224,7600,3221,7614,3211,7623,3198,7626,3181,7623,3165,7614,3152,7600,3142,7584,3139xe" filled="true" fillcolor="#ffea49" stroked="false">
              <v:path arrowok="t"/>
              <v:fill type="solid"/>
            </v:shape>
            <v:shape style="position:absolute;left:7541;top:3139;width:85;height:85" coordorigin="7541,3139" coordsize="85,85" path="m7626,3181l7623,3198,7614,3211,7600,3221,7584,3224,7567,3221,7554,3211,7545,3198,7541,3181,7545,3165,7554,3152,7567,3142,7584,3139,7600,3142,7614,3152,7623,3165,7626,3181xe" filled="false" stroked="true" strokeweight=".5pt" strokecolor="#000000">
              <v:path arrowok="t"/>
              <v:stroke dashstyle="solid"/>
            </v:shape>
            <v:shape style="position:absolute;left:7340;top:3193;width:85;height:85" coordorigin="7341,3194" coordsize="85,85" path="m7383,3194l7367,3197,7353,3206,7344,3220,7341,3236,7344,3253,7353,3266,7367,3275,7383,3279,7400,3275,7413,3266,7422,3253,7425,3236,7422,3220,7413,3206,7400,3197,7383,3194xe" filled="true" fillcolor="#ffea49" stroked="false">
              <v:path arrowok="t"/>
              <v:fill type="solid"/>
            </v:shape>
            <v:shape style="position:absolute;left:7340;top:3193;width:85;height:85" coordorigin="7341,3194" coordsize="85,85" path="m7425,3236l7422,3253,7413,3266,7400,3275,7383,3279,7367,3275,7353,3266,7344,3253,7341,3236,7344,3220,7353,3206,7367,3197,7383,3194,7400,3197,7413,3206,7422,3220,7425,3236xe" filled="false" stroked="true" strokeweight=".5pt" strokecolor="#000000">
              <v:path arrowok="t"/>
              <v:stroke dashstyle="solid"/>
            </v:shape>
            <v:shape style="position:absolute;left:7347;top:3131;width:85;height:85" coordorigin="7348,3132" coordsize="85,85" path="m7390,3132l7374,3135,7360,3144,7351,3158,7348,3174,7351,3191,7360,3204,7374,3213,7390,3217,7407,3213,7420,3204,7429,3191,7433,3174,7429,3158,7420,3144,7407,3135,7390,3132xe" filled="true" fillcolor="#ffea49" stroked="false">
              <v:path arrowok="t"/>
              <v:fill type="solid"/>
            </v:shape>
            <v:shape style="position:absolute;left:7347;top:3131;width:85;height:85" coordorigin="7348,3132" coordsize="85,85" path="m7433,3174l7429,3191,7420,3204,7407,3213,7390,3217,7374,3213,7360,3204,7351,3191,7348,3174,7351,3158,7360,3144,7374,3135,7390,3132,7407,3135,7420,3144,7429,3158,7433,3174xe" filled="false" stroked="true" strokeweight=".5pt" strokecolor="#000000">
              <v:path arrowok="t"/>
              <v:stroke dashstyle="solid"/>
            </v:shape>
            <v:shape style="position:absolute;left:7102;top:3097;width:190;height:146" type="#_x0000_t75" stroked="false">
              <v:imagedata r:id="rId82" o:title=""/>
            </v:shape>
            <v:shape style="position:absolute;left:7202;top:2861;width:85;height:85" coordorigin="7202,2862" coordsize="85,85" path="m7244,2862l7228,2865,7214,2874,7205,2888,7202,2904,7205,2921,7214,2934,7228,2943,7244,2947,7261,2943,7274,2934,7283,2921,7287,2904,7283,2888,7274,2874,7261,2865,7244,2862xe" filled="true" fillcolor="#ffea49" stroked="false">
              <v:path arrowok="t"/>
              <v:fill type="solid"/>
            </v:shape>
            <v:shape style="position:absolute;left:7202;top:2861;width:85;height:85" coordorigin="7202,2862" coordsize="85,85" path="m7287,2904l7283,2921,7274,2934,7261,2943,7244,2947,7228,2943,7214,2934,7205,2921,7202,2904,7205,2888,7214,2874,7228,2865,7244,2862,7261,2865,7274,2874,7283,2888,7287,2904xe" filled="false" stroked="true" strokeweight=".5pt" strokecolor="#000000">
              <v:path arrowok="t"/>
              <v:stroke dashstyle="solid"/>
            </v:shape>
            <v:shape style="position:absolute;left:6884;top:2876;width:85;height:85" coordorigin="6885,2877" coordsize="85,85" path="m6927,2877l6911,2880,6897,2889,6888,2902,6885,2919,6888,2935,6897,2949,6911,2958,6927,2961,6944,2958,6957,2949,6966,2935,6970,2919,6966,2902,6957,2889,6944,2880,6927,2877xe" filled="true" fillcolor="#ffea49" stroked="false">
              <v:path arrowok="t"/>
              <v:fill type="solid"/>
            </v:shape>
            <v:shape style="position:absolute;left:6884;top:2876;width:85;height:85" coordorigin="6885,2877" coordsize="85,85" path="m6970,2919l6966,2935,6957,2949,6944,2958,6927,2961,6911,2958,6897,2949,6888,2935,6885,2919,6888,2902,6897,2889,6911,2880,6927,2877,6944,2880,6957,2889,6966,2902,6970,2919xe" filled="false" stroked="true" strokeweight=".5pt" strokecolor="#000000">
              <v:path arrowok="t"/>
              <v:stroke dashstyle="solid"/>
            </v:shape>
            <v:shape style="position:absolute;left:6517;top:2466;width:289;height:219" type="#_x0000_t75" stroked="false">
              <v:imagedata r:id="rId83" o:title=""/>
            </v:shape>
            <v:shape style="position:absolute;left:7133;top:2338;width:122;height:116" type="#_x0000_t75" stroked="false">
              <v:imagedata r:id="rId84" o:title=""/>
            </v:shape>
            <v:shape style="position:absolute;left:7487;top:1788;width:122;height:116" type="#_x0000_t75" stroked="false">
              <v:imagedata r:id="rId85" o:title=""/>
            </v:shape>
            <v:shape style="position:absolute;left:7567;top:1551;width:330;height:124" type="#_x0000_t75" stroked="false">
              <v:imagedata r:id="rId86" o:title=""/>
            </v:shape>
            <v:shape style="position:absolute;left:6743;top:3407;width:122;height:116" type="#_x0000_t75" stroked="false">
              <v:imagedata r:id="rId85" o:title=""/>
            </v:shape>
            <v:shape style="position:absolute;left:7638;top:3364;width:112;height:106" coordorigin="7638,3365" coordsize="112,106" path="m7693,3365l7638,3471,7749,3471,7693,3365xe" filled="true" fillcolor="#74bde5" stroked="false">
              <v:path arrowok="t"/>
              <v:fill type="solid"/>
            </v:shape>
            <v:shape style="position:absolute;left:7638;top:3364;width:112;height:106" coordorigin="7638,3365" coordsize="112,106" path="m7693,3365l7638,3471,7749,3471,7693,3365xe" filled="false" stroked="true" strokeweight=".5pt" strokecolor="#000000">
              <v:path arrowok="t"/>
              <v:stroke dashstyle="solid"/>
            </v:shape>
            <v:shape style="position:absolute;left:7681;top:3193;width:112;height:106" coordorigin="7682,3194" coordsize="112,106" path="m7737,3194l7682,3299,7793,3299,7737,3194xe" filled="true" fillcolor="#74bde5" stroked="false">
              <v:path arrowok="t"/>
              <v:fill type="solid"/>
            </v:shape>
            <v:shape style="position:absolute;left:7681;top:3193;width:112;height:106" coordorigin="7682,3194" coordsize="112,106" path="m7737,3194l7682,3299,7793,3299,7737,3194xe" filled="false" stroked="true" strokeweight=".5pt" strokecolor="#000000">
              <v:path arrowok="t"/>
              <v:stroke dashstyle="solid"/>
            </v:shape>
            <v:shape style="position:absolute;left:7762;top:3164;width:112;height:106" coordorigin="7762,3164" coordsize="112,106" path="m7817,3164l7762,3270,7873,3270,7817,3164xe" filled="true" fillcolor="#74bde5" stroked="false">
              <v:path arrowok="t"/>
              <v:fill type="solid"/>
            </v:shape>
            <v:shape style="position:absolute;left:7762;top:3164;width:112;height:106" coordorigin="7762,3164" coordsize="112,106" path="m7817,3164l7762,3270,7873,3270,7817,3164xe" filled="false" stroked="true" strokeweight=".5pt" strokecolor="#000000">
              <v:path arrowok="t"/>
              <v:stroke dashstyle="solid"/>
            </v:shape>
            <v:shape style="position:absolute;left:7464;top:3215;width:85;height:85" coordorigin="7465,3216" coordsize="85,85" path="m7507,3216l7491,3219,7477,3228,7468,3242,7465,3258,7468,3275,7477,3288,7491,3297,7507,3300,7524,3297,7537,3288,7546,3275,7549,3258,7546,3242,7537,3228,7524,3219,7507,3216xe" filled="true" fillcolor="#ffea49" stroked="false">
              <v:path arrowok="t"/>
              <v:fill type="solid"/>
            </v:shape>
            <v:shape style="position:absolute;left:7464;top:3215;width:85;height:85" coordorigin="7465,3216" coordsize="85,85" path="m7549,3258l7546,3275,7537,3288,7524,3297,7507,3300,7491,3297,7477,3288,7468,3275,7465,3258,7468,3242,7477,3228,7491,3219,7507,3216,7524,3219,7537,3228,7546,3242,7549,3258xe" filled="false" stroked="true" strokeweight=".5pt" strokecolor="#000000">
              <v:path arrowok="t"/>
              <v:stroke dashstyle="solid"/>
            </v:shape>
            <v:shape style="position:absolute;left:8461;top:3414;width:122;height:116" type="#_x0000_t75" stroked="false">
              <v:imagedata r:id="rId87" o:title=""/>
            </v:shape>
            <v:shape style="position:absolute;left:8880;top:3950;width:122;height:116" type="#_x0000_t75" stroked="false">
              <v:imagedata r:id="rId88" o:title=""/>
            </v:shape>
            <v:shape style="position:absolute;left:8165;top:4202;width:351;height:328" type="#_x0000_t75" stroked="false">
              <v:imagedata r:id="rId89" o:title=""/>
            </v:shape>
            <v:shape style="position:absolute;left:8687;top:4144;width:162;height:277" type="#_x0000_t75" stroked="false">
              <v:imagedata r:id="rId90" o:title=""/>
            </v:shape>
            <v:shape style="position:absolute;left:9056;top:4418;width:112;height:106" coordorigin="9057,4419" coordsize="112,106" path="m9112,4419l9057,4525,9168,4525,9112,4419xe" filled="true" fillcolor="#74bde5" stroked="false">
              <v:path arrowok="t"/>
              <v:fill type="solid"/>
            </v:shape>
            <v:shape style="position:absolute;left:9056;top:4418;width:112;height:106" coordorigin="9057,4419" coordsize="112,106" path="m9112,4419l9057,4525,9168,4525,9112,4419xe" filled="false" stroked="true" strokeweight=".5pt" strokecolor="#000000">
              <v:path arrowok="t"/>
              <v:stroke dashstyle="solid"/>
            </v:shape>
            <v:shape style="position:absolute;left:9195;top:4539;width:112;height:106" coordorigin="9195,4539" coordsize="112,106" path="m9251,4539l9195,4645,9307,4645,9251,4539xe" filled="true" fillcolor="#74bde5" stroked="false">
              <v:path arrowok="t"/>
              <v:fill type="solid"/>
            </v:shape>
            <v:shape style="position:absolute;left:9195;top:4539;width:112;height:106" coordorigin="9195,4539" coordsize="112,106" path="m9251,4539l9195,4645,9307,4645,9251,4539xe" filled="false" stroked="true" strokeweight=".5pt" strokecolor="#000000">
              <v:path arrowok="t"/>
              <v:stroke dashstyle="solid"/>
            </v:shape>
            <v:shape style="position:absolute;left:9359;top:4535;width:112;height:106" coordorigin="9360,4536" coordsize="112,106" path="m9415,4536l9360,4641,9471,4641,9415,4536xe" filled="true" fillcolor="#74bde5" stroked="false">
              <v:path arrowok="t"/>
              <v:fill type="solid"/>
            </v:shape>
            <v:shape style="position:absolute;left:9359;top:4535;width:112;height:106" coordorigin="9360,4536" coordsize="112,106" path="m9415,4536l9360,4641,9471,4641,9415,4536xe" filled="false" stroked="true" strokeweight=".5pt" strokecolor="#000000">
              <v:path arrowok="t"/>
              <v:stroke dashstyle="solid"/>
            </v:shape>
            <v:shape style="position:absolute;left:9647;top:4524;width:112;height:106" coordorigin="9648,4525" coordsize="112,106" path="m9703,4525l9648,4631,9759,4631,9703,4525xe" filled="true" fillcolor="#74bde5" stroked="false">
              <v:path arrowok="t"/>
              <v:fill type="solid"/>
            </v:shape>
            <v:shape style="position:absolute;left:9647;top:4524;width:112;height:106" coordorigin="9648,4525" coordsize="112,106" path="m9703,4525l9648,4631,9759,4631,9703,4525xe" filled="false" stroked="true" strokeweight=".5pt" strokecolor="#000000">
              <v:path arrowok="t"/>
              <v:stroke dashstyle="solid"/>
            </v:shape>
            <v:shape style="position:absolute;left:9331;top:4528;width:85;height:85" coordorigin="9332,4529" coordsize="85,85" path="m9374,4529l9358,4532,9344,4541,9335,4554,9332,4571,9335,4587,9344,4601,9358,4610,9374,4613,9391,4610,9404,4601,9413,4587,9417,4571,9413,4554,9404,4541,9391,4532,9374,4529xe" filled="true" fillcolor="#ffea49" stroked="false">
              <v:path arrowok="t"/>
              <v:fill type="solid"/>
            </v:shape>
            <v:shape style="position:absolute;left:9331;top:4528;width:85;height:85" coordorigin="9332,4529" coordsize="85,85" path="m9417,4571l9413,4587,9404,4601,9391,4610,9374,4613,9358,4610,9344,4601,9335,4587,9332,4571,9335,4554,9344,4541,9358,4532,9374,4529,9391,4532,9404,4541,9413,4554,9417,4571xe" filled="false" stroked="true" strokeweight=".5pt" strokecolor="#000000">
              <v:path arrowok="t"/>
              <v:stroke dashstyle="solid"/>
            </v:shape>
            <v:shape style="position:absolute;left:9609;top:4543;width:85;height:85" coordorigin="9609,4543" coordsize="85,85" path="m9651,4543l9635,4547,9622,4556,9612,4569,9609,4586,9612,4602,9622,4616,9635,4625,9651,4628,9668,4625,9681,4616,9691,4602,9694,4586,9691,4569,9681,4556,9668,4547,9651,4543xe" filled="true" fillcolor="#ffea49" stroked="false">
              <v:path arrowok="t"/>
              <v:fill type="solid"/>
            </v:shape>
            <v:shape style="position:absolute;left:9609;top:4543;width:85;height:85" coordorigin="9609,4543" coordsize="85,85" path="m9694,4586l9691,4602,9681,4616,9668,4625,9651,4628,9635,4625,9622,4616,9612,4602,9609,4586,9612,4569,9622,4556,9635,4547,9651,4543,9668,4547,9681,4556,9691,4569,9694,4586xe" filled="false" stroked="true" strokeweight=".5pt" strokecolor="#000000">
              <v:path arrowok="t"/>
              <v:stroke dashstyle="solid"/>
            </v:shape>
            <v:shape style="position:absolute;left:9004;top:5011;width:122;height:116" type="#_x0000_t75" stroked="false">
              <v:imagedata r:id="rId87" o:title=""/>
            </v:shape>
            <v:shape style="position:absolute;left:800;top:219;width:91;height:104" coordorigin="800,220" coordsize="91,104" path="m883,233l855,233,861,235,865,239,868,242,870,247,870,258,863,260,853,262,833,265,828,265,825,266,820,268,816,269,813,272,809,274,806,277,802,285,800,290,800,303,803,310,809,315,815,320,824,323,841,323,847,322,859,318,865,314,869,310,832,310,827,308,820,302,818,299,818,291,819,289,822,284,824,282,830,280,835,279,855,276,864,274,870,271,886,271,886,247,886,244,886,241,885,237,883,233xm887,309l871,309,871,313,872,314,873,317,874,321,891,321,889,317,888,313,887,309xm886,271l870,271,870,285,869,290,867,294,865,299,861,303,851,308,845,310,869,310,871,309,887,309,887,305,887,299,886,271xm857,220l840,220,832,221,819,225,814,229,811,233,807,237,805,243,803,250,820,252,822,245,825,240,832,235,838,233,883,233,883,233,878,227,874,225,863,221,857,220xe" filled="true" fillcolor="#000000" stroked="false">
              <v:path arrowok="t"/>
              <v:fill type="solid"/>
            </v:shape>
            <v:rect style="position:absolute;left:917;top:301;width:20;height:20" filled="true" fillcolor="#000000" stroked="false">
              <v:fill type="solid"/>
            </v:rect>
            <v:shape style="position:absolute;left:6689;top:204;width:87;height:140" coordorigin="6690,205" coordsize="87,140" path="m6721,329l6706,329,6712,339,6721,344,6745,344,6755,339,6763,330,6723,330,6721,329xm6707,205l6690,205,6690,341,6706,341,6706,329,6721,329,6715,325,6707,312,6705,303,6705,279,6708,270,6719,257,6725,254,6765,254,6764,254,6707,254,6707,205xm6765,254l6740,254,6746,257,6751,263,6756,269,6759,279,6759,304,6756,314,6751,320,6745,327,6739,330,6763,330,6769,322,6773,313,6775,302,6776,291,6776,283,6775,277,6771,264,6768,259,6765,254xm6740,240l6723,240,6714,245,6707,254,6764,254,6761,250,6757,246,6746,241,6740,240xe" filled="true" fillcolor="#000000" stroked="false">
              <v:path arrowok="t"/>
              <v:fill type="solid"/>
            </v:shape>
            <v:rect style="position:absolute;left:6801;top:322;width:20;height:20" filled="true" fillcolor="#000000" stroked="false">
              <v:fill type="solid"/>
            </v:rect>
            <v:shape style="position:absolute;left:5422;top:6507;width:1479;height:212" type="#_x0000_t75" stroked="false">
              <v:imagedata r:id="rId91" o:title=""/>
            </v:shape>
            <v:rect style="position:absolute;left:207;top:6515;width:91;height:91" filled="true" fillcolor="#009832" stroked="false">
              <v:fill type="solid"/>
            </v:rect>
            <v:rect style="position:absolute;left:207;top:6515;width:91;height:91" filled="false" stroked="true" strokeweight=".5pt" strokecolor="#000000">
              <v:stroke dashstyle="solid"/>
            </v:rect>
            <v:shape style="position:absolute;left:363;top:6498;width:187;height:126" type="#_x0000_t75" stroked="false">
              <v:imagedata r:id="rId92" o:title=""/>
            </v:shape>
            <v:shape style="position:absolute;left:620;top:6500;width:726;height:124" type="#_x0000_t75" stroked="false">
              <v:imagedata r:id="rId93" o:title=""/>
            </v:shape>
            <v:shape style="position:absolute;left:3122;top:6495;width:122;height:116" type="#_x0000_t75" stroked="false">
              <v:imagedata r:id="rId94" o:title=""/>
            </v:shape>
            <v:shape style="position:absolute;left:3292;top:6498;width:116;height:126" coordorigin="3293,6499" coordsize="116,126" path="m3361,6499l3350,6499,3338,6500,3327,6503,3317,6508,3309,6516,3302,6525,3297,6536,3294,6549,3293,6563,3293,6574,3295,6584,3299,6593,3304,6603,3311,6610,3329,6621,3339,6624,3361,6624,3371,6621,3389,6611,3390,6610,3338,6610,3329,6606,3321,6597,3313,6589,3309,6578,3309,6563,3310,6550,3312,6540,3316,6531,3321,6524,3329,6516,3339,6512,3390,6512,3389,6512,3372,6501,3361,6499xm3390,6512l3358,6512,3366,6514,3378,6523,3383,6528,3390,6543,3391,6551,3391,6577,3388,6589,3372,6606,3362,6610,3390,6610,3396,6604,3406,6585,3408,6574,3408,6549,3406,6538,3401,6529,3396,6519,3390,6512xe" filled="true" fillcolor="#000000" stroked="false">
              <v:path arrowok="t"/>
              <v:fill type="solid"/>
            </v:shape>
            <v:shape style="position:absolute;left:3427;top:6500;width:1500;height:158" type="#_x0000_t75" stroked="false">
              <v:imagedata r:id="rId95" o:title=""/>
            </v:shape>
            <v:shape style="position:absolute;left:187;top:6732;width:3467;height:387" type="#_x0000_t75" stroked="false">
              <v:imagedata r:id="rId96" o:title=""/>
            </v:shape>
            <v:shape style="position:absolute;left:1611;top:6496;width:1277;height:128" type="#_x0000_t75" stroked="false">
              <v:imagedata r:id="rId97" o:title=""/>
            </v:shape>
            <v:shape style="position:absolute;left:7536;top:6601;width:978;height:128" type="#_x0000_t75" stroked="false">
              <v:imagedata r:id="rId98" o:title=""/>
            </v:shape>
            <v:shape style="position:absolute;left:8772;top:6603;width:985;height:126" type="#_x0000_t75" stroked="false">
              <v:imagedata r:id="rId99" o:title=""/>
            </v:shape>
            <v:rect style="position:absolute;left:5;top:5;width:10370;height:7262" filled="false" stroked="true" strokeweight=".5pt" strokecolor="#000000">
              <v:stroke dashstyle="solid"/>
            </v:rect>
          </v:group>
        </w:pict>
      </w:r>
      <w:r>
        <w:rPr/>
      </w:r>
    </w:p>
    <w:p>
      <w:pPr>
        <w:spacing w:before="64"/>
        <w:ind w:left="553" w:right="0" w:firstLine="0"/>
        <w:jc w:val="left"/>
        <w:rPr>
          <w:sz w:val="18"/>
        </w:rPr>
      </w:pPr>
      <w:bookmarkStart w:name="5.3 Storage formations, capacity and geo" w:id="38"/>
      <w:bookmarkEnd w:id="38"/>
      <w:r>
        <w:rPr/>
      </w:r>
      <w:bookmarkStart w:name="5.3.1 General site-selection criteria" w:id="39"/>
      <w:bookmarkEnd w:id="39"/>
      <w:r>
        <w:rPr/>
      </w:r>
      <w:bookmarkStart w:name="_bookmark23" w:id="40"/>
      <w:bookmarkEnd w:id="40"/>
      <w:r>
        <w:rPr/>
      </w:r>
      <w:r>
        <w:rPr>
          <w:b/>
          <w:sz w:val="18"/>
        </w:rPr>
        <w:t>Figure 5.13 </w:t>
      </w:r>
      <w:r>
        <w:rPr>
          <w:sz w:val="18"/>
        </w:rPr>
        <w:t>Locations of acid gas injection sites in the Alberta Basin, Canada: (a) classified by injection unit; (b) the same locations classified</w:t>
      </w:r>
    </w:p>
    <w:p>
      <w:pPr>
        <w:spacing w:before="13"/>
        <w:ind w:left="553" w:right="0" w:firstLine="0"/>
        <w:jc w:val="left"/>
        <w:rPr>
          <w:sz w:val="18"/>
        </w:rPr>
      </w:pPr>
      <w:r>
        <w:rPr>
          <w:sz w:val="18"/>
        </w:rPr>
        <w:t>by rock type (from Bachu and Haug, 2005).</w:t>
      </w:r>
    </w:p>
    <w:p>
      <w:pPr>
        <w:pStyle w:val="BodyText"/>
        <w:spacing w:before="6"/>
        <w:rPr>
          <w:sz w:val="25"/>
        </w:rPr>
      </w:pPr>
    </w:p>
    <w:p>
      <w:pPr>
        <w:spacing w:after="0"/>
        <w:rPr>
          <w:sz w:val="25"/>
        </w:rPr>
        <w:sectPr>
          <w:pgSz w:w="12240" w:h="15840"/>
          <w:pgMar w:header="567" w:footer="0" w:top="760" w:bottom="280" w:left="580" w:right="600"/>
        </w:sectPr>
      </w:pPr>
    </w:p>
    <w:p>
      <w:pPr>
        <w:pStyle w:val="BodyText"/>
        <w:spacing w:line="249" w:lineRule="auto" w:before="64"/>
        <w:ind w:left="553"/>
        <w:jc w:val="both"/>
      </w:pPr>
      <w:r>
        <w:rPr/>
        <w:t>accumulations have been stored for up to 1400 million years. However,</w:t>
      </w:r>
      <w:r>
        <w:rPr>
          <w:spacing w:val="-8"/>
        </w:rPr>
        <w:t> </w:t>
      </w:r>
      <w:r>
        <w:rPr/>
        <w:t>some</w:t>
      </w:r>
      <w:r>
        <w:rPr>
          <w:spacing w:val="-7"/>
        </w:rPr>
        <w:t> </w:t>
      </w:r>
      <w:r>
        <w:rPr/>
        <w:t>natural</w:t>
      </w:r>
      <w:r>
        <w:rPr>
          <w:spacing w:val="-8"/>
        </w:rPr>
        <w:t> </w:t>
      </w:r>
      <w:r>
        <w:rPr/>
        <w:t>traps</w:t>
      </w:r>
      <w:r>
        <w:rPr>
          <w:spacing w:val="-7"/>
        </w:rPr>
        <w:t> </w:t>
      </w:r>
      <w:r>
        <w:rPr/>
        <w:t>do</w:t>
      </w:r>
      <w:r>
        <w:rPr>
          <w:spacing w:val="-7"/>
        </w:rPr>
        <w:t> </w:t>
      </w:r>
      <w:r>
        <w:rPr/>
        <w:t>leak,</w:t>
      </w:r>
      <w:r>
        <w:rPr>
          <w:spacing w:val="-8"/>
        </w:rPr>
        <w:t> </w:t>
      </w:r>
      <w:r>
        <w:rPr/>
        <w:t>which</w:t>
      </w:r>
      <w:r>
        <w:rPr>
          <w:spacing w:val="-7"/>
        </w:rPr>
        <w:t> </w:t>
      </w:r>
      <w:r>
        <w:rPr/>
        <w:t>reinforces</w:t>
      </w:r>
      <w:r>
        <w:rPr>
          <w:spacing w:val="-7"/>
        </w:rPr>
        <w:t> </w:t>
      </w:r>
      <w:r>
        <w:rPr/>
        <w:t>the</w:t>
      </w:r>
      <w:r>
        <w:rPr>
          <w:spacing w:val="-8"/>
        </w:rPr>
        <w:t> </w:t>
      </w:r>
      <w:r>
        <w:rPr/>
        <w:t>need for</w:t>
      </w:r>
      <w:r>
        <w:rPr>
          <w:spacing w:val="-11"/>
        </w:rPr>
        <w:t> </w:t>
      </w:r>
      <w:r>
        <w:rPr/>
        <w:t>careful</w:t>
      </w:r>
      <w:r>
        <w:rPr>
          <w:spacing w:val="-10"/>
        </w:rPr>
        <w:t> </w:t>
      </w:r>
      <w:r>
        <w:rPr/>
        <w:t>site</w:t>
      </w:r>
      <w:r>
        <w:rPr>
          <w:spacing w:val="-11"/>
        </w:rPr>
        <w:t> </w:t>
      </w:r>
      <w:r>
        <w:rPr/>
        <w:t>selection</w:t>
      </w:r>
      <w:r>
        <w:rPr>
          <w:spacing w:val="-10"/>
        </w:rPr>
        <w:t> </w:t>
      </w:r>
      <w:r>
        <w:rPr/>
        <w:t>(Section</w:t>
      </w:r>
      <w:r>
        <w:rPr>
          <w:spacing w:val="-11"/>
        </w:rPr>
        <w:t> </w:t>
      </w:r>
      <w:r>
        <w:rPr/>
        <w:t>5.3),</w:t>
      </w:r>
      <w:r>
        <w:rPr>
          <w:spacing w:val="-10"/>
        </w:rPr>
        <w:t> </w:t>
      </w:r>
      <w:r>
        <w:rPr/>
        <w:t>characterization</w:t>
      </w:r>
      <w:r>
        <w:rPr>
          <w:spacing w:val="-11"/>
        </w:rPr>
        <w:t> </w:t>
      </w:r>
      <w:r>
        <w:rPr/>
        <w:t>(Section 5.4) and injection practices (Section 5.5).</w:t>
      </w:r>
    </w:p>
    <w:p>
      <w:pPr>
        <w:pStyle w:val="BodyText"/>
        <w:spacing w:before="1"/>
        <w:rPr>
          <w:sz w:val="21"/>
        </w:rPr>
      </w:pPr>
    </w:p>
    <w:p>
      <w:pPr>
        <w:pStyle w:val="Heading1"/>
        <w:numPr>
          <w:ilvl w:val="1"/>
          <w:numId w:val="4"/>
        </w:numPr>
        <w:tabs>
          <w:tab w:pos="1373" w:val="left" w:leader="none"/>
          <w:tab w:pos="1374" w:val="left" w:leader="none"/>
        </w:tabs>
        <w:spacing w:line="249" w:lineRule="auto" w:before="0" w:after="0"/>
        <w:ind w:left="1373" w:right="0" w:hanging="820"/>
        <w:jc w:val="left"/>
      </w:pPr>
      <w:r>
        <w:rPr/>
        <w:t>Storage formations, capacity and geographical distribution</w:t>
      </w:r>
    </w:p>
    <w:p>
      <w:pPr>
        <w:pStyle w:val="BodyText"/>
        <w:spacing w:before="7"/>
        <w:rPr>
          <w:b/>
        </w:rPr>
      </w:pPr>
    </w:p>
    <w:p>
      <w:pPr>
        <w:pStyle w:val="BodyText"/>
        <w:spacing w:line="240" w:lineRule="exact"/>
        <w:ind w:left="553"/>
        <w:jc w:val="both"/>
      </w:pPr>
      <w:r>
        <w:rPr/>
        <w:t>In this section, the following issues are addressed: In what types of geological formations can CO</w:t>
      </w:r>
      <w:r>
        <w:rPr>
          <w:position w:val="-6"/>
          <w:sz w:val="11"/>
        </w:rPr>
        <w:t>2 </w:t>
      </w:r>
      <w:r>
        <w:rPr/>
        <w:t>be stored? Are such formations widespread? How much CO</w:t>
      </w:r>
      <w:r>
        <w:rPr>
          <w:position w:val="-6"/>
          <w:sz w:val="11"/>
        </w:rPr>
        <w:t>2 </w:t>
      </w:r>
      <w:r>
        <w:rPr/>
        <w:t>can be geologically stored?</w:t>
      </w:r>
    </w:p>
    <w:p>
      <w:pPr>
        <w:pStyle w:val="BodyText"/>
        <w:spacing w:before="3"/>
        <w:rPr>
          <w:sz w:val="21"/>
        </w:rPr>
      </w:pPr>
    </w:p>
    <w:p>
      <w:pPr>
        <w:pStyle w:val="Heading2"/>
        <w:numPr>
          <w:ilvl w:val="2"/>
          <w:numId w:val="4"/>
        </w:numPr>
        <w:tabs>
          <w:tab w:pos="1374" w:val="left" w:leader="none"/>
        </w:tabs>
        <w:spacing w:line="240" w:lineRule="auto" w:before="1" w:after="0"/>
        <w:ind w:left="1373" w:right="0" w:hanging="821"/>
        <w:jc w:val="both"/>
        <w:rPr>
          <w:i/>
        </w:rPr>
      </w:pPr>
      <w:r>
        <w:rPr>
          <w:i/>
        </w:rPr>
        <w:t>General site-selection</w:t>
      </w:r>
      <w:r>
        <w:rPr>
          <w:i/>
          <w:spacing w:val="-3"/>
        </w:rPr>
        <w:t> </w:t>
      </w:r>
      <w:r>
        <w:rPr>
          <w:i/>
        </w:rPr>
        <w:t>criteria</w:t>
      </w:r>
    </w:p>
    <w:p>
      <w:pPr>
        <w:pStyle w:val="BodyText"/>
        <w:spacing w:before="8"/>
        <w:rPr>
          <w:b/>
          <w:i/>
          <w:sz w:val="21"/>
        </w:rPr>
      </w:pPr>
    </w:p>
    <w:p>
      <w:pPr>
        <w:pStyle w:val="BodyText"/>
        <w:ind w:left="553"/>
        <w:jc w:val="both"/>
      </w:pPr>
      <w:r>
        <w:rPr/>
        <w:t>There are many sedimentary regions in the world (Figures</w:t>
      </w:r>
      <w:r>
        <w:rPr>
          <w:spacing w:val="-32"/>
        </w:rPr>
        <w:t> </w:t>
      </w:r>
      <w:r>
        <w:rPr/>
        <w:t>2.4–</w:t>
      </w:r>
    </w:p>
    <w:p>
      <w:pPr>
        <w:pStyle w:val="BodyText"/>
        <w:spacing w:line="240" w:lineRule="exact" w:before="5"/>
        <w:ind w:left="553"/>
        <w:jc w:val="both"/>
      </w:pPr>
      <w:r>
        <w:rPr/>
        <w:t>2.6</w:t>
      </w:r>
      <w:r>
        <w:rPr>
          <w:spacing w:val="-18"/>
        </w:rPr>
        <w:t> </w:t>
      </w:r>
      <w:r>
        <w:rPr/>
        <w:t>and</w:t>
      </w:r>
      <w:r>
        <w:rPr>
          <w:spacing w:val="-17"/>
        </w:rPr>
        <w:t> </w:t>
      </w:r>
      <w:hyperlink w:history="true" w:anchor="_bookmark24">
        <w:r>
          <w:rPr/>
          <w:t>Figure</w:t>
        </w:r>
        <w:r>
          <w:rPr>
            <w:spacing w:val="-18"/>
          </w:rPr>
          <w:t> </w:t>
        </w:r>
        <w:r>
          <w:rPr/>
          <w:t>5.14)</w:t>
        </w:r>
        <w:r>
          <w:rPr>
            <w:spacing w:val="-18"/>
          </w:rPr>
          <w:t> </w:t>
        </w:r>
      </w:hyperlink>
      <w:r>
        <w:rPr/>
        <w:t>variously</w:t>
      </w:r>
      <w:r>
        <w:rPr>
          <w:spacing w:val="-17"/>
        </w:rPr>
        <w:t> </w:t>
      </w:r>
      <w:r>
        <w:rPr/>
        <w:t>suited</w:t>
      </w:r>
      <w:r>
        <w:rPr>
          <w:spacing w:val="-18"/>
        </w:rPr>
        <w:t> </w:t>
      </w:r>
      <w:r>
        <w:rPr/>
        <w:t>for</w:t>
      </w:r>
      <w:r>
        <w:rPr>
          <w:spacing w:val="-17"/>
        </w:rPr>
        <w:t> </w:t>
      </w:r>
      <w:r>
        <w:rPr/>
        <w:t>CO</w:t>
      </w:r>
      <w:r>
        <w:rPr>
          <w:position w:val="-6"/>
          <w:sz w:val="11"/>
        </w:rPr>
        <w:t>2</w:t>
      </w:r>
      <w:r>
        <w:rPr>
          <w:spacing w:val="4"/>
          <w:position w:val="-6"/>
          <w:sz w:val="11"/>
        </w:rPr>
        <w:t> </w:t>
      </w:r>
      <w:r>
        <w:rPr/>
        <w:t>storage.</w:t>
      </w:r>
      <w:r>
        <w:rPr>
          <w:spacing w:val="-18"/>
        </w:rPr>
        <w:t> </w:t>
      </w:r>
      <w:r>
        <w:rPr/>
        <w:t>In</w:t>
      </w:r>
      <w:r>
        <w:rPr>
          <w:spacing w:val="-17"/>
        </w:rPr>
        <w:t> </w:t>
      </w:r>
      <w:r>
        <w:rPr/>
        <w:t>general, geological storage sites should have (1) adequate capacity and injectivity, (2) a satisfactory sealing caprock or confining unit and (3) a sufficiently stable geological environment to avoid compromising the integrity of the storage site. Criteria for assessing</w:t>
      </w:r>
      <w:r>
        <w:rPr>
          <w:spacing w:val="-9"/>
        </w:rPr>
        <w:t> </w:t>
      </w:r>
      <w:r>
        <w:rPr/>
        <w:t>basin</w:t>
      </w:r>
      <w:r>
        <w:rPr>
          <w:spacing w:val="-9"/>
        </w:rPr>
        <w:t> </w:t>
      </w:r>
      <w:r>
        <w:rPr/>
        <w:t>suitability</w:t>
      </w:r>
      <w:r>
        <w:rPr>
          <w:spacing w:val="-9"/>
        </w:rPr>
        <w:t> </w:t>
      </w:r>
      <w:r>
        <w:rPr/>
        <w:t>(Bachu,</w:t>
      </w:r>
      <w:r>
        <w:rPr>
          <w:spacing w:val="-9"/>
        </w:rPr>
        <w:t> </w:t>
      </w:r>
      <w:r>
        <w:rPr/>
        <w:t>2000,</w:t>
      </w:r>
      <w:r>
        <w:rPr>
          <w:spacing w:val="-9"/>
        </w:rPr>
        <w:t> </w:t>
      </w:r>
      <w:r>
        <w:rPr/>
        <w:t>2003;</w:t>
      </w:r>
      <w:r>
        <w:rPr>
          <w:spacing w:val="-9"/>
        </w:rPr>
        <w:t> </w:t>
      </w:r>
      <w:r>
        <w:rPr/>
        <w:t>Bradshaw</w:t>
      </w:r>
      <w:r>
        <w:rPr>
          <w:spacing w:val="-8"/>
        </w:rPr>
        <w:t> </w:t>
      </w:r>
      <w:r>
        <w:rPr>
          <w:i/>
        </w:rPr>
        <w:t>et</w:t>
      </w:r>
      <w:r>
        <w:rPr>
          <w:i/>
          <w:spacing w:val="-9"/>
        </w:rPr>
        <w:t> </w:t>
      </w:r>
      <w:r>
        <w:rPr>
          <w:i/>
        </w:rPr>
        <w:t>al.</w:t>
      </w:r>
      <w:r>
        <w:rPr/>
        <w:t>,</w:t>
      </w:r>
    </w:p>
    <w:p>
      <w:pPr>
        <w:pStyle w:val="BodyText"/>
        <w:spacing w:line="249" w:lineRule="auto" w:before="64"/>
        <w:ind w:left="243" w:right="133"/>
        <w:jc w:val="both"/>
      </w:pPr>
      <w:r>
        <w:rPr/>
        <w:br w:type="column"/>
      </w:r>
      <w:r>
        <w:rPr/>
        <w:t>2002) include: basin characteristics (tectonic activity,</w:t>
      </w:r>
      <w:r>
        <w:rPr>
          <w:spacing w:val="-15"/>
        </w:rPr>
        <w:t> </w:t>
      </w:r>
      <w:r>
        <w:rPr/>
        <w:t>sediment type, geothermal and hydrodynamic regimes); basin resources (hydrocarbons, coal, salt), industry maturity and infrastructure; and societal issues such as level of development, economy, environmental concerns, public education and attitudes.</w:t>
      </w:r>
    </w:p>
    <w:p>
      <w:pPr>
        <w:pStyle w:val="BodyText"/>
        <w:spacing w:line="225" w:lineRule="auto" w:before="12"/>
        <w:ind w:left="243" w:right="133" w:firstLine="283"/>
        <w:jc w:val="both"/>
      </w:pPr>
      <w:r>
        <w:rPr/>
        <w:t>The suitability of sedimentary basins for CO</w:t>
      </w:r>
      <w:r>
        <w:rPr>
          <w:position w:val="-6"/>
          <w:sz w:val="11"/>
        </w:rPr>
        <w:t>2 </w:t>
      </w:r>
      <w:r>
        <w:rPr/>
        <w:t>storage depends</w:t>
      </w:r>
      <w:r>
        <w:rPr>
          <w:spacing w:val="-11"/>
        </w:rPr>
        <w:t> </w:t>
      </w:r>
      <w:r>
        <w:rPr/>
        <w:t>in</w:t>
      </w:r>
      <w:r>
        <w:rPr>
          <w:spacing w:val="-12"/>
        </w:rPr>
        <w:t> </w:t>
      </w:r>
      <w:r>
        <w:rPr/>
        <w:t>part</w:t>
      </w:r>
      <w:r>
        <w:rPr>
          <w:spacing w:val="-11"/>
        </w:rPr>
        <w:t> </w:t>
      </w:r>
      <w:r>
        <w:rPr/>
        <w:t>on</w:t>
      </w:r>
      <w:r>
        <w:rPr>
          <w:spacing w:val="-11"/>
        </w:rPr>
        <w:t> </w:t>
      </w:r>
      <w:r>
        <w:rPr/>
        <w:t>their</w:t>
      </w:r>
      <w:r>
        <w:rPr>
          <w:spacing w:val="-11"/>
        </w:rPr>
        <w:t> </w:t>
      </w:r>
      <w:r>
        <w:rPr/>
        <w:t>location</w:t>
      </w:r>
      <w:r>
        <w:rPr>
          <w:spacing w:val="-11"/>
        </w:rPr>
        <w:t> </w:t>
      </w:r>
      <w:r>
        <w:rPr/>
        <w:t>on</w:t>
      </w:r>
      <w:r>
        <w:rPr>
          <w:spacing w:val="-11"/>
        </w:rPr>
        <w:t> </w:t>
      </w:r>
      <w:r>
        <w:rPr/>
        <w:t>the</w:t>
      </w:r>
      <w:r>
        <w:rPr>
          <w:spacing w:val="-11"/>
        </w:rPr>
        <w:t> </w:t>
      </w:r>
      <w:r>
        <w:rPr/>
        <w:t>continental</w:t>
      </w:r>
      <w:r>
        <w:rPr>
          <w:spacing w:val="-11"/>
        </w:rPr>
        <w:t> </w:t>
      </w:r>
      <w:r>
        <w:rPr/>
        <w:t>plate.</w:t>
      </w:r>
      <w:r>
        <w:rPr>
          <w:spacing w:val="-11"/>
        </w:rPr>
        <w:t> </w:t>
      </w:r>
      <w:r>
        <w:rPr/>
        <w:t>Basins formed</w:t>
      </w:r>
      <w:r>
        <w:rPr>
          <w:spacing w:val="26"/>
        </w:rPr>
        <w:t> </w:t>
      </w:r>
      <w:r>
        <w:rPr/>
        <w:t>in</w:t>
      </w:r>
      <w:r>
        <w:rPr>
          <w:spacing w:val="26"/>
        </w:rPr>
        <w:t> </w:t>
      </w:r>
      <w:r>
        <w:rPr/>
        <w:t>mid-continent</w:t>
      </w:r>
      <w:r>
        <w:rPr>
          <w:spacing w:val="27"/>
        </w:rPr>
        <w:t> </w:t>
      </w:r>
      <w:r>
        <w:rPr/>
        <w:t>locations</w:t>
      </w:r>
      <w:r>
        <w:rPr>
          <w:spacing w:val="26"/>
        </w:rPr>
        <w:t> </w:t>
      </w:r>
      <w:r>
        <w:rPr/>
        <w:t>or</w:t>
      </w:r>
      <w:r>
        <w:rPr>
          <w:spacing w:val="26"/>
        </w:rPr>
        <w:t> </w:t>
      </w:r>
      <w:r>
        <w:rPr/>
        <w:t>near</w:t>
      </w:r>
      <w:r>
        <w:rPr>
          <w:spacing w:val="27"/>
        </w:rPr>
        <w:t> </w:t>
      </w:r>
      <w:r>
        <w:rPr/>
        <w:t>the</w:t>
      </w:r>
      <w:r>
        <w:rPr>
          <w:spacing w:val="26"/>
        </w:rPr>
        <w:t> </w:t>
      </w:r>
      <w:r>
        <w:rPr/>
        <w:t>edge</w:t>
      </w:r>
      <w:r>
        <w:rPr>
          <w:spacing w:val="26"/>
        </w:rPr>
        <w:t> </w:t>
      </w:r>
      <w:r>
        <w:rPr/>
        <w:t>of</w:t>
      </w:r>
      <w:r>
        <w:rPr>
          <w:spacing w:val="27"/>
        </w:rPr>
        <w:t> </w:t>
      </w:r>
      <w:r>
        <w:rPr/>
        <w:t>stable</w:t>
      </w:r>
    </w:p>
    <w:p>
      <w:pPr>
        <w:pStyle w:val="BodyText"/>
        <w:spacing w:line="240" w:lineRule="exact" w:before="7"/>
        <w:ind w:left="243" w:right="133"/>
        <w:jc w:val="both"/>
      </w:pPr>
      <w:r>
        <w:rPr/>
        <w:t>continental plates, are excellent targets for long-term </w:t>
      </w:r>
      <w:r>
        <w:rPr>
          <w:spacing w:val="-5"/>
        </w:rPr>
        <w:t>CO</w:t>
      </w:r>
      <w:r>
        <w:rPr>
          <w:spacing w:val="-5"/>
          <w:position w:val="-6"/>
          <w:sz w:val="11"/>
        </w:rPr>
        <w:t>2 </w:t>
      </w:r>
      <w:r>
        <w:rPr/>
        <w:t>storage because of their stability and structure. Such basins are found within most continents and around the Atlantic, Arctic and</w:t>
      </w:r>
      <w:r>
        <w:rPr>
          <w:spacing w:val="-14"/>
        </w:rPr>
        <w:t> </w:t>
      </w:r>
      <w:r>
        <w:rPr/>
        <w:t>Indian</w:t>
      </w:r>
      <w:r>
        <w:rPr>
          <w:spacing w:val="-13"/>
        </w:rPr>
        <w:t> </w:t>
      </w:r>
      <w:r>
        <w:rPr/>
        <w:t>Oceans.</w:t>
      </w:r>
      <w:r>
        <w:rPr>
          <w:spacing w:val="-17"/>
        </w:rPr>
        <w:t> </w:t>
      </w:r>
      <w:r>
        <w:rPr/>
        <w:t>The</w:t>
      </w:r>
      <w:r>
        <w:rPr>
          <w:spacing w:val="-13"/>
        </w:rPr>
        <w:t> </w:t>
      </w:r>
      <w:r>
        <w:rPr/>
        <w:t>storage</w:t>
      </w:r>
      <w:r>
        <w:rPr>
          <w:spacing w:val="-15"/>
        </w:rPr>
        <w:t> </w:t>
      </w:r>
      <w:r>
        <w:rPr/>
        <w:t>potential</w:t>
      </w:r>
      <w:r>
        <w:rPr>
          <w:spacing w:val="-14"/>
        </w:rPr>
        <w:t> </w:t>
      </w:r>
      <w:r>
        <w:rPr/>
        <w:t>of</w:t>
      </w:r>
      <w:r>
        <w:rPr>
          <w:spacing w:val="-13"/>
        </w:rPr>
        <w:t> </w:t>
      </w:r>
      <w:r>
        <w:rPr/>
        <w:t>basins</w:t>
      </w:r>
      <w:r>
        <w:rPr>
          <w:spacing w:val="-14"/>
        </w:rPr>
        <w:t> </w:t>
      </w:r>
      <w:r>
        <w:rPr/>
        <w:t>found</w:t>
      </w:r>
      <w:r>
        <w:rPr>
          <w:spacing w:val="-13"/>
        </w:rPr>
        <w:t> </w:t>
      </w:r>
      <w:r>
        <w:rPr/>
        <w:t>behind mountains formed by plate collision is likely to be good </w:t>
      </w:r>
      <w:r>
        <w:rPr>
          <w:spacing w:val="-5"/>
        </w:rPr>
        <w:t>and </w:t>
      </w:r>
      <w:r>
        <w:rPr/>
        <w:t>these include the Rocky Mountain, Appalachian and Andean basins in the Americas, European basins immediately north of the</w:t>
      </w:r>
      <w:r>
        <w:rPr>
          <w:spacing w:val="-26"/>
        </w:rPr>
        <w:t> </w:t>
      </w:r>
      <w:r>
        <w:rPr/>
        <w:t>Alps</w:t>
      </w:r>
      <w:r>
        <w:rPr>
          <w:spacing w:val="-15"/>
        </w:rPr>
        <w:t> </w:t>
      </w:r>
      <w:r>
        <w:rPr/>
        <w:t>and</w:t>
      </w:r>
      <w:r>
        <w:rPr>
          <w:spacing w:val="-15"/>
        </w:rPr>
        <w:t> </w:t>
      </w:r>
      <w:r>
        <w:rPr/>
        <w:t>Carpathians</w:t>
      </w:r>
      <w:r>
        <w:rPr>
          <w:spacing w:val="-15"/>
        </w:rPr>
        <w:t> </w:t>
      </w:r>
      <w:r>
        <w:rPr/>
        <w:t>and</w:t>
      </w:r>
      <w:r>
        <w:rPr>
          <w:spacing w:val="-15"/>
        </w:rPr>
        <w:t> </w:t>
      </w:r>
      <w:r>
        <w:rPr/>
        <w:t>west</w:t>
      </w:r>
      <w:r>
        <w:rPr>
          <w:spacing w:val="-15"/>
        </w:rPr>
        <w:t> </w:t>
      </w:r>
      <w:r>
        <w:rPr/>
        <w:t>of</w:t>
      </w:r>
      <w:r>
        <w:rPr>
          <w:spacing w:val="-14"/>
        </w:rPr>
        <w:t> </w:t>
      </w:r>
      <w:r>
        <w:rPr/>
        <w:t>the</w:t>
      </w:r>
      <w:r>
        <w:rPr>
          <w:spacing w:val="-15"/>
        </w:rPr>
        <w:t> </w:t>
      </w:r>
      <w:r>
        <w:rPr/>
        <w:t>Urals</w:t>
      </w:r>
      <w:r>
        <w:rPr>
          <w:spacing w:val="-15"/>
        </w:rPr>
        <w:t> </w:t>
      </w:r>
      <w:r>
        <w:rPr/>
        <w:t>and</w:t>
      </w:r>
      <w:r>
        <w:rPr>
          <w:spacing w:val="-15"/>
        </w:rPr>
        <w:t> </w:t>
      </w:r>
      <w:r>
        <w:rPr/>
        <w:t>those</w:t>
      </w:r>
      <w:r>
        <w:rPr>
          <w:spacing w:val="-15"/>
        </w:rPr>
        <w:t> </w:t>
      </w:r>
      <w:r>
        <w:rPr/>
        <w:t>located south of the Zagros and Himalayas in Asia. Basins located in tectonically</w:t>
      </w:r>
      <w:r>
        <w:rPr>
          <w:spacing w:val="-14"/>
        </w:rPr>
        <w:t> </w:t>
      </w:r>
      <w:r>
        <w:rPr/>
        <w:t>active</w:t>
      </w:r>
      <w:r>
        <w:rPr>
          <w:spacing w:val="-13"/>
        </w:rPr>
        <w:t> </w:t>
      </w:r>
      <w:r>
        <w:rPr/>
        <w:t>areas,</w:t>
      </w:r>
      <w:r>
        <w:rPr>
          <w:spacing w:val="-12"/>
        </w:rPr>
        <w:t> </w:t>
      </w:r>
      <w:r>
        <w:rPr/>
        <w:t>such</w:t>
      </w:r>
      <w:r>
        <w:rPr>
          <w:spacing w:val="-13"/>
        </w:rPr>
        <w:t> </w:t>
      </w:r>
      <w:r>
        <w:rPr/>
        <w:t>as</w:t>
      </w:r>
      <w:r>
        <w:rPr>
          <w:spacing w:val="-13"/>
        </w:rPr>
        <w:t> </w:t>
      </w:r>
      <w:r>
        <w:rPr/>
        <w:t>those</w:t>
      </w:r>
      <w:r>
        <w:rPr>
          <w:spacing w:val="-12"/>
        </w:rPr>
        <w:t> </w:t>
      </w:r>
      <w:r>
        <w:rPr/>
        <w:t>around</w:t>
      </w:r>
      <w:r>
        <w:rPr>
          <w:spacing w:val="-13"/>
        </w:rPr>
        <w:t> </w:t>
      </w:r>
      <w:r>
        <w:rPr/>
        <w:t>the</w:t>
      </w:r>
      <w:r>
        <w:rPr>
          <w:spacing w:val="-12"/>
        </w:rPr>
        <w:t> </w:t>
      </w:r>
      <w:r>
        <w:rPr/>
        <w:t>Pacific</w:t>
      </w:r>
      <w:r>
        <w:rPr>
          <w:spacing w:val="-13"/>
        </w:rPr>
        <w:t> </w:t>
      </w:r>
      <w:r>
        <w:rPr/>
        <w:t>Ocean or the northern Mediterranean, may be less suitable for CO</w:t>
      </w:r>
      <w:r>
        <w:rPr>
          <w:position w:val="-6"/>
          <w:sz w:val="11"/>
        </w:rPr>
        <w:t>2 </w:t>
      </w:r>
      <w:r>
        <w:rPr/>
        <w:t>storage and sites in these regions must be selected carefully because of the potential for CO</w:t>
      </w:r>
      <w:r>
        <w:rPr>
          <w:position w:val="-6"/>
          <w:sz w:val="11"/>
        </w:rPr>
        <w:t>2 </w:t>
      </w:r>
      <w:r>
        <w:rPr/>
        <w:t>leakage (Chiodini </w:t>
      </w:r>
      <w:r>
        <w:rPr>
          <w:i/>
        </w:rPr>
        <w:t>et al.</w:t>
      </w:r>
      <w:r>
        <w:rPr/>
        <w:t>, 2001; Granieri</w:t>
      </w:r>
      <w:r>
        <w:rPr>
          <w:spacing w:val="31"/>
        </w:rPr>
        <w:t> </w:t>
      </w:r>
      <w:r>
        <w:rPr>
          <w:i/>
        </w:rPr>
        <w:t>et</w:t>
      </w:r>
      <w:r>
        <w:rPr>
          <w:i/>
          <w:spacing w:val="30"/>
        </w:rPr>
        <w:t> </w:t>
      </w:r>
      <w:r>
        <w:rPr>
          <w:i/>
        </w:rPr>
        <w:t>al.</w:t>
      </w:r>
      <w:r>
        <w:rPr/>
        <w:t>,</w:t>
      </w:r>
      <w:r>
        <w:rPr>
          <w:spacing w:val="30"/>
        </w:rPr>
        <w:t> </w:t>
      </w:r>
      <w:r>
        <w:rPr/>
        <w:t>2003).</w:t>
      </w:r>
      <w:r>
        <w:rPr>
          <w:spacing w:val="30"/>
        </w:rPr>
        <w:t> </w:t>
      </w:r>
      <w:r>
        <w:rPr/>
        <w:t>Basins</w:t>
      </w:r>
      <w:r>
        <w:rPr>
          <w:spacing w:val="31"/>
        </w:rPr>
        <w:t> </w:t>
      </w:r>
      <w:r>
        <w:rPr/>
        <w:t>located</w:t>
      </w:r>
      <w:r>
        <w:rPr>
          <w:spacing w:val="30"/>
        </w:rPr>
        <w:t> </w:t>
      </w:r>
      <w:r>
        <w:rPr/>
        <w:t>on</w:t>
      </w:r>
      <w:r>
        <w:rPr>
          <w:spacing w:val="30"/>
        </w:rPr>
        <w:t> </w:t>
      </w:r>
      <w:r>
        <w:rPr/>
        <w:t>the</w:t>
      </w:r>
      <w:r>
        <w:rPr>
          <w:spacing w:val="30"/>
        </w:rPr>
        <w:t> </w:t>
      </w:r>
      <w:r>
        <w:rPr/>
        <w:t>edges</w:t>
      </w:r>
      <w:r>
        <w:rPr>
          <w:spacing w:val="30"/>
        </w:rPr>
        <w:t> </w:t>
      </w:r>
      <w:r>
        <w:rPr/>
        <w:t>of</w:t>
      </w:r>
      <w:r>
        <w:rPr>
          <w:spacing w:val="31"/>
        </w:rPr>
        <w:t> </w:t>
      </w:r>
      <w:r>
        <w:rPr/>
        <w:t>plates</w:t>
      </w:r>
    </w:p>
    <w:p>
      <w:pPr>
        <w:spacing w:after="0" w:line="240" w:lineRule="exact"/>
        <w:jc w:val="both"/>
        <w:sectPr>
          <w:type w:val="continuous"/>
          <w:pgSz w:w="12240" w:h="15840"/>
          <w:pgMar w:top="400" w:bottom="280" w:left="580" w:right="600"/>
          <w:cols w:num="2" w:equalWidth="0">
            <w:col w:w="5597" w:space="40"/>
            <w:col w:w="5423"/>
          </w:cols>
        </w:sectPr>
      </w:pPr>
    </w:p>
    <w:p>
      <w:pPr>
        <w:pStyle w:val="BodyText"/>
      </w:pPr>
    </w:p>
    <w:p>
      <w:pPr>
        <w:pStyle w:val="BodyText"/>
        <w:spacing w:before="8"/>
        <w:rPr>
          <w:sz w:val="23"/>
        </w:rPr>
      </w:pPr>
    </w:p>
    <w:p>
      <w:pPr>
        <w:pStyle w:val="BodyText"/>
        <w:ind w:left="157"/>
      </w:pPr>
      <w:r>
        <w:rPr/>
        <w:drawing>
          <wp:inline distT="0" distB="0" distL="0" distR="0">
            <wp:extent cx="6521955" cy="4700587"/>
            <wp:effectExtent l="0" t="0" r="0" b="0"/>
            <wp:docPr id="7" name="image94.png"/>
            <wp:cNvGraphicFramePr>
              <a:graphicFrameLocks noChangeAspect="1"/>
            </wp:cNvGraphicFramePr>
            <a:graphic>
              <a:graphicData uri="http://schemas.openxmlformats.org/drawingml/2006/picture">
                <pic:pic>
                  <pic:nvPicPr>
                    <pic:cNvPr id="8" name="image94.png"/>
                    <pic:cNvPicPr/>
                  </pic:nvPicPr>
                  <pic:blipFill>
                    <a:blip r:embed="rId100" cstate="print"/>
                    <a:stretch>
                      <a:fillRect/>
                    </a:stretch>
                  </pic:blipFill>
                  <pic:spPr>
                    <a:xfrm>
                      <a:off x="0" y="0"/>
                      <a:ext cx="6521955" cy="4700587"/>
                    </a:xfrm>
                    <a:prstGeom prst="rect">
                      <a:avLst/>
                    </a:prstGeom>
                  </pic:spPr>
                </pic:pic>
              </a:graphicData>
            </a:graphic>
          </wp:inline>
        </w:drawing>
      </w:r>
      <w:r>
        <w:rPr/>
      </w:r>
    </w:p>
    <w:p>
      <w:pPr>
        <w:spacing w:line="254" w:lineRule="auto" w:before="14"/>
        <w:ind w:left="157" w:right="531" w:firstLine="0"/>
        <w:jc w:val="both"/>
        <w:rPr>
          <w:sz w:val="18"/>
        </w:rPr>
      </w:pPr>
      <w:bookmarkStart w:name="_bookmark24" w:id="41"/>
      <w:bookmarkEnd w:id="41"/>
      <w:r>
        <w:rPr/>
      </w:r>
      <w:r>
        <w:rPr>
          <w:b/>
          <w:sz w:val="18"/>
        </w:rPr>
        <w:t>Figure 5.14 </w:t>
      </w:r>
      <w:r>
        <w:rPr>
          <w:sz w:val="18"/>
        </w:rPr>
        <w:t>Distribution of sedimentary basins around the world (after Bradshaw and Dance, 2005; and USGS, 2001a). In general, sedimentary basins are likely to be the most prospective areas for storage sites. However, storage sites may also be found in some areas of fold belts and in some</w:t>
      </w:r>
      <w:r>
        <w:rPr>
          <w:spacing w:val="-6"/>
          <w:sz w:val="18"/>
        </w:rPr>
        <w:t> </w:t>
      </w:r>
      <w:r>
        <w:rPr>
          <w:sz w:val="18"/>
        </w:rPr>
        <w:t>of</w:t>
      </w:r>
      <w:r>
        <w:rPr>
          <w:spacing w:val="-5"/>
          <w:sz w:val="18"/>
        </w:rPr>
        <w:t> </w:t>
      </w:r>
      <w:r>
        <w:rPr>
          <w:sz w:val="18"/>
        </w:rPr>
        <w:t>the</w:t>
      </w:r>
      <w:r>
        <w:rPr>
          <w:spacing w:val="-5"/>
          <w:sz w:val="18"/>
        </w:rPr>
        <w:t> </w:t>
      </w:r>
      <w:r>
        <w:rPr>
          <w:sz w:val="18"/>
        </w:rPr>
        <w:t>highs.</w:t>
      </w:r>
      <w:r>
        <w:rPr>
          <w:spacing w:val="-5"/>
          <w:sz w:val="18"/>
        </w:rPr>
        <w:t> </w:t>
      </w:r>
      <w:r>
        <w:rPr>
          <w:sz w:val="18"/>
        </w:rPr>
        <w:t>Shield</w:t>
      </w:r>
      <w:r>
        <w:rPr>
          <w:spacing w:val="-6"/>
          <w:sz w:val="18"/>
        </w:rPr>
        <w:t> </w:t>
      </w:r>
      <w:r>
        <w:rPr>
          <w:sz w:val="18"/>
        </w:rPr>
        <w:t>areas</w:t>
      </w:r>
      <w:r>
        <w:rPr>
          <w:spacing w:val="-6"/>
          <w:sz w:val="18"/>
        </w:rPr>
        <w:t> </w:t>
      </w:r>
      <w:r>
        <w:rPr>
          <w:sz w:val="18"/>
        </w:rPr>
        <w:t>constitute</w:t>
      </w:r>
      <w:r>
        <w:rPr>
          <w:spacing w:val="-5"/>
          <w:sz w:val="18"/>
        </w:rPr>
        <w:t> </w:t>
      </w:r>
      <w:r>
        <w:rPr>
          <w:sz w:val="18"/>
        </w:rPr>
        <w:t>regions</w:t>
      </w:r>
      <w:r>
        <w:rPr>
          <w:spacing w:val="-5"/>
          <w:sz w:val="18"/>
        </w:rPr>
        <w:t> </w:t>
      </w:r>
      <w:r>
        <w:rPr>
          <w:sz w:val="18"/>
        </w:rPr>
        <w:t>with</w:t>
      </w:r>
      <w:r>
        <w:rPr>
          <w:spacing w:val="-5"/>
          <w:sz w:val="18"/>
        </w:rPr>
        <w:t> </w:t>
      </w:r>
      <w:r>
        <w:rPr>
          <w:sz w:val="18"/>
        </w:rPr>
        <w:t>low</w:t>
      </w:r>
      <w:r>
        <w:rPr>
          <w:spacing w:val="-5"/>
          <w:sz w:val="18"/>
        </w:rPr>
        <w:t> </w:t>
      </w:r>
      <w:r>
        <w:rPr>
          <w:sz w:val="18"/>
        </w:rPr>
        <w:t>prospectivity</w:t>
      </w:r>
      <w:r>
        <w:rPr>
          <w:spacing w:val="-6"/>
          <w:sz w:val="18"/>
        </w:rPr>
        <w:t> </w:t>
      </w:r>
      <w:r>
        <w:rPr>
          <w:sz w:val="18"/>
        </w:rPr>
        <w:t>for</w:t>
      </w:r>
      <w:r>
        <w:rPr>
          <w:spacing w:val="-5"/>
          <w:sz w:val="18"/>
        </w:rPr>
        <w:t> </w:t>
      </w:r>
      <w:r>
        <w:rPr>
          <w:sz w:val="18"/>
        </w:rPr>
        <w:t>storage.</w:t>
      </w:r>
      <w:r>
        <w:rPr>
          <w:spacing w:val="-9"/>
          <w:sz w:val="18"/>
        </w:rPr>
        <w:t> </w:t>
      </w:r>
      <w:r>
        <w:rPr>
          <w:sz w:val="18"/>
        </w:rPr>
        <w:t>The</w:t>
      </w:r>
      <w:r>
        <w:rPr>
          <w:spacing w:val="-5"/>
          <w:sz w:val="18"/>
        </w:rPr>
        <w:t> </w:t>
      </w:r>
      <w:r>
        <w:rPr>
          <w:sz w:val="18"/>
        </w:rPr>
        <w:t>Mercator</w:t>
      </w:r>
      <w:r>
        <w:rPr>
          <w:spacing w:val="-6"/>
          <w:sz w:val="18"/>
        </w:rPr>
        <w:t> </w:t>
      </w:r>
      <w:r>
        <w:rPr>
          <w:sz w:val="18"/>
        </w:rPr>
        <w:t>projection</w:t>
      </w:r>
      <w:r>
        <w:rPr>
          <w:spacing w:val="-5"/>
          <w:sz w:val="18"/>
        </w:rPr>
        <w:t> </w:t>
      </w:r>
      <w:r>
        <w:rPr>
          <w:sz w:val="18"/>
        </w:rPr>
        <w:t>used</w:t>
      </w:r>
      <w:r>
        <w:rPr>
          <w:spacing w:val="-6"/>
          <w:sz w:val="18"/>
        </w:rPr>
        <w:t> </w:t>
      </w:r>
      <w:r>
        <w:rPr>
          <w:sz w:val="18"/>
        </w:rPr>
        <w:t>here</w:t>
      </w:r>
      <w:r>
        <w:rPr>
          <w:spacing w:val="-5"/>
          <w:sz w:val="18"/>
        </w:rPr>
        <w:t> </w:t>
      </w:r>
      <w:r>
        <w:rPr>
          <w:sz w:val="18"/>
        </w:rPr>
        <w:t>is</w:t>
      </w:r>
      <w:r>
        <w:rPr>
          <w:spacing w:val="-5"/>
          <w:sz w:val="18"/>
        </w:rPr>
        <w:t> </w:t>
      </w:r>
      <w:r>
        <w:rPr>
          <w:sz w:val="18"/>
        </w:rPr>
        <w:t>to</w:t>
      </w:r>
      <w:r>
        <w:rPr>
          <w:spacing w:val="-5"/>
          <w:sz w:val="18"/>
        </w:rPr>
        <w:t> </w:t>
      </w:r>
      <w:r>
        <w:rPr>
          <w:sz w:val="18"/>
        </w:rPr>
        <w:t>provide</w:t>
      </w:r>
      <w:r>
        <w:rPr>
          <w:spacing w:val="-5"/>
          <w:sz w:val="18"/>
        </w:rPr>
        <w:t> </w:t>
      </w:r>
      <w:r>
        <w:rPr>
          <w:sz w:val="18"/>
        </w:rPr>
        <w:t>comparison with</w:t>
      </w:r>
      <w:r>
        <w:rPr>
          <w:spacing w:val="-4"/>
          <w:sz w:val="18"/>
        </w:rPr>
        <w:t> </w:t>
      </w:r>
      <w:r>
        <w:rPr>
          <w:sz w:val="18"/>
        </w:rPr>
        <w:t>Figures</w:t>
      </w:r>
      <w:r>
        <w:rPr>
          <w:spacing w:val="-3"/>
          <w:sz w:val="18"/>
        </w:rPr>
        <w:t> </w:t>
      </w:r>
      <w:hyperlink w:history="true" w:anchor="_bookmark0">
        <w:r>
          <w:rPr>
            <w:sz w:val="18"/>
          </w:rPr>
          <w:t>5.1,</w:t>
        </w:r>
        <w:r>
          <w:rPr>
            <w:spacing w:val="-4"/>
            <w:sz w:val="18"/>
          </w:rPr>
          <w:t> </w:t>
        </w:r>
      </w:hyperlink>
      <w:hyperlink w:history="true" w:anchor="_bookmark19">
        <w:r>
          <w:rPr>
            <w:sz w:val="18"/>
          </w:rPr>
          <w:t>5.11</w:t>
        </w:r>
        <w:r>
          <w:rPr>
            <w:spacing w:val="-3"/>
            <w:sz w:val="18"/>
          </w:rPr>
          <w:t> </w:t>
        </w:r>
      </w:hyperlink>
      <w:r>
        <w:rPr>
          <w:sz w:val="18"/>
        </w:rPr>
        <w:t>and</w:t>
      </w:r>
      <w:r>
        <w:rPr>
          <w:spacing w:val="-4"/>
          <w:sz w:val="18"/>
        </w:rPr>
        <w:t> </w:t>
      </w:r>
      <w:hyperlink w:history="true" w:anchor="_bookmark43">
        <w:r>
          <w:rPr>
            <w:sz w:val="18"/>
          </w:rPr>
          <w:t>5.27.</w:t>
        </w:r>
        <w:r>
          <w:rPr>
            <w:spacing w:val="-7"/>
            <w:sz w:val="18"/>
          </w:rPr>
          <w:t> </w:t>
        </w:r>
      </w:hyperlink>
      <w:r>
        <w:rPr>
          <w:sz w:val="18"/>
        </w:rPr>
        <w:t>The</w:t>
      </w:r>
      <w:r>
        <w:rPr>
          <w:spacing w:val="-3"/>
          <w:sz w:val="18"/>
        </w:rPr>
        <w:t> </w:t>
      </w:r>
      <w:r>
        <w:rPr>
          <w:sz w:val="18"/>
        </w:rPr>
        <w:t>apparent</w:t>
      </w:r>
      <w:r>
        <w:rPr>
          <w:spacing w:val="-4"/>
          <w:sz w:val="18"/>
        </w:rPr>
        <w:t> </w:t>
      </w:r>
      <w:r>
        <w:rPr>
          <w:sz w:val="18"/>
        </w:rPr>
        <w:t>dimensions</w:t>
      </w:r>
      <w:r>
        <w:rPr>
          <w:spacing w:val="-3"/>
          <w:sz w:val="18"/>
        </w:rPr>
        <w:t> </w:t>
      </w:r>
      <w:r>
        <w:rPr>
          <w:sz w:val="18"/>
        </w:rPr>
        <w:t>of</w:t>
      </w:r>
      <w:r>
        <w:rPr>
          <w:spacing w:val="-4"/>
          <w:sz w:val="18"/>
        </w:rPr>
        <w:t> </w:t>
      </w:r>
      <w:r>
        <w:rPr>
          <w:sz w:val="18"/>
        </w:rPr>
        <w:t>the</w:t>
      </w:r>
      <w:r>
        <w:rPr>
          <w:spacing w:val="-3"/>
          <w:sz w:val="18"/>
        </w:rPr>
        <w:t> </w:t>
      </w:r>
      <w:r>
        <w:rPr>
          <w:sz w:val="18"/>
        </w:rPr>
        <w:t>sedimentary</w:t>
      </w:r>
      <w:r>
        <w:rPr>
          <w:spacing w:val="-5"/>
          <w:sz w:val="18"/>
        </w:rPr>
        <w:t> </w:t>
      </w:r>
      <w:r>
        <w:rPr>
          <w:sz w:val="18"/>
        </w:rPr>
        <w:t>basins,</w:t>
      </w:r>
      <w:r>
        <w:rPr>
          <w:spacing w:val="-3"/>
          <w:sz w:val="18"/>
        </w:rPr>
        <w:t> </w:t>
      </w:r>
      <w:r>
        <w:rPr>
          <w:sz w:val="18"/>
        </w:rPr>
        <w:t>particularly</w:t>
      </w:r>
      <w:r>
        <w:rPr>
          <w:spacing w:val="-3"/>
          <w:sz w:val="18"/>
        </w:rPr>
        <w:t> </w:t>
      </w:r>
      <w:r>
        <w:rPr>
          <w:sz w:val="18"/>
        </w:rPr>
        <w:t>in</w:t>
      </w:r>
      <w:r>
        <w:rPr>
          <w:spacing w:val="-4"/>
          <w:sz w:val="18"/>
        </w:rPr>
        <w:t> </w:t>
      </w:r>
      <w:r>
        <w:rPr>
          <w:sz w:val="18"/>
        </w:rPr>
        <w:t>the</w:t>
      </w:r>
      <w:r>
        <w:rPr>
          <w:spacing w:val="-3"/>
          <w:sz w:val="18"/>
        </w:rPr>
        <w:t> </w:t>
      </w:r>
      <w:r>
        <w:rPr>
          <w:sz w:val="18"/>
        </w:rPr>
        <w:t>northern</w:t>
      </w:r>
      <w:r>
        <w:rPr>
          <w:spacing w:val="-4"/>
          <w:sz w:val="18"/>
        </w:rPr>
        <w:t> </w:t>
      </w:r>
      <w:r>
        <w:rPr>
          <w:sz w:val="18"/>
        </w:rPr>
        <w:t>hemisphere,</w:t>
      </w:r>
      <w:r>
        <w:rPr>
          <w:spacing w:val="-3"/>
          <w:sz w:val="18"/>
        </w:rPr>
        <w:t> </w:t>
      </w:r>
      <w:r>
        <w:rPr>
          <w:sz w:val="18"/>
        </w:rPr>
        <w:t>should</w:t>
      </w:r>
      <w:r>
        <w:rPr>
          <w:spacing w:val="-4"/>
          <w:sz w:val="18"/>
        </w:rPr>
        <w:t> </w:t>
      </w:r>
      <w:r>
        <w:rPr>
          <w:sz w:val="18"/>
        </w:rPr>
        <w:t>not</w:t>
      </w:r>
      <w:r>
        <w:rPr>
          <w:spacing w:val="-3"/>
          <w:sz w:val="18"/>
        </w:rPr>
        <w:t> </w:t>
      </w:r>
      <w:r>
        <w:rPr>
          <w:sz w:val="18"/>
        </w:rPr>
        <w:t>be</w:t>
      </w:r>
      <w:r>
        <w:rPr>
          <w:spacing w:val="-3"/>
          <w:sz w:val="18"/>
        </w:rPr>
        <w:t> </w:t>
      </w:r>
      <w:r>
        <w:rPr>
          <w:sz w:val="18"/>
        </w:rPr>
        <w:t>taken as an indication of their likely storage</w:t>
      </w:r>
      <w:r>
        <w:rPr>
          <w:spacing w:val="-2"/>
          <w:sz w:val="18"/>
        </w:rPr>
        <w:t> </w:t>
      </w:r>
      <w:r>
        <w:rPr>
          <w:sz w:val="18"/>
        </w:rPr>
        <w:t>capacity.</w:t>
      </w:r>
    </w:p>
    <w:p>
      <w:pPr>
        <w:spacing w:after="0" w:line="254" w:lineRule="auto"/>
        <w:jc w:val="both"/>
        <w:rPr>
          <w:sz w:val="18"/>
        </w:rPr>
        <w:sectPr>
          <w:pgSz w:w="12240" w:h="15840"/>
          <w:pgMar w:header="567" w:footer="0" w:top="760" w:bottom="280" w:left="580" w:right="600"/>
        </w:sectPr>
      </w:pPr>
    </w:p>
    <w:p>
      <w:pPr>
        <w:pStyle w:val="BodyText"/>
        <w:spacing w:line="240" w:lineRule="exact" w:before="104"/>
        <w:ind w:left="157" w:right="38"/>
        <w:jc w:val="both"/>
      </w:pPr>
      <w:r>
        <w:rPr/>
        <w:t>where subduction is occurring or between active mountain ranges, are likely to be strongly folded and faulted and provide less certainty for storage. However, basins must be assessed</w:t>
      </w:r>
      <w:r>
        <w:rPr>
          <w:spacing w:val="-22"/>
        </w:rPr>
        <w:t> </w:t>
      </w:r>
      <w:r>
        <w:rPr/>
        <w:t>on an individual basis. For example, the Los Angeles Basin and Sacramento</w:t>
      </w:r>
      <w:r>
        <w:rPr>
          <w:spacing w:val="-19"/>
        </w:rPr>
        <w:t> </w:t>
      </w:r>
      <w:r>
        <w:rPr>
          <w:spacing w:val="-4"/>
        </w:rPr>
        <w:t>Valley</w:t>
      </w:r>
      <w:r>
        <w:rPr>
          <w:spacing w:val="-15"/>
        </w:rPr>
        <w:t> </w:t>
      </w:r>
      <w:r>
        <w:rPr/>
        <w:t>in</w:t>
      </w:r>
      <w:r>
        <w:rPr>
          <w:spacing w:val="-15"/>
        </w:rPr>
        <w:t> </w:t>
      </w:r>
      <w:r>
        <w:rPr/>
        <w:t>California,</w:t>
      </w:r>
      <w:r>
        <w:rPr>
          <w:spacing w:val="-15"/>
        </w:rPr>
        <w:t> </w:t>
      </w:r>
      <w:r>
        <w:rPr/>
        <w:t>where</w:t>
      </w:r>
      <w:r>
        <w:rPr>
          <w:spacing w:val="-15"/>
        </w:rPr>
        <w:t> </w:t>
      </w:r>
      <w:r>
        <w:rPr/>
        <w:t>significant</w:t>
      </w:r>
      <w:r>
        <w:rPr>
          <w:spacing w:val="-15"/>
        </w:rPr>
        <w:t> </w:t>
      </w:r>
      <w:r>
        <w:rPr/>
        <w:t>hydrocarbon accumulations have been found, have demonstrated </w:t>
      </w:r>
      <w:r>
        <w:rPr>
          <w:spacing w:val="-3"/>
        </w:rPr>
        <w:t>good  </w:t>
      </w:r>
      <w:r>
        <w:rPr/>
        <w:t>local storage capacity. Poor CO</w:t>
      </w:r>
      <w:r>
        <w:rPr>
          <w:position w:val="-6"/>
          <w:sz w:val="11"/>
        </w:rPr>
        <w:t>2 </w:t>
      </w:r>
      <w:r>
        <w:rPr/>
        <w:t>storage potential is likely to be exhibited by basins that (1) are thin (≤1000 m), (2) </w:t>
      </w:r>
      <w:r>
        <w:rPr>
          <w:spacing w:val="-4"/>
        </w:rPr>
        <w:t>have </w:t>
      </w:r>
      <w:r>
        <w:rPr/>
        <w:t>poor reservoir and seal relationships, (3) are highly faulted </w:t>
      </w:r>
      <w:r>
        <w:rPr>
          <w:spacing w:val="-4"/>
        </w:rPr>
        <w:t>and </w:t>
      </w:r>
      <w:r>
        <w:rPr/>
        <w:t>fractured, (4) are within fold belts, (5) have strongly</w:t>
      </w:r>
      <w:r>
        <w:rPr>
          <w:spacing w:val="-32"/>
        </w:rPr>
        <w:t> </w:t>
      </w:r>
      <w:r>
        <w:rPr/>
        <w:t>discordant sequences, (6) have undergone significant diagenesis or (7) have overpressured reservoirs.</w:t>
      </w:r>
    </w:p>
    <w:p>
      <w:pPr>
        <w:pStyle w:val="BodyText"/>
        <w:spacing w:line="240" w:lineRule="exact"/>
        <w:ind w:left="157" w:right="38" w:firstLine="283"/>
        <w:jc w:val="both"/>
      </w:pPr>
      <w:r>
        <w:rPr/>
        <w:t>The efficiency of CO</w:t>
      </w:r>
      <w:r>
        <w:rPr>
          <w:position w:val="-6"/>
          <w:sz w:val="11"/>
        </w:rPr>
        <w:t>2 </w:t>
      </w:r>
      <w:r>
        <w:rPr/>
        <w:t>storage in geological media, defined as the amount  of  CO</w:t>
      </w:r>
      <w:r>
        <w:rPr>
          <w:position w:val="-6"/>
          <w:sz w:val="11"/>
        </w:rPr>
        <w:t>2  </w:t>
      </w:r>
      <w:r>
        <w:rPr/>
        <w:t>stored  per  unit  volume  (Brennan  and Burruss, 2003), increases with increasing CO</w:t>
      </w:r>
      <w:r>
        <w:rPr>
          <w:position w:val="-6"/>
          <w:sz w:val="11"/>
        </w:rPr>
        <w:t>2 </w:t>
      </w:r>
      <w:r>
        <w:rPr/>
        <w:t>density. Storage safety also increases with increasing density, because buoyancy, which drives upward migration, is stronger for a lighter fluid. Density increases significantly with depth while CO</w:t>
      </w:r>
      <w:r>
        <w:rPr>
          <w:position w:val="-6"/>
          <w:sz w:val="11"/>
        </w:rPr>
        <w:t>2 </w:t>
      </w:r>
      <w:r>
        <w:rPr/>
        <w:t>is in gaseous phase, increases only slightly or levels off after</w:t>
      </w:r>
      <w:r>
        <w:rPr>
          <w:spacing w:val="9"/>
        </w:rPr>
        <w:t> </w:t>
      </w:r>
      <w:r>
        <w:rPr/>
        <w:t>passing</w:t>
      </w:r>
      <w:r>
        <w:rPr>
          <w:spacing w:val="10"/>
        </w:rPr>
        <w:t> </w:t>
      </w:r>
      <w:r>
        <w:rPr/>
        <w:t>from</w:t>
      </w:r>
      <w:r>
        <w:rPr>
          <w:spacing w:val="10"/>
        </w:rPr>
        <w:t> </w:t>
      </w:r>
      <w:r>
        <w:rPr/>
        <w:t>the</w:t>
      </w:r>
      <w:r>
        <w:rPr>
          <w:spacing w:val="10"/>
        </w:rPr>
        <w:t> </w:t>
      </w:r>
      <w:r>
        <w:rPr/>
        <w:t>gaseous</w:t>
      </w:r>
      <w:r>
        <w:rPr>
          <w:spacing w:val="11"/>
        </w:rPr>
        <w:t> </w:t>
      </w:r>
      <w:r>
        <w:rPr/>
        <w:t>phase</w:t>
      </w:r>
      <w:r>
        <w:rPr>
          <w:spacing w:val="10"/>
        </w:rPr>
        <w:t> </w:t>
      </w:r>
      <w:r>
        <w:rPr/>
        <w:t>into</w:t>
      </w:r>
      <w:r>
        <w:rPr>
          <w:spacing w:val="10"/>
        </w:rPr>
        <w:t> </w:t>
      </w:r>
      <w:r>
        <w:rPr/>
        <w:t>the</w:t>
      </w:r>
      <w:r>
        <w:rPr>
          <w:spacing w:val="10"/>
        </w:rPr>
        <w:t> </w:t>
      </w:r>
      <w:r>
        <w:rPr/>
        <w:t>dense</w:t>
      </w:r>
      <w:r>
        <w:rPr>
          <w:spacing w:val="10"/>
        </w:rPr>
        <w:t> </w:t>
      </w:r>
      <w:r>
        <w:rPr/>
        <w:t>phase</w:t>
      </w:r>
      <w:r>
        <w:rPr>
          <w:spacing w:val="11"/>
        </w:rPr>
        <w:t> </w:t>
      </w:r>
      <w:r>
        <w:rPr>
          <w:spacing w:val="-6"/>
        </w:rPr>
        <w:t>and</w:t>
      </w:r>
    </w:p>
    <w:p>
      <w:pPr>
        <w:pStyle w:val="BodyText"/>
        <w:spacing w:line="240" w:lineRule="exact" w:before="104"/>
        <w:ind w:left="157" w:right="530"/>
        <w:jc w:val="both"/>
      </w:pPr>
      <w:r>
        <w:rPr/>
        <w:br w:type="column"/>
      </w:r>
      <w:r>
        <w:rPr/>
        <w:t>may even decrease with a further increase in depth, depending on the temperature gradient (Ennis-King and Paterson, 2001; Bachu, 2003). ‘Cold’ sedimentary basins, characterized by low temperature gradients, are more favourable for CO</w:t>
      </w:r>
      <w:r>
        <w:rPr>
          <w:position w:val="-6"/>
          <w:sz w:val="11"/>
        </w:rPr>
        <w:t>2 </w:t>
      </w:r>
      <w:r>
        <w:rPr/>
        <w:t>storage (Bachu, 2003) because CO</w:t>
      </w:r>
      <w:r>
        <w:rPr>
          <w:position w:val="-6"/>
          <w:sz w:val="11"/>
        </w:rPr>
        <w:t>2 </w:t>
      </w:r>
      <w:r>
        <w:rPr/>
        <w:t>attains higher density at shallower depths (700–1000 m) than in ‘warm’ sedimentary basins, characterized by high temperature gradients where dense-fluid conditions are reached at greater depths (1000–1500 m). </w:t>
      </w:r>
      <w:r>
        <w:rPr>
          <w:spacing w:val="-5"/>
        </w:rPr>
        <w:t>The </w:t>
      </w:r>
      <w:r>
        <w:rPr/>
        <w:t>depth</w:t>
      </w:r>
      <w:r>
        <w:rPr>
          <w:spacing w:val="-9"/>
        </w:rPr>
        <w:t> </w:t>
      </w:r>
      <w:r>
        <w:rPr/>
        <w:t>of</w:t>
      </w:r>
      <w:r>
        <w:rPr>
          <w:spacing w:val="-9"/>
        </w:rPr>
        <w:t> </w:t>
      </w:r>
      <w:r>
        <w:rPr/>
        <w:t>the</w:t>
      </w:r>
      <w:r>
        <w:rPr>
          <w:spacing w:val="-9"/>
        </w:rPr>
        <w:t> </w:t>
      </w:r>
      <w:r>
        <w:rPr/>
        <w:t>storage</w:t>
      </w:r>
      <w:r>
        <w:rPr>
          <w:spacing w:val="-10"/>
        </w:rPr>
        <w:t> </w:t>
      </w:r>
      <w:r>
        <w:rPr/>
        <w:t>formation</w:t>
      </w:r>
      <w:r>
        <w:rPr>
          <w:spacing w:val="-10"/>
        </w:rPr>
        <w:t> </w:t>
      </w:r>
      <w:r>
        <w:rPr/>
        <w:t>(leading</w:t>
      </w:r>
      <w:r>
        <w:rPr>
          <w:spacing w:val="-9"/>
        </w:rPr>
        <w:t> </w:t>
      </w:r>
      <w:r>
        <w:rPr/>
        <w:t>to</w:t>
      </w:r>
      <w:r>
        <w:rPr>
          <w:spacing w:val="-9"/>
        </w:rPr>
        <w:t> </w:t>
      </w:r>
      <w:r>
        <w:rPr/>
        <w:t>increased</w:t>
      </w:r>
      <w:r>
        <w:rPr>
          <w:spacing w:val="-10"/>
        </w:rPr>
        <w:t> </w:t>
      </w:r>
      <w:r>
        <w:rPr/>
        <w:t>drilling</w:t>
      </w:r>
      <w:r>
        <w:rPr>
          <w:spacing w:val="-9"/>
        </w:rPr>
        <w:t> </w:t>
      </w:r>
      <w:r>
        <w:rPr/>
        <w:t>and compression costs for deeper formations) may also influence the selection of storage</w:t>
      </w:r>
      <w:r>
        <w:rPr>
          <w:spacing w:val="-4"/>
        </w:rPr>
        <w:t> </w:t>
      </w:r>
      <w:r>
        <w:rPr/>
        <w:t>sites.</w:t>
      </w:r>
    </w:p>
    <w:p>
      <w:pPr>
        <w:pStyle w:val="BodyText"/>
        <w:spacing w:line="240" w:lineRule="exact"/>
        <w:ind w:left="157" w:right="531" w:firstLine="283"/>
        <w:jc w:val="both"/>
      </w:pPr>
      <w:r>
        <w:rPr/>
        <w:t>Adequate porosity and thickness (for storage  capacity)  and permeability (for injectivity) are critical; porosity </w:t>
      </w:r>
      <w:r>
        <w:rPr>
          <w:spacing w:val="-3"/>
        </w:rPr>
        <w:t>usually </w:t>
      </w:r>
      <w:r>
        <w:rPr/>
        <w:t>decreases with depth because of compaction and </w:t>
      </w:r>
      <w:r>
        <w:rPr>
          <w:spacing w:val="-2"/>
        </w:rPr>
        <w:t>cementation, </w:t>
      </w:r>
      <w:r>
        <w:rPr/>
        <w:t>which reduces storage capacity and efficiency. The storage formation should be capped by extensive confining units </w:t>
      </w:r>
      <w:r>
        <w:rPr>
          <w:spacing w:val="-3"/>
        </w:rPr>
        <w:t>(such </w:t>
      </w:r>
      <w:r>
        <w:rPr/>
        <w:t>as shale, salt or anhydrite beds) to ensure that CO</w:t>
      </w:r>
      <w:r>
        <w:rPr>
          <w:position w:val="-6"/>
          <w:sz w:val="11"/>
        </w:rPr>
        <w:t>2 </w:t>
      </w:r>
      <w:r>
        <w:rPr/>
        <w:t>does not escape</w:t>
      </w:r>
      <w:r>
        <w:rPr>
          <w:spacing w:val="-11"/>
        </w:rPr>
        <w:t> </w:t>
      </w:r>
      <w:r>
        <w:rPr/>
        <w:t>into</w:t>
      </w:r>
      <w:r>
        <w:rPr>
          <w:spacing w:val="-11"/>
        </w:rPr>
        <w:t> </w:t>
      </w:r>
      <w:r>
        <w:rPr/>
        <w:t>overlying,</w:t>
      </w:r>
      <w:r>
        <w:rPr>
          <w:spacing w:val="-11"/>
        </w:rPr>
        <w:t> </w:t>
      </w:r>
      <w:r>
        <w:rPr/>
        <w:t>shallower</w:t>
      </w:r>
      <w:r>
        <w:rPr>
          <w:spacing w:val="-12"/>
        </w:rPr>
        <w:t> </w:t>
      </w:r>
      <w:r>
        <w:rPr/>
        <w:t>rock</w:t>
      </w:r>
      <w:r>
        <w:rPr>
          <w:spacing w:val="-11"/>
        </w:rPr>
        <w:t> </w:t>
      </w:r>
      <w:r>
        <w:rPr/>
        <w:t>units</w:t>
      </w:r>
      <w:r>
        <w:rPr>
          <w:spacing w:val="-11"/>
        </w:rPr>
        <w:t> </w:t>
      </w:r>
      <w:r>
        <w:rPr/>
        <w:t>and</w:t>
      </w:r>
      <w:r>
        <w:rPr>
          <w:spacing w:val="-11"/>
        </w:rPr>
        <w:t> </w:t>
      </w:r>
      <w:r>
        <w:rPr/>
        <w:t>ultimately</w:t>
      </w:r>
      <w:r>
        <w:rPr>
          <w:spacing w:val="-11"/>
        </w:rPr>
        <w:t> </w:t>
      </w:r>
      <w:r>
        <w:rPr/>
        <w:t>to</w:t>
      </w:r>
      <w:r>
        <w:rPr>
          <w:spacing w:val="-11"/>
        </w:rPr>
        <w:t> </w:t>
      </w:r>
      <w:r>
        <w:rPr/>
        <w:t>the surface. Extensively faulted and fractured sedimentary basins or parts thereof, particularly in seismically active areas,</w:t>
      </w:r>
      <w:r>
        <w:rPr>
          <w:spacing w:val="-26"/>
        </w:rPr>
        <w:t> </w:t>
      </w:r>
      <w:r>
        <w:rPr/>
        <w:t>require</w:t>
      </w:r>
    </w:p>
    <w:p>
      <w:pPr>
        <w:spacing w:after="0" w:line="240" w:lineRule="exact"/>
        <w:jc w:val="both"/>
        <w:sectPr>
          <w:type w:val="continuous"/>
          <w:pgSz w:w="12240" w:h="15840"/>
          <w:pgMar w:top="400" w:bottom="280" w:left="580" w:right="600"/>
          <w:cols w:num="2" w:equalWidth="0">
            <w:col w:w="5242" w:space="85"/>
            <w:col w:w="5733"/>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06" w:lineRule="auto" w:before="82"/>
        <w:ind w:left="553" w:right="1"/>
        <w:jc w:val="both"/>
      </w:pPr>
      <w:bookmarkStart w:name="5.3.2 Oil and gas fields" w:id="42"/>
      <w:bookmarkEnd w:id="42"/>
      <w:r>
        <w:rPr/>
      </w:r>
      <w:r>
        <w:rPr/>
        <w:t>careful characterization to be good candidates for CO</w:t>
      </w:r>
      <w:r>
        <w:rPr>
          <w:position w:val="-6"/>
          <w:sz w:val="11"/>
        </w:rPr>
        <w:t>2 </w:t>
      </w:r>
      <w:r>
        <w:rPr/>
        <w:t>storage, unless the faults and fractures are sealed and CO</w:t>
      </w:r>
      <w:r>
        <w:rPr>
          <w:position w:val="-6"/>
          <w:sz w:val="11"/>
        </w:rPr>
        <w:t>2 </w:t>
      </w:r>
      <w:r>
        <w:rPr/>
        <w:t>injection will not open them (Holloway, 1997; Zarlenga </w:t>
      </w:r>
      <w:r>
        <w:rPr>
          <w:i/>
        </w:rPr>
        <w:t>et al.</w:t>
      </w:r>
      <w:r>
        <w:rPr/>
        <w:t>, 2004).</w:t>
      </w:r>
    </w:p>
    <w:p>
      <w:pPr>
        <w:pStyle w:val="BodyText"/>
        <w:spacing w:line="240" w:lineRule="exact" w:before="1"/>
        <w:ind w:left="553" w:firstLine="283"/>
        <w:jc w:val="both"/>
      </w:pPr>
      <w:r>
        <w:rPr/>
        <w:t>The pressure and flow regimes of formation waters in a sedimentary</w:t>
      </w:r>
      <w:r>
        <w:rPr>
          <w:spacing w:val="-21"/>
        </w:rPr>
        <w:t> </w:t>
      </w:r>
      <w:r>
        <w:rPr/>
        <w:t>basin</w:t>
      </w:r>
      <w:r>
        <w:rPr>
          <w:spacing w:val="-21"/>
        </w:rPr>
        <w:t> </w:t>
      </w:r>
      <w:r>
        <w:rPr/>
        <w:t>are</w:t>
      </w:r>
      <w:r>
        <w:rPr>
          <w:spacing w:val="-21"/>
        </w:rPr>
        <w:t> </w:t>
      </w:r>
      <w:r>
        <w:rPr/>
        <w:t>important</w:t>
      </w:r>
      <w:r>
        <w:rPr>
          <w:spacing w:val="-21"/>
        </w:rPr>
        <w:t> </w:t>
      </w:r>
      <w:r>
        <w:rPr/>
        <w:t>factors</w:t>
      </w:r>
      <w:r>
        <w:rPr>
          <w:spacing w:val="-20"/>
        </w:rPr>
        <w:t> </w:t>
      </w:r>
      <w:r>
        <w:rPr/>
        <w:t>in</w:t>
      </w:r>
      <w:r>
        <w:rPr>
          <w:spacing w:val="-21"/>
        </w:rPr>
        <w:t> </w:t>
      </w:r>
      <w:r>
        <w:rPr/>
        <w:t>selecting</w:t>
      </w:r>
      <w:r>
        <w:rPr>
          <w:spacing w:val="-21"/>
        </w:rPr>
        <w:t> </w:t>
      </w:r>
      <w:r>
        <w:rPr/>
        <w:t>sites</w:t>
      </w:r>
      <w:r>
        <w:rPr>
          <w:spacing w:val="-21"/>
        </w:rPr>
        <w:t> </w:t>
      </w:r>
      <w:r>
        <w:rPr/>
        <w:t>for</w:t>
      </w:r>
      <w:r>
        <w:rPr>
          <w:spacing w:val="-20"/>
        </w:rPr>
        <w:t> </w:t>
      </w:r>
      <w:r>
        <w:rPr/>
        <w:t>CO</w:t>
      </w:r>
      <w:r>
        <w:rPr>
          <w:position w:val="-6"/>
          <w:sz w:val="11"/>
        </w:rPr>
        <w:t>2 </w:t>
      </w:r>
      <w:r>
        <w:rPr/>
        <w:t>storage (Bachu </w:t>
      </w:r>
      <w:r>
        <w:rPr>
          <w:i/>
        </w:rPr>
        <w:t>et al.</w:t>
      </w:r>
      <w:r>
        <w:rPr/>
        <w:t>, 1994). Injection of CO</w:t>
      </w:r>
      <w:r>
        <w:rPr>
          <w:position w:val="-6"/>
          <w:sz w:val="11"/>
        </w:rPr>
        <w:t>2 </w:t>
      </w:r>
      <w:r>
        <w:rPr/>
        <w:t>into formations overpressured by compaction and/or hydrocarbon generation may raise technological and safety issues that make them unsuitable. Underpressured formations in basins located mid- continent, near the edge of stable continental plates or behind mountains</w:t>
      </w:r>
      <w:r>
        <w:rPr>
          <w:spacing w:val="-9"/>
        </w:rPr>
        <w:t> </w:t>
      </w:r>
      <w:r>
        <w:rPr/>
        <w:t>formed</w:t>
      </w:r>
      <w:r>
        <w:rPr>
          <w:spacing w:val="-8"/>
        </w:rPr>
        <w:t> </w:t>
      </w:r>
      <w:r>
        <w:rPr/>
        <w:t>by</w:t>
      </w:r>
      <w:r>
        <w:rPr>
          <w:spacing w:val="-7"/>
        </w:rPr>
        <w:t> </w:t>
      </w:r>
      <w:r>
        <w:rPr/>
        <w:t>plate</w:t>
      </w:r>
      <w:r>
        <w:rPr>
          <w:spacing w:val="-9"/>
        </w:rPr>
        <w:t> </w:t>
      </w:r>
      <w:r>
        <w:rPr/>
        <w:t>collision</w:t>
      </w:r>
      <w:r>
        <w:rPr>
          <w:spacing w:val="-8"/>
        </w:rPr>
        <w:t> </w:t>
      </w:r>
      <w:r>
        <w:rPr/>
        <w:t>may</w:t>
      </w:r>
      <w:r>
        <w:rPr>
          <w:spacing w:val="-8"/>
        </w:rPr>
        <w:t> </w:t>
      </w:r>
      <w:r>
        <w:rPr/>
        <w:t>be</w:t>
      </w:r>
      <w:r>
        <w:rPr>
          <w:spacing w:val="-7"/>
        </w:rPr>
        <w:t> </w:t>
      </w:r>
      <w:r>
        <w:rPr/>
        <w:t>well</w:t>
      </w:r>
      <w:r>
        <w:rPr>
          <w:spacing w:val="-9"/>
        </w:rPr>
        <w:t> </w:t>
      </w:r>
      <w:r>
        <w:rPr/>
        <w:t>suited</w:t>
      </w:r>
      <w:r>
        <w:rPr>
          <w:spacing w:val="-8"/>
        </w:rPr>
        <w:t> </w:t>
      </w:r>
      <w:r>
        <w:rPr/>
        <w:t>for</w:t>
      </w:r>
      <w:r>
        <w:rPr>
          <w:spacing w:val="-8"/>
        </w:rPr>
        <w:t> </w:t>
      </w:r>
      <w:r>
        <w:rPr/>
        <w:t>CO</w:t>
      </w:r>
      <w:r>
        <w:rPr>
          <w:position w:val="-6"/>
          <w:sz w:val="11"/>
        </w:rPr>
        <w:t>2 </w:t>
      </w:r>
      <w:r>
        <w:rPr/>
        <w:t>storage. Storage of CO</w:t>
      </w:r>
      <w:r>
        <w:rPr>
          <w:position w:val="-6"/>
          <w:sz w:val="11"/>
        </w:rPr>
        <w:t>2 </w:t>
      </w:r>
      <w:r>
        <w:rPr/>
        <w:t>in deep saline formations with fluids having long residence times (millions of years) is conducive </w:t>
      </w:r>
      <w:r>
        <w:rPr>
          <w:spacing w:val="-6"/>
        </w:rPr>
        <w:t>to </w:t>
      </w:r>
      <w:r>
        <w:rPr/>
        <w:t>hydrodynamic and mineral trapping (Section 5.2).</w:t>
      </w:r>
    </w:p>
    <w:p>
      <w:pPr>
        <w:pStyle w:val="BodyText"/>
        <w:spacing w:line="240" w:lineRule="exact"/>
        <w:ind w:left="553" w:firstLine="283"/>
        <w:jc w:val="both"/>
      </w:pPr>
      <w:r>
        <w:rPr/>
        <w:t>The possible presence of fossil fuels and the exploration and</w:t>
      </w:r>
      <w:r>
        <w:rPr>
          <w:spacing w:val="-11"/>
        </w:rPr>
        <w:t> </w:t>
      </w:r>
      <w:r>
        <w:rPr/>
        <w:t>production</w:t>
      </w:r>
      <w:r>
        <w:rPr>
          <w:spacing w:val="-10"/>
        </w:rPr>
        <w:t> </w:t>
      </w:r>
      <w:r>
        <w:rPr/>
        <w:t>maturity</w:t>
      </w:r>
      <w:r>
        <w:rPr>
          <w:spacing w:val="-11"/>
        </w:rPr>
        <w:t> </w:t>
      </w:r>
      <w:r>
        <w:rPr/>
        <w:t>of</w:t>
      </w:r>
      <w:r>
        <w:rPr>
          <w:spacing w:val="-10"/>
        </w:rPr>
        <w:t> </w:t>
      </w:r>
      <w:r>
        <w:rPr/>
        <w:t>a</w:t>
      </w:r>
      <w:r>
        <w:rPr>
          <w:spacing w:val="-11"/>
        </w:rPr>
        <w:t> </w:t>
      </w:r>
      <w:r>
        <w:rPr/>
        <w:t>basin</w:t>
      </w:r>
      <w:r>
        <w:rPr>
          <w:spacing w:val="-10"/>
        </w:rPr>
        <w:t> </w:t>
      </w:r>
      <w:r>
        <w:rPr/>
        <w:t>are</w:t>
      </w:r>
      <w:r>
        <w:rPr>
          <w:spacing w:val="-11"/>
        </w:rPr>
        <w:t> </w:t>
      </w:r>
      <w:r>
        <w:rPr/>
        <w:t>additional</w:t>
      </w:r>
      <w:r>
        <w:rPr>
          <w:spacing w:val="-10"/>
        </w:rPr>
        <w:t> </w:t>
      </w:r>
      <w:r>
        <w:rPr/>
        <w:t>considerations for selection of storage sites (Bachu, 2000). Basins with little exploration for hydrocarbons may be uncertain targets for </w:t>
      </w:r>
      <w:r>
        <w:rPr>
          <w:spacing w:val="-6"/>
        </w:rPr>
        <w:t>CO</w:t>
      </w:r>
      <w:r>
        <w:rPr>
          <w:spacing w:val="-6"/>
          <w:position w:val="-6"/>
          <w:sz w:val="11"/>
        </w:rPr>
        <w:t>2 </w:t>
      </w:r>
      <w:r>
        <w:rPr/>
        <w:t>storage</w:t>
      </w:r>
      <w:r>
        <w:rPr>
          <w:spacing w:val="-15"/>
        </w:rPr>
        <w:t> </w:t>
      </w:r>
      <w:r>
        <w:rPr/>
        <w:t>because</w:t>
      </w:r>
      <w:r>
        <w:rPr>
          <w:spacing w:val="-15"/>
        </w:rPr>
        <w:t> </w:t>
      </w:r>
      <w:r>
        <w:rPr/>
        <w:t>of</w:t>
      </w:r>
      <w:r>
        <w:rPr>
          <w:spacing w:val="-15"/>
        </w:rPr>
        <w:t> </w:t>
      </w:r>
      <w:r>
        <w:rPr/>
        <w:t>limited</w:t>
      </w:r>
      <w:r>
        <w:rPr>
          <w:spacing w:val="-15"/>
        </w:rPr>
        <w:t> </w:t>
      </w:r>
      <w:r>
        <w:rPr/>
        <w:t>availability</w:t>
      </w:r>
      <w:r>
        <w:rPr>
          <w:spacing w:val="-15"/>
        </w:rPr>
        <w:t> </w:t>
      </w:r>
      <w:r>
        <w:rPr/>
        <w:t>of</w:t>
      </w:r>
      <w:r>
        <w:rPr>
          <w:spacing w:val="-14"/>
        </w:rPr>
        <w:t> </w:t>
      </w:r>
      <w:r>
        <w:rPr/>
        <w:t>geological</w:t>
      </w:r>
      <w:r>
        <w:rPr>
          <w:spacing w:val="-15"/>
        </w:rPr>
        <w:t> </w:t>
      </w:r>
      <w:r>
        <w:rPr/>
        <w:t>information or potential for contamination of as-yet-undiscovered hydrocarbon resources. Mature sedimentary basins may be prime</w:t>
      </w:r>
      <w:r>
        <w:rPr>
          <w:spacing w:val="-19"/>
        </w:rPr>
        <w:t> </w:t>
      </w:r>
      <w:r>
        <w:rPr/>
        <w:t>targets</w:t>
      </w:r>
      <w:r>
        <w:rPr>
          <w:spacing w:val="-19"/>
        </w:rPr>
        <w:t> </w:t>
      </w:r>
      <w:r>
        <w:rPr/>
        <w:t>for</w:t>
      </w:r>
      <w:r>
        <w:rPr>
          <w:spacing w:val="-19"/>
        </w:rPr>
        <w:t> </w:t>
      </w:r>
      <w:r>
        <w:rPr/>
        <w:t>CO</w:t>
      </w:r>
      <w:r>
        <w:rPr>
          <w:position w:val="-6"/>
          <w:sz w:val="11"/>
        </w:rPr>
        <w:t>2</w:t>
      </w:r>
      <w:r>
        <w:rPr>
          <w:spacing w:val="4"/>
          <w:position w:val="-6"/>
          <w:sz w:val="11"/>
        </w:rPr>
        <w:t> </w:t>
      </w:r>
      <w:r>
        <w:rPr/>
        <w:t>storage</w:t>
      </w:r>
      <w:r>
        <w:rPr>
          <w:spacing w:val="-19"/>
        </w:rPr>
        <w:t> </w:t>
      </w:r>
      <w:r>
        <w:rPr/>
        <w:t>because:</w:t>
      </w:r>
      <w:r>
        <w:rPr>
          <w:spacing w:val="-19"/>
        </w:rPr>
        <w:t> </w:t>
      </w:r>
      <w:r>
        <w:rPr/>
        <w:t>(1)</w:t>
      </w:r>
      <w:r>
        <w:rPr>
          <w:spacing w:val="-18"/>
        </w:rPr>
        <w:t> </w:t>
      </w:r>
      <w:r>
        <w:rPr/>
        <w:t>they</w:t>
      </w:r>
      <w:r>
        <w:rPr>
          <w:spacing w:val="-19"/>
        </w:rPr>
        <w:t> </w:t>
      </w:r>
      <w:r>
        <w:rPr/>
        <w:t>have</w:t>
      </w:r>
      <w:r>
        <w:rPr>
          <w:spacing w:val="-19"/>
        </w:rPr>
        <w:t> </w:t>
      </w:r>
      <w:r>
        <w:rPr/>
        <w:t>well-known characteristics; (2) hydrocarbon pools and/or coal beds </w:t>
      </w:r>
      <w:r>
        <w:rPr>
          <w:spacing w:val="-4"/>
        </w:rPr>
        <w:t>have </w:t>
      </w:r>
      <w:r>
        <w:rPr/>
        <w:t>been discovered and produced; (3) some petroleum reservoirs might be already depleted, nearing depletion or abandoned </w:t>
      </w:r>
      <w:r>
        <w:rPr>
          <w:spacing w:val="-7"/>
        </w:rPr>
        <w:t>as </w:t>
      </w:r>
      <w:r>
        <w:rPr/>
        <w:t>uneconomic; (4) the infrastructure needed for CO</w:t>
      </w:r>
      <w:r>
        <w:rPr>
          <w:position w:val="-6"/>
          <w:sz w:val="11"/>
        </w:rPr>
        <w:t>2 </w:t>
      </w:r>
      <w:r>
        <w:rPr/>
        <w:t>transport and injection may already be in place. The presence of wells penetrating the subsurface in mature sedimentary basins can create</w:t>
      </w:r>
      <w:r>
        <w:rPr>
          <w:spacing w:val="-15"/>
        </w:rPr>
        <w:t> </w:t>
      </w:r>
      <w:r>
        <w:rPr/>
        <w:t>potential</w:t>
      </w:r>
      <w:r>
        <w:rPr>
          <w:spacing w:val="-15"/>
        </w:rPr>
        <w:t> </w:t>
      </w:r>
      <w:r>
        <w:rPr/>
        <w:t>CO</w:t>
      </w:r>
      <w:r>
        <w:rPr>
          <w:position w:val="-6"/>
          <w:sz w:val="11"/>
        </w:rPr>
        <w:t>2</w:t>
      </w:r>
      <w:r>
        <w:rPr>
          <w:spacing w:val="9"/>
          <w:position w:val="-6"/>
          <w:sz w:val="11"/>
        </w:rPr>
        <w:t> </w:t>
      </w:r>
      <w:r>
        <w:rPr/>
        <w:t>leakage</w:t>
      </w:r>
      <w:r>
        <w:rPr>
          <w:spacing w:val="-15"/>
        </w:rPr>
        <w:t> </w:t>
      </w:r>
      <w:r>
        <w:rPr/>
        <w:t>pathways</w:t>
      </w:r>
      <w:r>
        <w:rPr>
          <w:spacing w:val="-14"/>
        </w:rPr>
        <w:t> </w:t>
      </w:r>
      <w:r>
        <w:rPr/>
        <w:t>that</w:t>
      </w:r>
      <w:r>
        <w:rPr>
          <w:spacing w:val="-15"/>
        </w:rPr>
        <w:t> </w:t>
      </w:r>
      <w:r>
        <w:rPr/>
        <w:t>may</w:t>
      </w:r>
      <w:r>
        <w:rPr>
          <w:spacing w:val="-14"/>
        </w:rPr>
        <w:t> </w:t>
      </w:r>
      <w:r>
        <w:rPr/>
        <w:t>compromise</w:t>
      </w:r>
      <w:r>
        <w:rPr>
          <w:spacing w:val="-15"/>
        </w:rPr>
        <w:t> </w:t>
      </w:r>
      <w:r>
        <w:rPr>
          <w:spacing w:val="-4"/>
        </w:rPr>
        <w:t>the </w:t>
      </w:r>
      <w:r>
        <w:rPr/>
        <w:t>security</w:t>
      </w:r>
      <w:r>
        <w:rPr>
          <w:spacing w:val="-14"/>
        </w:rPr>
        <w:t> </w:t>
      </w:r>
      <w:r>
        <w:rPr/>
        <w:t>of</w:t>
      </w:r>
      <w:r>
        <w:rPr>
          <w:spacing w:val="-13"/>
        </w:rPr>
        <w:t> </w:t>
      </w:r>
      <w:r>
        <w:rPr/>
        <w:t>a</w:t>
      </w:r>
      <w:r>
        <w:rPr>
          <w:spacing w:val="-13"/>
        </w:rPr>
        <w:t> </w:t>
      </w:r>
      <w:r>
        <w:rPr/>
        <w:t>storage</w:t>
      </w:r>
      <w:r>
        <w:rPr>
          <w:spacing w:val="-14"/>
        </w:rPr>
        <w:t> </w:t>
      </w:r>
      <w:r>
        <w:rPr/>
        <w:t>site</w:t>
      </w:r>
      <w:r>
        <w:rPr>
          <w:spacing w:val="-14"/>
        </w:rPr>
        <w:t> </w:t>
      </w:r>
      <w:r>
        <w:rPr/>
        <w:t>(Celia</w:t>
      </w:r>
      <w:r>
        <w:rPr>
          <w:spacing w:val="-13"/>
        </w:rPr>
        <w:t> </w:t>
      </w:r>
      <w:r>
        <w:rPr/>
        <w:t>and</w:t>
      </w:r>
      <w:r>
        <w:rPr>
          <w:spacing w:val="-13"/>
        </w:rPr>
        <w:t> </w:t>
      </w:r>
      <w:r>
        <w:rPr/>
        <w:t>Bachu,</w:t>
      </w:r>
      <w:r>
        <w:rPr>
          <w:spacing w:val="-13"/>
        </w:rPr>
        <w:t> </w:t>
      </w:r>
      <w:r>
        <w:rPr/>
        <w:t>2003).</w:t>
      </w:r>
      <w:r>
        <w:rPr>
          <w:spacing w:val="-13"/>
        </w:rPr>
        <w:t> </w:t>
      </w:r>
      <w:r>
        <w:rPr/>
        <w:t>Nevertheless, at Weyburn, despite the presence of many hundreds of existing wells, after four years of CO</w:t>
      </w:r>
      <w:r>
        <w:rPr>
          <w:position w:val="-6"/>
          <w:sz w:val="11"/>
        </w:rPr>
        <w:t>2 </w:t>
      </w:r>
      <w:r>
        <w:rPr/>
        <w:t>injection there has been no measurable leakage (Strutt </w:t>
      </w:r>
      <w:r>
        <w:rPr>
          <w:i/>
        </w:rPr>
        <w:t>et al.</w:t>
      </w:r>
      <w:r>
        <w:rPr/>
        <w:t>,</w:t>
      </w:r>
      <w:r>
        <w:rPr>
          <w:spacing w:val="-3"/>
        </w:rPr>
        <w:t> </w:t>
      </w:r>
      <w:r>
        <w:rPr/>
        <w:t>2003).</w:t>
      </w:r>
    </w:p>
    <w:p>
      <w:pPr>
        <w:pStyle w:val="BodyText"/>
        <w:spacing w:before="4"/>
        <w:rPr>
          <w:sz w:val="21"/>
        </w:rPr>
      </w:pPr>
    </w:p>
    <w:p>
      <w:pPr>
        <w:pStyle w:val="Heading2"/>
        <w:numPr>
          <w:ilvl w:val="2"/>
          <w:numId w:val="4"/>
        </w:numPr>
        <w:tabs>
          <w:tab w:pos="1374" w:val="left" w:leader="none"/>
        </w:tabs>
        <w:spacing w:line="240" w:lineRule="auto" w:before="0" w:after="0"/>
        <w:ind w:left="1373" w:right="0" w:hanging="821"/>
        <w:jc w:val="both"/>
        <w:rPr>
          <w:i/>
        </w:rPr>
      </w:pPr>
      <w:r>
        <w:rPr>
          <w:i/>
        </w:rPr>
        <w:t>Oil and gas</w:t>
      </w:r>
      <w:r>
        <w:rPr>
          <w:i/>
          <w:spacing w:val="-2"/>
        </w:rPr>
        <w:t> </w:t>
      </w:r>
      <w:r>
        <w:rPr>
          <w:i/>
        </w:rPr>
        <w:t>fields</w:t>
      </w:r>
    </w:p>
    <w:p>
      <w:pPr>
        <w:pStyle w:val="BodyText"/>
        <w:spacing w:before="9"/>
        <w:rPr>
          <w:b/>
          <w:i/>
          <w:sz w:val="21"/>
        </w:rPr>
      </w:pPr>
    </w:p>
    <w:p>
      <w:pPr>
        <w:pStyle w:val="ListParagraph"/>
        <w:numPr>
          <w:ilvl w:val="3"/>
          <w:numId w:val="4"/>
        </w:numPr>
        <w:tabs>
          <w:tab w:pos="1374" w:val="left" w:leader="none"/>
        </w:tabs>
        <w:spacing w:line="240" w:lineRule="auto" w:before="0" w:after="0"/>
        <w:ind w:left="1373" w:right="0" w:hanging="821"/>
        <w:jc w:val="both"/>
        <w:rPr>
          <w:i/>
          <w:sz w:val="20"/>
        </w:rPr>
      </w:pPr>
      <w:r>
        <w:rPr>
          <w:i/>
          <w:sz w:val="20"/>
        </w:rPr>
        <w:t>Abandoned oil and gas</w:t>
      </w:r>
      <w:r>
        <w:rPr>
          <w:i/>
          <w:spacing w:val="-2"/>
          <w:sz w:val="20"/>
        </w:rPr>
        <w:t> </w:t>
      </w:r>
      <w:r>
        <w:rPr>
          <w:i/>
          <w:sz w:val="20"/>
        </w:rPr>
        <w:t>fields</w:t>
      </w:r>
    </w:p>
    <w:p>
      <w:pPr>
        <w:pStyle w:val="BodyText"/>
        <w:spacing w:line="240" w:lineRule="exact" w:before="4"/>
        <w:ind w:left="553"/>
        <w:jc w:val="both"/>
      </w:pPr>
      <w:r>
        <w:rPr/>
        <w:t>Depleted oil and gas reservoirs are prime candidates for CO</w:t>
      </w:r>
      <w:r>
        <w:rPr>
          <w:position w:val="-6"/>
          <w:sz w:val="11"/>
        </w:rPr>
        <w:t>2 </w:t>
      </w:r>
      <w:r>
        <w:rPr/>
        <w:t>storage for several reasons. First, the oil and gas that originally accumulated</w:t>
      </w:r>
      <w:r>
        <w:rPr>
          <w:spacing w:val="-19"/>
        </w:rPr>
        <w:t> </w:t>
      </w:r>
      <w:r>
        <w:rPr/>
        <w:t>in</w:t>
      </w:r>
      <w:r>
        <w:rPr>
          <w:spacing w:val="-19"/>
        </w:rPr>
        <w:t> </w:t>
      </w:r>
      <w:r>
        <w:rPr/>
        <w:t>traps</w:t>
      </w:r>
      <w:r>
        <w:rPr>
          <w:spacing w:val="-18"/>
        </w:rPr>
        <w:t> </w:t>
      </w:r>
      <w:r>
        <w:rPr/>
        <w:t>(structural</w:t>
      </w:r>
      <w:r>
        <w:rPr>
          <w:spacing w:val="-19"/>
        </w:rPr>
        <w:t> </w:t>
      </w:r>
      <w:r>
        <w:rPr/>
        <w:t>and</w:t>
      </w:r>
      <w:r>
        <w:rPr>
          <w:spacing w:val="-18"/>
        </w:rPr>
        <w:t> </w:t>
      </w:r>
      <w:r>
        <w:rPr/>
        <w:t>stratigraphic)</w:t>
      </w:r>
      <w:r>
        <w:rPr>
          <w:spacing w:val="-19"/>
        </w:rPr>
        <w:t> </w:t>
      </w:r>
      <w:r>
        <w:rPr/>
        <w:t>did</w:t>
      </w:r>
      <w:r>
        <w:rPr>
          <w:spacing w:val="-18"/>
        </w:rPr>
        <w:t> </w:t>
      </w:r>
      <w:r>
        <w:rPr/>
        <w:t>not</w:t>
      </w:r>
      <w:r>
        <w:rPr>
          <w:spacing w:val="-19"/>
        </w:rPr>
        <w:t> </w:t>
      </w:r>
      <w:r>
        <w:rPr/>
        <w:t>escape (in some cases for many millions of years), demonstrating</w:t>
      </w:r>
      <w:r>
        <w:rPr>
          <w:spacing w:val="-26"/>
        </w:rPr>
        <w:t> </w:t>
      </w:r>
      <w:r>
        <w:rPr>
          <w:spacing w:val="-3"/>
        </w:rPr>
        <w:t>their </w:t>
      </w:r>
      <w:r>
        <w:rPr/>
        <w:t>integrity</w:t>
      </w:r>
      <w:r>
        <w:rPr>
          <w:spacing w:val="-29"/>
        </w:rPr>
        <w:t> </w:t>
      </w:r>
      <w:r>
        <w:rPr/>
        <w:t>and</w:t>
      </w:r>
      <w:r>
        <w:rPr>
          <w:spacing w:val="-28"/>
        </w:rPr>
        <w:t> </w:t>
      </w:r>
      <w:r>
        <w:rPr>
          <w:spacing w:val="-3"/>
        </w:rPr>
        <w:t>safety.</w:t>
      </w:r>
      <w:r>
        <w:rPr>
          <w:spacing w:val="-28"/>
        </w:rPr>
        <w:t> </w:t>
      </w:r>
      <w:r>
        <w:rPr/>
        <w:t>Second,</w:t>
      </w:r>
      <w:r>
        <w:rPr>
          <w:spacing w:val="-29"/>
        </w:rPr>
        <w:t> </w:t>
      </w:r>
      <w:r>
        <w:rPr/>
        <w:t>the</w:t>
      </w:r>
      <w:r>
        <w:rPr>
          <w:spacing w:val="-28"/>
        </w:rPr>
        <w:t> </w:t>
      </w:r>
      <w:r>
        <w:rPr/>
        <w:t>geological</w:t>
      </w:r>
      <w:r>
        <w:rPr>
          <w:spacing w:val="-28"/>
        </w:rPr>
        <w:t> </w:t>
      </w:r>
      <w:r>
        <w:rPr/>
        <w:t>structure</w:t>
      </w:r>
      <w:r>
        <w:rPr>
          <w:spacing w:val="-29"/>
        </w:rPr>
        <w:t> </w:t>
      </w:r>
      <w:r>
        <w:rPr/>
        <w:t>and</w:t>
      </w:r>
      <w:r>
        <w:rPr>
          <w:spacing w:val="-28"/>
        </w:rPr>
        <w:t> </w:t>
      </w:r>
      <w:r>
        <w:rPr/>
        <w:t>physical properties of most oil and gas fields have been extensively studied and characterized. Third, computer models have been developed in the oil and gas industry to predict the movement, displacement behaviour and trapping of hydrocarbons. </w:t>
      </w:r>
      <w:r>
        <w:rPr>
          <w:spacing w:val="-3"/>
        </w:rPr>
        <w:t>Finally, </w:t>
      </w:r>
      <w:r>
        <w:rPr/>
        <w:t>some of the infrastructure and wells already in place may be used for handling CO</w:t>
      </w:r>
      <w:r>
        <w:rPr>
          <w:position w:val="-6"/>
          <w:sz w:val="11"/>
        </w:rPr>
        <w:t>2 </w:t>
      </w:r>
      <w:r>
        <w:rPr/>
        <w:t>storage operations. Depleted fields will not be adversely affected by CO</w:t>
      </w:r>
      <w:r>
        <w:rPr>
          <w:position w:val="-6"/>
          <w:sz w:val="11"/>
        </w:rPr>
        <w:t>2 </w:t>
      </w:r>
      <w:r>
        <w:rPr/>
        <w:t>(having already contained hydrocarbons) and if hydrocarbon fields are still in production, a CO</w:t>
      </w:r>
      <w:r>
        <w:rPr>
          <w:position w:val="-6"/>
          <w:sz w:val="11"/>
        </w:rPr>
        <w:t>2 </w:t>
      </w:r>
      <w:r>
        <w:rPr/>
        <w:t>storage scheme can be optimized to enhance oil (or gas) production. However, plugging of abandoned wells in many mature</w:t>
      </w:r>
      <w:r>
        <w:rPr>
          <w:spacing w:val="-8"/>
        </w:rPr>
        <w:t> </w:t>
      </w:r>
      <w:r>
        <w:rPr/>
        <w:t>fields</w:t>
      </w:r>
      <w:r>
        <w:rPr>
          <w:spacing w:val="-7"/>
        </w:rPr>
        <w:t> </w:t>
      </w:r>
      <w:r>
        <w:rPr/>
        <w:t>began</w:t>
      </w:r>
      <w:r>
        <w:rPr>
          <w:spacing w:val="-7"/>
        </w:rPr>
        <w:t> </w:t>
      </w:r>
      <w:r>
        <w:rPr/>
        <w:t>many</w:t>
      </w:r>
      <w:r>
        <w:rPr>
          <w:spacing w:val="-8"/>
        </w:rPr>
        <w:t> </w:t>
      </w:r>
      <w:r>
        <w:rPr/>
        <w:t>decades</w:t>
      </w:r>
      <w:r>
        <w:rPr>
          <w:spacing w:val="-7"/>
        </w:rPr>
        <w:t> </w:t>
      </w:r>
      <w:r>
        <w:rPr/>
        <w:t>ago</w:t>
      </w:r>
      <w:r>
        <w:rPr>
          <w:spacing w:val="-7"/>
        </w:rPr>
        <w:t> </w:t>
      </w:r>
      <w:r>
        <w:rPr/>
        <w:t>when</w:t>
      </w:r>
      <w:r>
        <w:rPr>
          <w:spacing w:val="-8"/>
        </w:rPr>
        <w:t> </w:t>
      </w:r>
      <w:r>
        <w:rPr/>
        <w:t>wells</w:t>
      </w:r>
      <w:r>
        <w:rPr>
          <w:spacing w:val="-7"/>
        </w:rPr>
        <w:t> </w:t>
      </w:r>
      <w:r>
        <w:rPr/>
        <w:t>were</w:t>
      </w:r>
      <w:r>
        <w:rPr>
          <w:spacing w:val="-7"/>
        </w:rPr>
        <w:t> </w:t>
      </w:r>
      <w:r>
        <w:rPr/>
        <w:t>simply filled</w:t>
      </w:r>
      <w:r>
        <w:rPr>
          <w:spacing w:val="-9"/>
        </w:rPr>
        <w:t> </w:t>
      </w:r>
      <w:r>
        <w:rPr/>
        <w:t>with</w:t>
      </w:r>
      <w:r>
        <w:rPr>
          <w:spacing w:val="-8"/>
        </w:rPr>
        <w:t> </w:t>
      </w:r>
      <w:r>
        <w:rPr/>
        <w:t>a</w:t>
      </w:r>
      <w:r>
        <w:rPr>
          <w:spacing w:val="-7"/>
        </w:rPr>
        <w:t> </w:t>
      </w:r>
      <w:r>
        <w:rPr/>
        <w:t>mud-laden</w:t>
      </w:r>
      <w:r>
        <w:rPr>
          <w:spacing w:val="-8"/>
        </w:rPr>
        <w:t> </w:t>
      </w:r>
      <w:r>
        <w:rPr/>
        <w:t>fluid.</w:t>
      </w:r>
      <w:r>
        <w:rPr>
          <w:spacing w:val="-7"/>
        </w:rPr>
        <w:t> </w:t>
      </w:r>
      <w:r>
        <w:rPr/>
        <w:t>Subsequently,</w:t>
      </w:r>
      <w:r>
        <w:rPr>
          <w:spacing w:val="-7"/>
        </w:rPr>
        <w:t> </w:t>
      </w:r>
      <w:r>
        <w:rPr/>
        <w:t>cement</w:t>
      </w:r>
      <w:r>
        <w:rPr>
          <w:spacing w:val="-8"/>
        </w:rPr>
        <w:t> </w:t>
      </w:r>
      <w:r>
        <w:rPr/>
        <w:t>plugs</w:t>
      </w:r>
      <w:r>
        <w:rPr>
          <w:spacing w:val="-7"/>
        </w:rPr>
        <w:t> </w:t>
      </w:r>
      <w:r>
        <w:rPr/>
        <w:t>were required to be strategically placed within the wellbore, but not with any consideration that they may one day be relied upon</w:t>
      </w:r>
      <w:r>
        <w:rPr>
          <w:spacing w:val="-3"/>
        </w:rPr>
        <w:t> </w:t>
      </w:r>
      <w:r>
        <w:rPr/>
        <w:t>to</w:t>
      </w:r>
    </w:p>
    <w:p>
      <w:pPr>
        <w:pStyle w:val="BodyText"/>
        <w:spacing w:line="240" w:lineRule="exact" w:before="58"/>
        <w:ind w:left="241" w:right="133"/>
        <w:jc w:val="both"/>
      </w:pPr>
      <w:r>
        <w:rPr/>
        <w:br w:type="column"/>
      </w:r>
      <w:r>
        <w:rPr/>
        <w:t>contain a reactive and potentially buoyant fluid such as CO</w:t>
      </w:r>
      <w:r>
        <w:rPr>
          <w:position w:val="-6"/>
          <w:sz w:val="11"/>
        </w:rPr>
        <w:t>2</w:t>
      </w:r>
      <w:r>
        <w:rPr/>
        <w:t>. Therefore, the condition of wells penetrating the caprock must be assessed (Winter and Bergman, 1993). In many cases, even locating the wells may be difficult and caprock integrity may need to be confirmed by pressure and tracer monitoring.</w:t>
      </w:r>
    </w:p>
    <w:p>
      <w:pPr>
        <w:pStyle w:val="BodyText"/>
        <w:spacing w:line="249" w:lineRule="auto" w:before="5"/>
        <w:ind w:left="241" w:right="133" w:firstLine="283"/>
        <w:jc w:val="both"/>
      </w:pPr>
      <w:r>
        <w:rPr/>
        <w:t>The capacity of a reservoir will be limited by the need to avoid exceeding pressures that damage the caprock (Section 5.5.3). Reservoirs should have limited sensitivity to reductions in permeability caused by plugging of the near-injector </w:t>
      </w:r>
      <w:r>
        <w:rPr>
          <w:spacing w:val="-3"/>
        </w:rPr>
        <w:t>region </w:t>
      </w:r>
      <w:r>
        <w:rPr/>
        <w:t>and by reservoir stress fluctuations (Kovscek, 2002; Bossie- Codreanu </w:t>
      </w:r>
      <w:r>
        <w:rPr>
          <w:i/>
        </w:rPr>
        <w:t>et al.</w:t>
      </w:r>
      <w:r>
        <w:rPr/>
        <w:t>, 2003). Storage in reservoirs at depths less</w:t>
      </w:r>
      <w:r>
        <w:rPr>
          <w:spacing w:val="-27"/>
        </w:rPr>
        <w:t> </w:t>
      </w:r>
      <w:r>
        <w:rPr/>
        <w:t>than approximately 800 m may be technically and economically feasible, but the low storage capacity of shallow reservoirs, where CO</w:t>
      </w:r>
      <w:r>
        <w:rPr>
          <w:position w:val="-6"/>
          <w:sz w:val="11"/>
        </w:rPr>
        <w:t>2 </w:t>
      </w:r>
      <w:r>
        <w:rPr/>
        <w:t>may be in the gas phase, could be</w:t>
      </w:r>
      <w:r>
        <w:rPr>
          <w:spacing w:val="-7"/>
        </w:rPr>
        <w:t> </w:t>
      </w:r>
      <w:r>
        <w:rPr/>
        <w:t>problematic.</w:t>
      </w:r>
    </w:p>
    <w:p>
      <w:pPr>
        <w:pStyle w:val="ListParagraph"/>
        <w:numPr>
          <w:ilvl w:val="3"/>
          <w:numId w:val="4"/>
        </w:numPr>
        <w:tabs>
          <w:tab w:pos="1062" w:val="left" w:leader="none"/>
        </w:tabs>
        <w:spacing w:line="240" w:lineRule="auto" w:before="197" w:after="0"/>
        <w:ind w:left="1061" w:right="0" w:hanging="821"/>
        <w:jc w:val="both"/>
        <w:rPr>
          <w:i/>
          <w:sz w:val="20"/>
        </w:rPr>
      </w:pPr>
      <w:r>
        <w:rPr>
          <w:i/>
          <w:sz w:val="20"/>
        </w:rPr>
        <w:t>Enhanced oil</w:t>
      </w:r>
      <w:r>
        <w:rPr>
          <w:i/>
          <w:spacing w:val="-1"/>
          <w:sz w:val="20"/>
        </w:rPr>
        <w:t> </w:t>
      </w:r>
      <w:r>
        <w:rPr>
          <w:i/>
          <w:sz w:val="20"/>
        </w:rPr>
        <w:t>recovery</w:t>
      </w:r>
    </w:p>
    <w:p>
      <w:pPr>
        <w:pStyle w:val="BodyText"/>
        <w:spacing w:line="240" w:lineRule="exact" w:before="5"/>
        <w:ind w:left="241" w:right="134"/>
        <w:jc w:val="both"/>
      </w:pPr>
      <w:r>
        <w:rPr/>
        <w:t>Enhanced oil recovery (EOR) through CO</w:t>
      </w:r>
      <w:r>
        <w:rPr>
          <w:position w:val="-6"/>
          <w:sz w:val="11"/>
        </w:rPr>
        <w:t>2 </w:t>
      </w:r>
      <w:r>
        <w:rPr/>
        <w:t>flooding (by injection) offers potential economic gain  from  incremental oil production. Of the original oil in place, 5–40% is usually recovered by conventional primary production (Holt </w:t>
      </w:r>
      <w:r>
        <w:rPr>
          <w:i/>
        </w:rPr>
        <w:t>et </w:t>
      </w:r>
      <w:r>
        <w:rPr>
          <w:i/>
          <w:spacing w:val="-4"/>
        </w:rPr>
        <w:t>al.</w:t>
      </w:r>
      <w:r>
        <w:rPr>
          <w:spacing w:val="-4"/>
        </w:rPr>
        <w:t>, </w:t>
      </w:r>
      <w:r>
        <w:rPr/>
        <w:t>1995). An additional 10–20% of oil in place is produced </w:t>
      </w:r>
      <w:r>
        <w:rPr>
          <w:spacing w:val="-6"/>
        </w:rPr>
        <w:t>by </w:t>
      </w:r>
      <w:r>
        <w:rPr/>
        <w:t>secondary recovery that uses water flooding (Bondor, 1992). </w:t>
      </w:r>
      <w:r>
        <w:rPr>
          <w:spacing w:val="-4"/>
        </w:rPr>
        <w:t>Various </w:t>
      </w:r>
      <w:r>
        <w:rPr/>
        <w:t>miscible agents, among them CO</w:t>
      </w:r>
      <w:r>
        <w:rPr>
          <w:position w:val="-6"/>
          <w:sz w:val="11"/>
        </w:rPr>
        <w:t>2</w:t>
      </w:r>
      <w:r>
        <w:rPr/>
        <w:t>, have been used for enhanced (tertiary) oil recovery or EOR, with an incremental oil recovery of 7–23% (average 13.2%) of the original oil in place (Martin and </w:t>
      </w:r>
      <w:r>
        <w:rPr>
          <w:spacing w:val="-4"/>
        </w:rPr>
        <w:t>Taber, </w:t>
      </w:r>
      <w:r>
        <w:rPr/>
        <w:t>1992; Moritis, 2003). Descriptions of CO</w:t>
      </w:r>
      <w:r>
        <w:rPr>
          <w:position w:val="-6"/>
          <w:sz w:val="11"/>
        </w:rPr>
        <w:t>2</w:t>
      </w:r>
      <w:r>
        <w:rPr/>
        <w:t>-EOR</w:t>
      </w:r>
      <w:r>
        <w:rPr>
          <w:spacing w:val="-4"/>
        </w:rPr>
        <w:t> </w:t>
      </w:r>
      <w:r>
        <w:rPr/>
        <w:t>projects</w:t>
      </w:r>
      <w:r>
        <w:rPr>
          <w:spacing w:val="-4"/>
        </w:rPr>
        <w:t> </w:t>
      </w:r>
      <w:r>
        <w:rPr/>
        <w:t>are</w:t>
      </w:r>
      <w:r>
        <w:rPr>
          <w:spacing w:val="-4"/>
        </w:rPr>
        <w:t> </w:t>
      </w:r>
      <w:r>
        <w:rPr/>
        <w:t>provided</w:t>
      </w:r>
      <w:r>
        <w:rPr>
          <w:spacing w:val="-3"/>
        </w:rPr>
        <w:t> </w:t>
      </w:r>
      <w:r>
        <w:rPr/>
        <w:t>in</w:t>
      </w:r>
      <w:r>
        <w:rPr>
          <w:spacing w:val="-4"/>
        </w:rPr>
        <w:t> </w:t>
      </w:r>
      <w:hyperlink w:history="true" w:anchor="_bookmark9">
        <w:r>
          <w:rPr/>
          <w:t>Box</w:t>
        </w:r>
        <w:r>
          <w:rPr>
            <w:spacing w:val="-4"/>
          </w:rPr>
          <w:t> </w:t>
        </w:r>
        <w:r>
          <w:rPr/>
          <w:t>5.3</w:t>
        </w:r>
        <w:r>
          <w:rPr>
            <w:spacing w:val="-3"/>
          </w:rPr>
          <w:t> </w:t>
        </w:r>
      </w:hyperlink>
      <w:r>
        <w:rPr/>
        <w:t>and</w:t>
      </w:r>
      <w:r>
        <w:rPr>
          <w:spacing w:val="-4"/>
        </w:rPr>
        <w:t> </w:t>
      </w:r>
      <w:hyperlink w:history="true" w:anchor="_bookmark25">
        <w:r>
          <w:rPr/>
          <w:t>Box</w:t>
        </w:r>
        <w:r>
          <w:rPr>
            <w:spacing w:val="-4"/>
          </w:rPr>
          <w:t> </w:t>
        </w:r>
        <w:r>
          <w:rPr/>
          <w:t>5.6,</w:t>
        </w:r>
        <w:r>
          <w:rPr>
            <w:spacing w:val="-4"/>
          </w:rPr>
          <w:t> </w:t>
        </w:r>
      </w:hyperlink>
      <w:r>
        <w:rPr/>
        <w:t>and</w:t>
      </w:r>
      <w:r>
        <w:rPr>
          <w:spacing w:val="-3"/>
        </w:rPr>
        <w:t> </w:t>
      </w:r>
      <w:r>
        <w:rPr/>
        <w:t>an illustration is given in </w:t>
      </w:r>
      <w:hyperlink w:history="true" w:anchor="_bookmark26">
        <w:r>
          <w:rPr/>
          <w:t>Figure</w:t>
        </w:r>
        <w:r>
          <w:rPr>
            <w:spacing w:val="-2"/>
          </w:rPr>
          <w:t> </w:t>
        </w:r>
        <w:r>
          <w:rPr/>
          <w:t>5.15.</w:t>
        </w:r>
      </w:hyperlink>
    </w:p>
    <w:p>
      <w:pPr>
        <w:pStyle w:val="BodyText"/>
        <w:spacing w:line="240" w:lineRule="exact"/>
        <w:ind w:left="241" w:right="133" w:firstLine="283"/>
        <w:jc w:val="both"/>
      </w:pPr>
      <w:r>
        <w:rPr/>
        <w:t>Many CO</w:t>
      </w:r>
      <w:r>
        <w:rPr>
          <w:position w:val="-6"/>
          <w:sz w:val="11"/>
        </w:rPr>
        <w:t>2 </w:t>
      </w:r>
      <w:r>
        <w:rPr/>
        <w:t>injection schemes have been suggested, including continuous CO</w:t>
      </w:r>
      <w:r>
        <w:rPr>
          <w:position w:val="-6"/>
          <w:sz w:val="11"/>
        </w:rPr>
        <w:t>2 </w:t>
      </w:r>
      <w:r>
        <w:rPr/>
        <w:t>injection or alternate water and CO</w:t>
      </w:r>
      <w:r>
        <w:rPr>
          <w:position w:val="-6"/>
          <w:sz w:val="11"/>
        </w:rPr>
        <w:t>2 </w:t>
      </w:r>
      <w:r>
        <w:rPr/>
        <w:t>gas injection (Klins and Farouq Ali, 1982; Klins, 1984). Oil displacement by CO</w:t>
      </w:r>
      <w:r>
        <w:rPr>
          <w:position w:val="-6"/>
          <w:sz w:val="11"/>
        </w:rPr>
        <w:t>2 </w:t>
      </w:r>
      <w:r>
        <w:rPr/>
        <w:t>injection relies on the phase behaviour  of CO</w:t>
      </w:r>
      <w:r>
        <w:rPr>
          <w:position w:val="-6"/>
          <w:sz w:val="11"/>
        </w:rPr>
        <w:t>2 </w:t>
      </w:r>
      <w:r>
        <w:rPr/>
        <w:t>and crude oil mixtures that are strongly dependent on reservoir</w:t>
      </w:r>
      <w:r>
        <w:rPr>
          <w:spacing w:val="-21"/>
        </w:rPr>
        <w:t> </w:t>
      </w:r>
      <w:r>
        <w:rPr/>
        <w:t>temperature,</w:t>
      </w:r>
      <w:r>
        <w:rPr>
          <w:spacing w:val="-22"/>
        </w:rPr>
        <w:t> </w:t>
      </w:r>
      <w:r>
        <w:rPr/>
        <w:t>pressure</w:t>
      </w:r>
      <w:r>
        <w:rPr>
          <w:spacing w:val="-21"/>
        </w:rPr>
        <w:t> </w:t>
      </w:r>
      <w:r>
        <w:rPr/>
        <w:t>and</w:t>
      </w:r>
      <w:r>
        <w:rPr>
          <w:spacing w:val="-20"/>
        </w:rPr>
        <w:t> </w:t>
      </w:r>
      <w:r>
        <w:rPr/>
        <w:t>crude</w:t>
      </w:r>
      <w:r>
        <w:rPr>
          <w:spacing w:val="-21"/>
        </w:rPr>
        <w:t> </w:t>
      </w:r>
      <w:r>
        <w:rPr/>
        <w:t>oil</w:t>
      </w:r>
      <w:r>
        <w:rPr>
          <w:spacing w:val="-21"/>
        </w:rPr>
        <w:t> </w:t>
      </w:r>
      <w:r>
        <w:rPr/>
        <w:t>composition.</w:t>
      </w:r>
      <w:r>
        <w:rPr>
          <w:spacing w:val="-25"/>
        </w:rPr>
        <w:t> </w:t>
      </w:r>
      <w:r>
        <w:rPr>
          <w:spacing w:val="-3"/>
        </w:rPr>
        <w:t>These </w:t>
      </w:r>
      <w:r>
        <w:rPr/>
        <w:t>mechanisms</w:t>
      </w:r>
      <w:r>
        <w:rPr>
          <w:spacing w:val="-9"/>
        </w:rPr>
        <w:t> </w:t>
      </w:r>
      <w:r>
        <w:rPr/>
        <w:t>range</w:t>
      </w:r>
      <w:r>
        <w:rPr>
          <w:spacing w:val="-8"/>
        </w:rPr>
        <w:t> </w:t>
      </w:r>
      <w:r>
        <w:rPr/>
        <w:t>from</w:t>
      </w:r>
      <w:r>
        <w:rPr>
          <w:spacing w:val="-8"/>
        </w:rPr>
        <w:t> </w:t>
      </w:r>
      <w:r>
        <w:rPr/>
        <w:t>oil</w:t>
      </w:r>
      <w:r>
        <w:rPr>
          <w:spacing w:val="-8"/>
        </w:rPr>
        <w:t> </w:t>
      </w:r>
      <w:r>
        <w:rPr/>
        <w:t>swelling</w:t>
      </w:r>
      <w:r>
        <w:rPr>
          <w:spacing w:val="-9"/>
        </w:rPr>
        <w:t> </w:t>
      </w:r>
      <w:r>
        <w:rPr/>
        <w:t>and</w:t>
      </w:r>
      <w:r>
        <w:rPr>
          <w:spacing w:val="-8"/>
        </w:rPr>
        <w:t> </w:t>
      </w:r>
      <w:r>
        <w:rPr/>
        <w:t>viscosity</w:t>
      </w:r>
      <w:r>
        <w:rPr>
          <w:spacing w:val="-7"/>
        </w:rPr>
        <w:t> </w:t>
      </w:r>
      <w:r>
        <w:rPr/>
        <w:t>reduction</w:t>
      </w:r>
      <w:r>
        <w:rPr>
          <w:spacing w:val="-9"/>
        </w:rPr>
        <w:t> </w:t>
      </w:r>
      <w:r>
        <w:rPr/>
        <w:t>for injection of immiscible fluids (at low pressures) to completely miscible displacement in high-pressure applications. In </w:t>
      </w:r>
      <w:r>
        <w:rPr>
          <w:spacing w:val="-3"/>
        </w:rPr>
        <w:t>these </w:t>
      </w:r>
      <w:r>
        <w:rPr/>
        <w:t>applications, more than 50% and up to 67% of the injected CO</w:t>
      </w:r>
      <w:r>
        <w:rPr>
          <w:position w:val="-6"/>
          <w:sz w:val="11"/>
        </w:rPr>
        <w:t>2 </w:t>
      </w:r>
      <w:r>
        <w:rPr/>
        <w:t>returns with the produced oil (Bondor, 1992) and is usually separated and re-injected into the reservoir to</w:t>
      </w:r>
      <w:r>
        <w:rPr>
          <w:spacing w:val="-24"/>
        </w:rPr>
        <w:t> </w:t>
      </w:r>
      <w:r>
        <w:rPr/>
        <w:t>minimize operating</w:t>
      </w:r>
      <w:r>
        <w:rPr>
          <w:spacing w:val="-4"/>
        </w:rPr>
        <w:t> </w:t>
      </w:r>
      <w:r>
        <w:rPr/>
        <w:t>costs.</w:t>
      </w:r>
      <w:r>
        <w:rPr>
          <w:spacing w:val="-7"/>
        </w:rPr>
        <w:t> </w:t>
      </w:r>
      <w:r>
        <w:rPr/>
        <w:t>The</w:t>
      </w:r>
      <w:r>
        <w:rPr>
          <w:spacing w:val="-4"/>
        </w:rPr>
        <w:t> </w:t>
      </w:r>
      <w:r>
        <w:rPr/>
        <w:t>remainder</w:t>
      </w:r>
      <w:r>
        <w:rPr>
          <w:spacing w:val="-4"/>
        </w:rPr>
        <w:t> </w:t>
      </w:r>
      <w:r>
        <w:rPr/>
        <w:t>is</w:t>
      </w:r>
      <w:r>
        <w:rPr>
          <w:spacing w:val="-4"/>
        </w:rPr>
        <w:t> </w:t>
      </w:r>
      <w:r>
        <w:rPr/>
        <w:t>trapped</w:t>
      </w:r>
      <w:r>
        <w:rPr>
          <w:spacing w:val="-4"/>
        </w:rPr>
        <w:t> </w:t>
      </w:r>
      <w:r>
        <w:rPr/>
        <w:t>in</w:t>
      </w:r>
      <w:r>
        <w:rPr>
          <w:spacing w:val="-4"/>
        </w:rPr>
        <w:t> </w:t>
      </w:r>
      <w:r>
        <w:rPr/>
        <w:t>the</w:t>
      </w:r>
      <w:r>
        <w:rPr>
          <w:spacing w:val="-4"/>
        </w:rPr>
        <w:t> </w:t>
      </w:r>
      <w:r>
        <w:rPr/>
        <w:t>oil</w:t>
      </w:r>
      <w:r>
        <w:rPr>
          <w:spacing w:val="-4"/>
        </w:rPr>
        <w:t> </w:t>
      </w:r>
      <w:r>
        <w:rPr/>
        <w:t>reservoir</w:t>
      </w:r>
      <w:r>
        <w:rPr>
          <w:spacing w:val="-4"/>
        </w:rPr>
        <w:t> </w:t>
      </w:r>
      <w:r>
        <w:rPr>
          <w:spacing w:val="-6"/>
        </w:rPr>
        <w:t>by </w:t>
      </w:r>
      <w:r>
        <w:rPr/>
        <w:t>various means, such as irreducible saturation and dissolution</w:t>
      </w:r>
      <w:r>
        <w:rPr>
          <w:spacing w:val="-36"/>
        </w:rPr>
        <w:t> </w:t>
      </w:r>
      <w:r>
        <w:rPr/>
        <w:t>in reservoir oil that it is not produced and in pore space that is</w:t>
      </w:r>
      <w:r>
        <w:rPr>
          <w:spacing w:val="-17"/>
        </w:rPr>
        <w:t> </w:t>
      </w:r>
      <w:r>
        <w:rPr/>
        <w:t>not connected to the flow path for the producing</w:t>
      </w:r>
      <w:r>
        <w:rPr>
          <w:spacing w:val="-7"/>
        </w:rPr>
        <w:t> </w:t>
      </w:r>
      <w:r>
        <w:rPr/>
        <w:t>wells.</w:t>
      </w:r>
    </w:p>
    <w:p>
      <w:pPr>
        <w:pStyle w:val="BodyText"/>
        <w:spacing w:line="240" w:lineRule="exact"/>
        <w:ind w:left="241" w:right="134" w:firstLine="283"/>
        <w:jc w:val="both"/>
      </w:pPr>
      <w:r>
        <w:rPr/>
        <w:t>For enhanced CO</w:t>
      </w:r>
      <w:r>
        <w:rPr>
          <w:position w:val="-6"/>
          <w:sz w:val="11"/>
        </w:rPr>
        <w:t>2 </w:t>
      </w:r>
      <w:r>
        <w:rPr/>
        <w:t>storage in EOR operations, oil reservoirs may need to meet additional criteria (Klins, 1984; </w:t>
      </w:r>
      <w:r>
        <w:rPr>
          <w:spacing w:val="-3"/>
        </w:rPr>
        <w:t>Taber  </w:t>
      </w:r>
      <w:r>
        <w:rPr>
          <w:i/>
          <w:spacing w:val="-7"/>
        </w:rPr>
        <w:t>et</w:t>
      </w:r>
      <w:r>
        <w:rPr>
          <w:i/>
          <w:spacing w:val="36"/>
        </w:rPr>
        <w:t> </w:t>
      </w:r>
      <w:r>
        <w:rPr>
          <w:i/>
        </w:rPr>
        <w:t>al.</w:t>
      </w:r>
      <w:r>
        <w:rPr/>
        <w:t>, 1997; Kovscek, 2002; Shaw and Bachu, 2002). </w:t>
      </w:r>
      <w:r>
        <w:rPr>
          <w:spacing w:val="-3"/>
        </w:rPr>
        <w:t>Generally, </w:t>
      </w:r>
      <w:r>
        <w:rPr/>
        <w:t>reservoir</w:t>
      </w:r>
      <w:r>
        <w:rPr>
          <w:spacing w:val="-24"/>
        </w:rPr>
        <w:t> </w:t>
      </w:r>
      <w:r>
        <w:rPr/>
        <w:t>depth</w:t>
      </w:r>
      <w:r>
        <w:rPr>
          <w:spacing w:val="-23"/>
        </w:rPr>
        <w:t> </w:t>
      </w:r>
      <w:r>
        <w:rPr/>
        <w:t>must</w:t>
      </w:r>
      <w:r>
        <w:rPr>
          <w:spacing w:val="-23"/>
        </w:rPr>
        <w:t> </w:t>
      </w:r>
      <w:r>
        <w:rPr/>
        <w:t>be</w:t>
      </w:r>
      <w:r>
        <w:rPr>
          <w:spacing w:val="-23"/>
        </w:rPr>
        <w:t> </w:t>
      </w:r>
      <w:r>
        <w:rPr/>
        <w:t>more</w:t>
      </w:r>
      <w:r>
        <w:rPr>
          <w:spacing w:val="-24"/>
        </w:rPr>
        <w:t> </w:t>
      </w:r>
      <w:r>
        <w:rPr/>
        <w:t>than</w:t>
      </w:r>
      <w:r>
        <w:rPr>
          <w:spacing w:val="-23"/>
        </w:rPr>
        <w:t> </w:t>
      </w:r>
      <w:r>
        <w:rPr/>
        <w:t>600</w:t>
      </w:r>
      <w:r>
        <w:rPr>
          <w:spacing w:val="-23"/>
        </w:rPr>
        <w:t> </w:t>
      </w:r>
      <w:r>
        <w:rPr/>
        <w:t>m.</w:t>
      </w:r>
      <w:r>
        <w:rPr>
          <w:spacing w:val="-23"/>
        </w:rPr>
        <w:t> </w:t>
      </w:r>
      <w:r>
        <w:rPr/>
        <w:t>Injection</w:t>
      </w:r>
      <w:r>
        <w:rPr>
          <w:spacing w:val="-24"/>
        </w:rPr>
        <w:t> </w:t>
      </w:r>
      <w:r>
        <w:rPr/>
        <w:t>of</w:t>
      </w:r>
      <w:r>
        <w:rPr>
          <w:spacing w:val="-23"/>
        </w:rPr>
        <w:t> </w:t>
      </w:r>
      <w:r>
        <w:rPr/>
        <w:t>immiscible fluids must often suffice for heavy- to-medium-gravity oils</w:t>
      </w:r>
      <w:r>
        <w:rPr>
          <w:spacing w:val="-24"/>
        </w:rPr>
        <w:t> </w:t>
      </w:r>
      <w:r>
        <w:rPr/>
        <w:t>(oil gravity 12–25 API). The more desirable miscible flooding is applicable to light, low-viscosity oils (oil gravity 25–48 API). For miscible floods, the reservoir pressure must be higher than the minimum miscibility pressure (10–15 MPa) needed </w:t>
      </w:r>
      <w:r>
        <w:rPr>
          <w:spacing w:val="-4"/>
        </w:rPr>
        <w:t>for </w:t>
      </w:r>
      <w:r>
        <w:rPr/>
        <w:t>achieving</w:t>
      </w:r>
      <w:r>
        <w:rPr>
          <w:spacing w:val="-6"/>
        </w:rPr>
        <w:t> </w:t>
      </w:r>
      <w:r>
        <w:rPr/>
        <w:t>miscibility</w:t>
      </w:r>
      <w:r>
        <w:rPr>
          <w:spacing w:val="-6"/>
        </w:rPr>
        <w:t> </w:t>
      </w:r>
      <w:r>
        <w:rPr/>
        <w:t>between</w:t>
      </w:r>
      <w:r>
        <w:rPr>
          <w:spacing w:val="-6"/>
        </w:rPr>
        <w:t> </w:t>
      </w:r>
      <w:r>
        <w:rPr/>
        <w:t>reservoir</w:t>
      </w:r>
      <w:r>
        <w:rPr>
          <w:spacing w:val="-6"/>
        </w:rPr>
        <w:t> </w:t>
      </w:r>
      <w:r>
        <w:rPr/>
        <w:t>oil</w:t>
      </w:r>
      <w:r>
        <w:rPr>
          <w:spacing w:val="-6"/>
        </w:rPr>
        <w:t> </w:t>
      </w:r>
      <w:r>
        <w:rPr/>
        <w:t>and</w:t>
      </w:r>
      <w:r>
        <w:rPr>
          <w:spacing w:val="-5"/>
        </w:rPr>
        <w:t> </w:t>
      </w:r>
      <w:r>
        <w:rPr/>
        <w:t>CO</w:t>
      </w:r>
      <w:r>
        <w:rPr>
          <w:position w:val="-6"/>
          <w:sz w:val="11"/>
        </w:rPr>
        <w:t>2</w:t>
      </w:r>
      <w:r>
        <w:rPr/>
        <w:t>,</w:t>
      </w:r>
      <w:r>
        <w:rPr>
          <w:spacing w:val="-6"/>
        </w:rPr>
        <w:t> </w:t>
      </w:r>
      <w:r>
        <w:rPr/>
        <w:t>depending on oil composition and gravity, reservoir temperature and </w:t>
      </w:r>
      <w:r>
        <w:rPr>
          <w:spacing w:val="-5"/>
        </w:rPr>
        <w:t>CO</w:t>
      </w:r>
      <w:r>
        <w:rPr>
          <w:spacing w:val="-5"/>
          <w:position w:val="-6"/>
          <w:sz w:val="11"/>
        </w:rPr>
        <w:t>2 </w:t>
      </w:r>
      <w:r>
        <w:rPr/>
        <w:t>purity</w:t>
      </w:r>
      <w:r>
        <w:rPr>
          <w:spacing w:val="29"/>
        </w:rPr>
        <w:t> </w:t>
      </w:r>
      <w:r>
        <w:rPr/>
        <w:t>(Metcalfe,</w:t>
      </w:r>
      <w:r>
        <w:rPr>
          <w:spacing w:val="30"/>
        </w:rPr>
        <w:t> </w:t>
      </w:r>
      <w:r>
        <w:rPr/>
        <w:t>1982).</w:t>
      </w:r>
      <w:r>
        <w:rPr>
          <w:spacing w:val="27"/>
        </w:rPr>
        <w:t> </w:t>
      </w:r>
      <w:r>
        <w:rPr>
          <w:spacing w:val="-7"/>
        </w:rPr>
        <w:t>To</w:t>
      </w:r>
      <w:r>
        <w:rPr>
          <w:spacing w:val="30"/>
        </w:rPr>
        <w:t> </w:t>
      </w:r>
      <w:r>
        <w:rPr/>
        <w:t>achieve</w:t>
      </w:r>
      <w:r>
        <w:rPr>
          <w:spacing w:val="30"/>
        </w:rPr>
        <w:t> </w:t>
      </w:r>
      <w:r>
        <w:rPr/>
        <w:t>effective</w:t>
      </w:r>
      <w:r>
        <w:rPr>
          <w:spacing w:val="30"/>
        </w:rPr>
        <w:t> </w:t>
      </w:r>
      <w:r>
        <w:rPr/>
        <w:t>removal</w:t>
      </w:r>
      <w:r>
        <w:rPr>
          <w:spacing w:val="29"/>
        </w:rPr>
        <w:t> </w:t>
      </w:r>
      <w:r>
        <w:rPr/>
        <w:t>of</w:t>
      </w:r>
      <w:r>
        <w:rPr>
          <w:spacing w:val="30"/>
        </w:rPr>
        <w:t> </w:t>
      </w:r>
      <w:r>
        <w:rPr>
          <w:spacing w:val="-5"/>
        </w:rPr>
        <w:t>the</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spacing w:before="9"/>
        <w:rPr>
          <w:sz w:val="16"/>
        </w:rPr>
      </w:pPr>
    </w:p>
    <w:p>
      <w:pPr>
        <w:pStyle w:val="BodyText"/>
        <w:spacing w:before="63"/>
        <w:ind w:left="157"/>
      </w:pPr>
      <w:r>
        <w:rPr/>
        <w:pict>
          <v:rect style="position:absolute;margin-left:36.849998pt;margin-top:21.239937pt;width:518.457pt;height:360.256pt;mso-position-horizontal-relative:page;mso-position-vertical-relative:paragraph;z-index:-258860032" filled="false" stroked="true" strokeweight=".5pt" strokecolor="#000000">
            <v:stroke dashstyle="solid"/>
            <w10:wrap type="none"/>
          </v:rect>
        </w:pict>
      </w:r>
      <w:bookmarkStart w:name="_bookmark25" w:id="43"/>
      <w:bookmarkEnd w:id="43"/>
      <w:r>
        <w:rPr/>
      </w:r>
      <w:r>
        <w:rPr>
          <w:b/>
        </w:rPr>
        <w:t>Box 5.6 </w:t>
      </w:r>
      <w:r>
        <w:rPr/>
        <w:t>The Rangely, Colorado, CO</w:t>
      </w:r>
      <w:r>
        <w:rPr>
          <w:position w:val="-6"/>
          <w:sz w:val="11"/>
        </w:rPr>
        <w:t>2</w:t>
      </w:r>
      <w:r>
        <w:rPr/>
        <w:t>-EOR Project.</w:t>
      </w:r>
    </w:p>
    <w:p>
      <w:pPr>
        <w:pStyle w:val="BodyText"/>
        <w:spacing w:line="240" w:lineRule="exact" w:before="194"/>
        <w:ind w:left="327" w:right="701"/>
        <w:jc w:val="both"/>
      </w:pPr>
      <w:r>
        <w:rPr/>
        <w:t>The Rangely CO</w:t>
      </w:r>
      <w:r>
        <w:rPr>
          <w:position w:val="-6"/>
          <w:sz w:val="11"/>
        </w:rPr>
        <w:t>2</w:t>
      </w:r>
      <w:r>
        <w:rPr/>
        <w:t>-EOR Project is located in Colorado, USA and is operated by Chevron. The CO</w:t>
      </w:r>
      <w:r>
        <w:rPr>
          <w:position w:val="-6"/>
          <w:sz w:val="11"/>
        </w:rPr>
        <w:t>2 </w:t>
      </w:r>
      <w:r>
        <w:rPr/>
        <w:t>is purchased from the Exxon-Mobil LaBarge natural gas processing facility in Wyoming and transported 283 km via pipeline to the Rangely field. Additional</w:t>
      </w:r>
      <w:r>
        <w:rPr>
          <w:spacing w:val="-4"/>
        </w:rPr>
        <w:t> </w:t>
      </w:r>
      <w:r>
        <w:rPr/>
        <w:t>spurs</w:t>
      </w:r>
      <w:r>
        <w:rPr>
          <w:spacing w:val="-3"/>
        </w:rPr>
        <w:t> </w:t>
      </w:r>
      <w:r>
        <w:rPr/>
        <w:t>carry</w:t>
      </w:r>
      <w:r>
        <w:rPr>
          <w:spacing w:val="-3"/>
        </w:rPr>
        <w:t> </w:t>
      </w:r>
      <w:r>
        <w:rPr/>
        <w:t>CO</w:t>
      </w:r>
      <w:r>
        <w:rPr>
          <w:position w:val="-6"/>
          <w:sz w:val="11"/>
        </w:rPr>
        <w:t>2</w:t>
      </w:r>
      <w:r>
        <w:rPr>
          <w:spacing w:val="19"/>
          <w:position w:val="-6"/>
          <w:sz w:val="11"/>
        </w:rPr>
        <w:t> </w:t>
      </w:r>
      <w:r>
        <w:rPr/>
        <w:t>over</w:t>
      </w:r>
      <w:r>
        <w:rPr>
          <w:spacing w:val="-3"/>
        </w:rPr>
        <w:t> </w:t>
      </w:r>
      <w:r>
        <w:rPr/>
        <w:t>400</w:t>
      </w:r>
      <w:r>
        <w:rPr>
          <w:spacing w:val="-3"/>
        </w:rPr>
        <w:t> </w:t>
      </w:r>
      <w:r>
        <w:rPr/>
        <w:t>km</w:t>
      </w:r>
      <w:r>
        <w:rPr>
          <w:spacing w:val="-4"/>
        </w:rPr>
        <w:t> </w:t>
      </w:r>
      <w:r>
        <w:rPr/>
        <w:t>from</w:t>
      </w:r>
      <w:r>
        <w:rPr>
          <w:spacing w:val="-3"/>
        </w:rPr>
        <w:t> </w:t>
      </w:r>
      <w:r>
        <w:rPr/>
        <w:t>LaBarge</w:t>
      </w:r>
      <w:r>
        <w:rPr>
          <w:spacing w:val="-3"/>
        </w:rPr>
        <w:t> </w:t>
      </w:r>
      <w:r>
        <w:rPr/>
        <w:t>to</w:t>
      </w:r>
      <w:r>
        <w:rPr>
          <w:spacing w:val="-3"/>
        </w:rPr>
        <w:t> </w:t>
      </w:r>
      <w:r>
        <w:rPr/>
        <w:t>Lost</w:t>
      </w:r>
      <w:r>
        <w:rPr>
          <w:spacing w:val="-3"/>
        </w:rPr>
        <w:t> </w:t>
      </w:r>
      <w:r>
        <w:rPr/>
        <w:t>Soldier</w:t>
      </w:r>
      <w:r>
        <w:rPr>
          <w:spacing w:val="-4"/>
        </w:rPr>
        <w:t> </w:t>
      </w:r>
      <w:r>
        <w:rPr/>
        <w:t>and</w:t>
      </w:r>
      <w:r>
        <w:rPr>
          <w:spacing w:val="-7"/>
        </w:rPr>
        <w:t> </w:t>
      </w:r>
      <w:r>
        <w:rPr>
          <w:spacing w:val="-4"/>
        </w:rPr>
        <w:t>Wertz</w:t>
      </w:r>
      <w:r>
        <w:rPr>
          <w:spacing w:val="-3"/>
        </w:rPr>
        <w:t> </w:t>
      </w:r>
      <w:r>
        <w:rPr/>
        <w:t>fields</w:t>
      </w:r>
      <w:r>
        <w:rPr>
          <w:spacing w:val="-3"/>
        </w:rPr>
        <w:t> </w:t>
      </w:r>
      <w:r>
        <w:rPr/>
        <w:t>in</w:t>
      </w:r>
      <w:r>
        <w:rPr>
          <w:spacing w:val="-3"/>
        </w:rPr>
        <w:t> </w:t>
      </w:r>
      <w:r>
        <w:rPr/>
        <w:t>central</w:t>
      </w:r>
      <w:r>
        <w:rPr>
          <w:spacing w:val="-7"/>
        </w:rPr>
        <w:t> </w:t>
      </w:r>
      <w:r>
        <w:rPr/>
        <w:t>Wyoming,</w:t>
      </w:r>
      <w:r>
        <w:rPr>
          <w:spacing w:val="-4"/>
        </w:rPr>
        <w:t> </w:t>
      </w:r>
      <w:r>
        <w:rPr/>
        <w:t>currently</w:t>
      </w:r>
      <w:r>
        <w:rPr>
          <w:spacing w:val="-3"/>
        </w:rPr>
        <w:t> </w:t>
      </w:r>
      <w:r>
        <w:rPr/>
        <w:t>ending at the Salt Creek field in eastern</w:t>
      </w:r>
      <w:r>
        <w:rPr>
          <w:spacing w:val="-8"/>
        </w:rPr>
        <w:t> </w:t>
      </w:r>
      <w:r>
        <w:rPr/>
        <w:t>Wyoming.</w:t>
      </w:r>
    </w:p>
    <w:p>
      <w:pPr>
        <w:pStyle w:val="BodyText"/>
        <w:spacing w:line="240" w:lineRule="exact"/>
        <w:ind w:left="327" w:right="701" w:firstLine="550"/>
        <w:jc w:val="both"/>
      </w:pPr>
      <w:r>
        <w:rPr/>
        <w:t>The sandstone reservoir of the Rangely field has been CO</w:t>
      </w:r>
      <w:r>
        <w:rPr>
          <w:position w:val="-6"/>
          <w:sz w:val="11"/>
        </w:rPr>
        <w:t>2 </w:t>
      </w:r>
      <w:r>
        <w:rPr/>
        <w:t>flooded, by the water alternating gas </w:t>
      </w:r>
      <w:r>
        <w:rPr>
          <w:spacing w:val="-5"/>
        </w:rPr>
        <w:t>(WAG) </w:t>
      </w:r>
      <w:r>
        <w:rPr/>
        <w:t>process, since 1986.</w:t>
      </w:r>
      <w:r>
        <w:rPr>
          <w:spacing w:val="-3"/>
        </w:rPr>
        <w:t> </w:t>
      </w:r>
      <w:r>
        <w:rPr/>
        <w:t>Primary</w:t>
      </w:r>
      <w:r>
        <w:rPr>
          <w:spacing w:val="-2"/>
        </w:rPr>
        <w:t> </w:t>
      </w:r>
      <w:r>
        <w:rPr/>
        <w:t>and</w:t>
      </w:r>
      <w:r>
        <w:rPr>
          <w:spacing w:val="-2"/>
        </w:rPr>
        <w:t> </w:t>
      </w:r>
      <w:r>
        <w:rPr/>
        <w:t>secondary</w:t>
      </w:r>
      <w:r>
        <w:rPr>
          <w:spacing w:val="-3"/>
        </w:rPr>
        <w:t> </w:t>
      </w:r>
      <w:r>
        <w:rPr/>
        <w:t>recovery,</w:t>
      </w:r>
      <w:r>
        <w:rPr>
          <w:spacing w:val="-2"/>
        </w:rPr>
        <w:t> </w:t>
      </w:r>
      <w:r>
        <w:rPr/>
        <w:t>carried</w:t>
      </w:r>
      <w:r>
        <w:rPr>
          <w:spacing w:val="-2"/>
        </w:rPr>
        <w:t> </w:t>
      </w:r>
      <w:r>
        <w:rPr/>
        <w:t>out</w:t>
      </w:r>
      <w:r>
        <w:rPr>
          <w:spacing w:val="-2"/>
        </w:rPr>
        <w:t> </w:t>
      </w:r>
      <w:r>
        <w:rPr/>
        <w:t>between</w:t>
      </w:r>
      <w:r>
        <w:rPr>
          <w:spacing w:val="-3"/>
        </w:rPr>
        <w:t> </w:t>
      </w:r>
      <w:r>
        <w:rPr/>
        <w:t>1944</w:t>
      </w:r>
      <w:r>
        <w:rPr>
          <w:spacing w:val="-2"/>
        </w:rPr>
        <w:t> </w:t>
      </w:r>
      <w:r>
        <w:rPr/>
        <w:t>and</w:t>
      </w:r>
      <w:r>
        <w:rPr>
          <w:spacing w:val="-2"/>
        </w:rPr>
        <w:t> </w:t>
      </w:r>
      <w:r>
        <w:rPr/>
        <w:t>1986,</w:t>
      </w:r>
      <w:r>
        <w:rPr>
          <w:spacing w:val="-2"/>
        </w:rPr>
        <w:t> </w:t>
      </w:r>
      <w:r>
        <w:rPr/>
        <w:t>recovered</w:t>
      </w:r>
      <w:r>
        <w:rPr>
          <w:spacing w:val="-3"/>
        </w:rPr>
        <w:t> </w:t>
      </w:r>
      <w:r>
        <w:rPr/>
        <w:t>1.9</w:t>
      </w:r>
      <w:r>
        <w:rPr>
          <w:spacing w:val="-2"/>
        </w:rPr>
        <w:t> </w:t>
      </w:r>
      <w:r>
        <w:rPr/>
        <w:t>US</w:t>
      </w:r>
      <w:r>
        <w:rPr>
          <w:spacing w:val="-2"/>
        </w:rPr>
        <w:t> </w:t>
      </w:r>
      <w:r>
        <w:rPr/>
        <w:t>billion</w:t>
      </w:r>
      <w:r>
        <w:rPr>
          <w:spacing w:val="-3"/>
        </w:rPr>
        <w:t> </w:t>
      </w:r>
      <w:r>
        <w:rPr/>
        <w:t>barrels</w:t>
      </w:r>
      <w:r>
        <w:rPr>
          <w:spacing w:val="-2"/>
        </w:rPr>
        <w:t> </w:t>
      </w:r>
      <w:r>
        <w:rPr/>
        <w:t>(302</w:t>
      </w:r>
      <w:r>
        <w:rPr>
          <w:spacing w:val="-2"/>
        </w:rPr>
        <w:t> </w:t>
      </w:r>
      <w:r>
        <w:rPr/>
        <w:t>million</w:t>
      </w:r>
      <w:r>
        <w:rPr>
          <w:spacing w:val="-2"/>
        </w:rPr>
        <w:t> </w:t>
      </w:r>
      <w:r>
        <w:rPr/>
        <w:t>m</w:t>
      </w:r>
      <w:r>
        <w:rPr>
          <w:position w:val="7"/>
          <w:sz w:val="11"/>
        </w:rPr>
        <w:t>3</w:t>
      </w:r>
      <w:r>
        <w:rPr/>
        <w:t>) of oil (21% of the original oil in place). With use of CO</w:t>
      </w:r>
      <w:r>
        <w:rPr>
          <w:position w:val="-6"/>
          <w:sz w:val="11"/>
        </w:rPr>
        <w:t>2 </w:t>
      </w:r>
      <w:r>
        <w:rPr/>
        <w:t>floods, ultimate tertiary recovery of a further 129 million barrels (21 million</w:t>
      </w:r>
      <w:r>
        <w:rPr>
          <w:spacing w:val="-9"/>
        </w:rPr>
        <w:t> </w:t>
      </w:r>
      <w:r>
        <w:rPr/>
        <w:t>m</w:t>
      </w:r>
      <w:r>
        <w:rPr>
          <w:position w:val="7"/>
          <w:sz w:val="11"/>
        </w:rPr>
        <w:t>3</w:t>
      </w:r>
      <w:r>
        <w:rPr/>
        <w:t>)</w:t>
      </w:r>
      <w:r>
        <w:rPr>
          <w:spacing w:val="-9"/>
        </w:rPr>
        <w:t> </w:t>
      </w:r>
      <w:r>
        <w:rPr/>
        <w:t>of</w:t>
      </w:r>
      <w:r>
        <w:rPr>
          <w:spacing w:val="-9"/>
        </w:rPr>
        <w:t> </w:t>
      </w:r>
      <w:r>
        <w:rPr/>
        <w:t>oil</w:t>
      </w:r>
      <w:r>
        <w:rPr>
          <w:spacing w:val="-9"/>
        </w:rPr>
        <w:t> </w:t>
      </w:r>
      <w:r>
        <w:rPr/>
        <w:t>(6.8%</w:t>
      </w:r>
      <w:r>
        <w:rPr>
          <w:spacing w:val="-9"/>
        </w:rPr>
        <w:t> </w:t>
      </w:r>
      <w:r>
        <w:rPr/>
        <w:t>of</w:t>
      </w:r>
      <w:r>
        <w:rPr>
          <w:spacing w:val="-9"/>
        </w:rPr>
        <w:t> </w:t>
      </w:r>
      <w:r>
        <w:rPr/>
        <w:t>original</w:t>
      </w:r>
      <w:r>
        <w:rPr>
          <w:spacing w:val="-9"/>
        </w:rPr>
        <w:t> </w:t>
      </w:r>
      <w:r>
        <w:rPr/>
        <w:t>oil</w:t>
      </w:r>
      <w:r>
        <w:rPr>
          <w:spacing w:val="-9"/>
        </w:rPr>
        <w:t> </w:t>
      </w:r>
      <w:r>
        <w:rPr/>
        <w:t>in</w:t>
      </w:r>
      <w:r>
        <w:rPr>
          <w:spacing w:val="-9"/>
        </w:rPr>
        <w:t> </w:t>
      </w:r>
      <w:r>
        <w:rPr/>
        <w:t>place)</w:t>
      </w:r>
      <w:r>
        <w:rPr>
          <w:spacing w:val="-9"/>
        </w:rPr>
        <w:t> </w:t>
      </w:r>
      <w:r>
        <w:rPr/>
        <w:t>is</w:t>
      </w:r>
      <w:r>
        <w:rPr>
          <w:spacing w:val="-8"/>
        </w:rPr>
        <w:t> </w:t>
      </w:r>
      <w:r>
        <w:rPr/>
        <w:t>expected.</w:t>
      </w:r>
      <w:r>
        <w:rPr>
          <w:spacing w:val="-20"/>
        </w:rPr>
        <w:t> </w:t>
      </w:r>
      <w:r>
        <w:rPr>
          <w:spacing w:val="-3"/>
        </w:rPr>
        <w:t>Average</w:t>
      </w:r>
      <w:r>
        <w:rPr>
          <w:spacing w:val="-9"/>
        </w:rPr>
        <w:t> </w:t>
      </w:r>
      <w:r>
        <w:rPr/>
        <w:t>daily</w:t>
      </w:r>
      <w:r>
        <w:rPr>
          <w:spacing w:val="-9"/>
        </w:rPr>
        <w:t> </w:t>
      </w:r>
      <w:r>
        <w:rPr/>
        <w:t>CO</w:t>
      </w:r>
      <w:r>
        <w:rPr>
          <w:spacing w:val="49"/>
        </w:rPr>
        <w:t> </w:t>
      </w:r>
      <w:r>
        <w:rPr/>
        <w:t>injection</w:t>
      </w:r>
      <w:r>
        <w:rPr>
          <w:spacing w:val="-9"/>
        </w:rPr>
        <w:t> </w:t>
      </w:r>
      <w:r>
        <w:rPr/>
        <w:t>in</w:t>
      </w:r>
      <w:r>
        <w:rPr>
          <w:spacing w:val="-9"/>
        </w:rPr>
        <w:t> </w:t>
      </w:r>
      <w:r>
        <w:rPr/>
        <w:t>2003</w:t>
      </w:r>
      <w:r>
        <w:rPr>
          <w:spacing w:val="-9"/>
        </w:rPr>
        <w:t> </w:t>
      </w:r>
      <w:r>
        <w:rPr/>
        <w:t>was</w:t>
      </w:r>
      <w:r>
        <w:rPr>
          <w:spacing w:val="-9"/>
        </w:rPr>
        <w:t> </w:t>
      </w:r>
      <w:r>
        <w:rPr/>
        <w:t>equivalent</w:t>
      </w:r>
      <w:r>
        <w:rPr>
          <w:spacing w:val="-9"/>
        </w:rPr>
        <w:t> </w:t>
      </w:r>
      <w:r>
        <w:rPr/>
        <w:t>to</w:t>
      </w:r>
      <w:r>
        <w:rPr>
          <w:spacing w:val="-8"/>
        </w:rPr>
        <w:t> </w:t>
      </w:r>
      <w:r>
        <w:rPr/>
        <w:t>2.97</w:t>
      </w:r>
      <w:r>
        <w:rPr>
          <w:spacing w:val="-9"/>
        </w:rPr>
        <w:t> </w:t>
      </w:r>
      <w:r>
        <w:rPr/>
        <w:t>MtCO</w:t>
      </w:r>
    </w:p>
    <w:p>
      <w:pPr>
        <w:tabs>
          <w:tab w:pos="10297" w:val="left" w:leader="none"/>
        </w:tabs>
        <w:spacing w:line="39" w:lineRule="exact" w:before="0"/>
        <w:ind w:left="6492" w:right="0" w:firstLine="0"/>
        <w:jc w:val="left"/>
        <w:rPr>
          <w:sz w:val="11"/>
        </w:rPr>
      </w:pPr>
      <w:r>
        <w:rPr>
          <w:w w:val="105"/>
          <w:sz w:val="11"/>
        </w:rPr>
        <w:t>2</w:t>
        <w:tab/>
        <w:t>2</w:t>
      </w:r>
    </w:p>
    <w:p>
      <w:pPr>
        <w:pStyle w:val="BodyText"/>
        <w:spacing w:line="197" w:lineRule="exact"/>
        <w:ind w:left="327"/>
        <w:jc w:val="both"/>
      </w:pPr>
      <w:r>
        <w:rPr/>
        <w:t>yr</w:t>
      </w:r>
      <w:r>
        <w:rPr>
          <w:position w:val="7"/>
          <w:sz w:val="11"/>
        </w:rPr>
        <w:t>-1</w:t>
      </w:r>
      <w:r>
        <w:rPr/>
        <w:t>,</w:t>
      </w:r>
      <w:r>
        <w:rPr>
          <w:spacing w:val="4"/>
        </w:rPr>
        <w:t> </w:t>
      </w:r>
      <w:r>
        <w:rPr/>
        <w:t>with</w:t>
      </w:r>
      <w:r>
        <w:rPr>
          <w:spacing w:val="5"/>
        </w:rPr>
        <w:t> </w:t>
      </w:r>
      <w:r>
        <w:rPr/>
        <w:t>production</w:t>
      </w:r>
      <w:r>
        <w:rPr>
          <w:spacing w:val="5"/>
        </w:rPr>
        <w:t> </w:t>
      </w:r>
      <w:r>
        <w:rPr/>
        <w:t>of</w:t>
      </w:r>
      <w:r>
        <w:rPr>
          <w:spacing w:val="5"/>
        </w:rPr>
        <w:t> </w:t>
      </w:r>
      <w:r>
        <w:rPr/>
        <w:t>13,913</w:t>
      </w:r>
      <w:r>
        <w:rPr>
          <w:spacing w:val="5"/>
        </w:rPr>
        <w:t> </w:t>
      </w:r>
      <w:r>
        <w:rPr/>
        <w:t>barrels</w:t>
      </w:r>
      <w:r>
        <w:rPr>
          <w:spacing w:val="5"/>
        </w:rPr>
        <w:t> </w:t>
      </w:r>
      <w:r>
        <w:rPr/>
        <w:t>oil</w:t>
      </w:r>
      <w:r>
        <w:rPr>
          <w:spacing w:val="5"/>
        </w:rPr>
        <w:t> </w:t>
      </w:r>
      <w:r>
        <w:rPr/>
        <w:t>per</w:t>
      </w:r>
      <w:r>
        <w:rPr>
          <w:spacing w:val="5"/>
        </w:rPr>
        <w:t> </w:t>
      </w:r>
      <w:r>
        <w:rPr>
          <w:spacing w:val="-4"/>
        </w:rPr>
        <w:t>day.</w:t>
      </w:r>
      <w:r>
        <w:rPr>
          <w:spacing w:val="5"/>
        </w:rPr>
        <w:t> </w:t>
      </w:r>
      <w:r>
        <w:rPr/>
        <w:t>Of</w:t>
      </w:r>
      <w:r>
        <w:rPr>
          <w:spacing w:val="5"/>
        </w:rPr>
        <w:t> </w:t>
      </w:r>
      <w:r>
        <w:rPr/>
        <w:t>the</w:t>
      </w:r>
      <w:r>
        <w:rPr>
          <w:spacing w:val="5"/>
        </w:rPr>
        <w:t> </w:t>
      </w:r>
      <w:r>
        <w:rPr/>
        <w:t>total</w:t>
      </w:r>
      <w:r>
        <w:rPr>
          <w:spacing w:val="5"/>
        </w:rPr>
        <w:t> </w:t>
      </w:r>
      <w:r>
        <w:rPr/>
        <w:t>2.97</w:t>
      </w:r>
      <w:r>
        <w:rPr>
          <w:spacing w:val="5"/>
        </w:rPr>
        <w:t> </w:t>
      </w:r>
      <w:r>
        <w:rPr/>
        <w:t>Mt</w:t>
      </w:r>
      <w:r>
        <w:rPr>
          <w:spacing w:val="5"/>
        </w:rPr>
        <w:t> </w:t>
      </w:r>
      <w:r>
        <w:rPr/>
        <w:t>injected,</w:t>
      </w:r>
      <w:r>
        <w:rPr>
          <w:spacing w:val="4"/>
        </w:rPr>
        <w:t> </w:t>
      </w:r>
      <w:r>
        <w:rPr/>
        <w:t>recycled</w:t>
      </w:r>
      <w:r>
        <w:rPr>
          <w:spacing w:val="5"/>
        </w:rPr>
        <w:t> </w:t>
      </w:r>
      <w:r>
        <w:rPr/>
        <w:t>gas</w:t>
      </w:r>
      <w:r>
        <w:rPr>
          <w:spacing w:val="5"/>
        </w:rPr>
        <w:t> </w:t>
      </w:r>
      <w:r>
        <w:rPr/>
        <w:t>comprised</w:t>
      </w:r>
      <w:r>
        <w:rPr>
          <w:spacing w:val="5"/>
        </w:rPr>
        <w:t> </w:t>
      </w:r>
      <w:r>
        <w:rPr/>
        <w:t>around</w:t>
      </w:r>
      <w:r>
        <w:rPr>
          <w:spacing w:val="5"/>
        </w:rPr>
        <w:t> </w:t>
      </w:r>
      <w:r>
        <w:rPr/>
        <w:t>2.29</w:t>
      </w:r>
      <w:r>
        <w:rPr>
          <w:spacing w:val="5"/>
        </w:rPr>
        <w:t> </w:t>
      </w:r>
      <w:r>
        <w:rPr/>
        <w:t>Mt</w:t>
      </w:r>
      <w:r>
        <w:rPr>
          <w:spacing w:val="5"/>
        </w:rPr>
        <w:t> </w:t>
      </w:r>
      <w:r>
        <w:rPr/>
        <w:t>and</w:t>
      </w:r>
    </w:p>
    <w:p>
      <w:pPr>
        <w:pStyle w:val="BodyText"/>
        <w:spacing w:line="206" w:lineRule="auto" w:before="29"/>
        <w:ind w:left="327" w:right="702"/>
        <w:jc w:val="both"/>
      </w:pPr>
      <w:r>
        <w:rPr/>
        <w:t>purchased</w:t>
      </w:r>
      <w:r>
        <w:rPr>
          <w:spacing w:val="-11"/>
        </w:rPr>
        <w:t> </w:t>
      </w:r>
      <w:r>
        <w:rPr/>
        <w:t>gas</w:t>
      </w:r>
      <w:r>
        <w:rPr>
          <w:spacing w:val="-11"/>
        </w:rPr>
        <w:t> </w:t>
      </w:r>
      <w:r>
        <w:rPr/>
        <w:t>about</w:t>
      </w:r>
      <w:r>
        <w:rPr>
          <w:spacing w:val="-11"/>
        </w:rPr>
        <w:t> </w:t>
      </w:r>
      <w:r>
        <w:rPr/>
        <w:t>0.74</w:t>
      </w:r>
      <w:r>
        <w:rPr>
          <w:spacing w:val="-11"/>
        </w:rPr>
        <w:t> </w:t>
      </w:r>
      <w:r>
        <w:rPr/>
        <w:t>Mt.</w:t>
      </w:r>
      <w:r>
        <w:rPr>
          <w:spacing w:val="-11"/>
        </w:rPr>
        <w:t> </w:t>
      </w:r>
      <w:r>
        <w:rPr/>
        <w:t>Cumulative</w:t>
      </w:r>
      <w:r>
        <w:rPr>
          <w:spacing w:val="-11"/>
        </w:rPr>
        <w:t> </w:t>
      </w:r>
      <w:r>
        <w:rPr/>
        <w:t>CO</w:t>
      </w:r>
      <w:r>
        <w:rPr>
          <w:position w:val="-6"/>
          <w:sz w:val="11"/>
        </w:rPr>
        <w:t>2</w:t>
      </w:r>
      <w:r>
        <w:rPr>
          <w:spacing w:val="12"/>
          <w:position w:val="-6"/>
          <w:sz w:val="11"/>
        </w:rPr>
        <w:t> </w:t>
      </w:r>
      <w:r>
        <w:rPr/>
        <w:t>stored</w:t>
      </w:r>
      <w:r>
        <w:rPr>
          <w:spacing w:val="-11"/>
        </w:rPr>
        <w:t> </w:t>
      </w:r>
      <w:r>
        <w:rPr/>
        <w:t>to</w:t>
      </w:r>
      <w:r>
        <w:rPr>
          <w:spacing w:val="-11"/>
        </w:rPr>
        <w:t> </w:t>
      </w:r>
      <w:r>
        <w:rPr/>
        <w:t>date</w:t>
      </w:r>
      <w:r>
        <w:rPr>
          <w:spacing w:val="-11"/>
        </w:rPr>
        <w:t> </w:t>
      </w:r>
      <w:r>
        <w:rPr/>
        <w:t>is</w:t>
      </w:r>
      <w:r>
        <w:rPr>
          <w:spacing w:val="-11"/>
        </w:rPr>
        <w:t> </w:t>
      </w:r>
      <w:r>
        <w:rPr/>
        <w:t>estimated</w:t>
      </w:r>
      <w:r>
        <w:rPr>
          <w:spacing w:val="-11"/>
        </w:rPr>
        <w:t> </w:t>
      </w:r>
      <w:r>
        <w:rPr/>
        <w:t>at</w:t>
      </w:r>
      <w:r>
        <w:rPr>
          <w:spacing w:val="-11"/>
        </w:rPr>
        <w:t> </w:t>
      </w:r>
      <w:r>
        <w:rPr/>
        <w:t>22.2</w:t>
      </w:r>
      <w:r>
        <w:rPr>
          <w:spacing w:val="-11"/>
        </w:rPr>
        <w:t> </w:t>
      </w:r>
      <w:r>
        <w:rPr/>
        <w:t>Mt.</w:t>
      </w:r>
      <w:r>
        <w:rPr>
          <w:spacing w:val="-21"/>
        </w:rPr>
        <w:t> </w:t>
      </w:r>
      <w:r>
        <w:rPr/>
        <w:t>A</w:t>
      </w:r>
      <w:r>
        <w:rPr>
          <w:spacing w:val="-21"/>
        </w:rPr>
        <w:t> </w:t>
      </w:r>
      <w:r>
        <w:rPr/>
        <w:t>simplified</w:t>
      </w:r>
      <w:r>
        <w:rPr>
          <w:spacing w:val="-11"/>
        </w:rPr>
        <w:t> </w:t>
      </w:r>
      <w:r>
        <w:rPr/>
        <w:t>flow</w:t>
      </w:r>
      <w:r>
        <w:rPr>
          <w:spacing w:val="-11"/>
        </w:rPr>
        <w:t> </w:t>
      </w:r>
      <w:r>
        <w:rPr/>
        <w:t>diagram</w:t>
      </w:r>
      <w:r>
        <w:rPr>
          <w:spacing w:val="-11"/>
        </w:rPr>
        <w:t> </w:t>
      </w:r>
      <w:r>
        <w:rPr/>
        <w:t>for</w:t>
      </w:r>
      <w:r>
        <w:rPr>
          <w:spacing w:val="-11"/>
        </w:rPr>
        <w:t> </w:t>
      </w:r>
      <w:r>
        <w:rPr/>
        <w:t>the</w:t>
      </w:r>
      <w:r>
        <w:rPr>
          <w:spacing w:val="-11"/>
        </w:rPr>
        <w:t> </w:t>
      </w:r>
      <w:r>
        <w:rPr/>
        <w:t>Rangely field is given in </w:t>
      </w:r>
      <w:hyperlink w:history="true" w:anchor="_bookmark27">
        <w:r>
          <w:rPr/>
          <w:t>Figure</w:t>
        </w:r>
        <w:r>
          <w:rPr>
            <w:spacing w:val="-3"/>
          </w:rPr>
          <w:t> </w:t>
        </w:r>
        <w:r>
          <w:rPr/>
          <w:t>5.15.</w:t>
        </w:r>
      </w:hyperlink>
    </w:p>
    <w:p>
      <w:pPr>
        <w:pStyle w:val="BodyText"/>
        <w:spacing w:line="249" w:lineRule="auto" w:before="15"/>
        <w:ind w:left="327" w:right="700" w:firstLine="549"/>
        <w:jc w:val="both"/>
      </w:pPr>
      <w:r>
        <w:rPr/>
        <w:t>The Rangely field, covering an area of 78 km</w:t>
      </w:r>
      <w:r>
        <w:rPr>
          <w:position w:val="7"/>
          <w:sz w:val="11"/>
        </w:rPr>
        <w:t>2</w:t>
      </w:r>
      <w:r>
        <w:rPr/>
        <w:t>, is an asymmetric anticline. A major northeast-to-southwest fault in  the eastern half of the field and other faults and fractures significantly influence fluid movement within the reservoir. The sandstone reservoirs have an average gross and effective thickness of 160 m and 40 m, respectively and are comprised of six persistent</w:t>
      </w:r>
      <w:r>
        <w:rPr>
          <w:spacing w:val="-11"/>
        </w:rPr>
        <w:t> </w:t>
      </w:r>
      <w:r>
        <w:rPr/>
        <w:t>producing</w:t>
      </w:r>
      <w:r>
        <w:rPr>
          <w:spacing w:val="-10"/>
        </w:rPr>
        <w:t> </w:t>
      </w:r>
      <w:r>
        <w:rPr/>
        <w:t>sandstone</w:t>
      </w:r>
      <w:r>
        <w:rPr>
          <w:spacing w:val="-10"/>
        </w:rPr>
        <w:t> </w:t>
      </w:r>
      <w:r>
        <w:rPr/>
        <w:t>horizons</w:t>
      </w:r>
      <w:r>
        <w:rPr>
          <w:spacing w:val="-11"/>
        </w:rPr>
        <w:t> </w:t>
      </w:r>
      <w:r>
        <w:rPr/>
        <w:t>(depths</w:t>
      </w:r>
      <w:r>
        <w:rPr>
          <w:spacing w:val="-10"/>
        </w:rPr>
        <w:t> </w:t>
      </w:r>
      <w:r>
        <w:rPr/>
        <w:t>of</w:t>
      </w:r>
      <w:r>
        <w:rPr>
          <w:spacing w:val="-10"/>
        </w:rPr>
        <w:t> </w:t>
      </w:r>
      <w:r>
        <w:rPr/>
        <w:t>1675–1980</w:t>
      </w:r>
      <w:r>
        <w:rPr>
          <w:spacing w:val="-11"/>
        </w:rPr>
        <w:t> </w:t>
      </w:r>
      <w:r>
        <w:rPr/>
        <w:t>m)</w:t>
      </w:r>
      <w:r>
        <w:rPr>
          <w:spacing w:val="-10"/>
        </w:rPr>
        <w:t> </w:t>
      </w:r>
      <w:r>
        <w:rPr/>
        <w:t>with</w:t>
      </w:r>
      <w:r>
        <w:rPr>
          <w:spacing w:val="-10"/>
        </w:rPr>
        <w:t> </w:t>
      </w:r>
      <w:r>
        <w:rPr/>
        <w:t>average</w:t>
      </w:r>
      <w:r>
        <w:rPr>
          <w:spacing w:val="-11"/>
        </w:rPr>
        <w:t> </w:t>
      </w:r>
      <w:r>
        <w:rPr/>
        <w:t>porosity</w:t>
      </w:r>
      <w:r>
        <w:rPr>
          <w:spacing w:val="-10"/>
        </w:rPr>
        <w:t> </w:t>
      </w:r>
      <w:r>
        <w:rPr/>
        <w:t>of</w:t>
      </w:r>
      <w:r>
        <w:rPr>
          <w:spacing w:val="-10"/>
        </w:rPr>
        <w:t> </w:t>
      </w:r>
      <w:r>
        <w:rPr/>
        <w:t>12%.</w:t>
      </w:r>
      <w:r>
        <w:rPr>
          <w:spacing w:val="-11"/>
        </w:rPr>
        <w:t> </w:t>
      </w:r>
      <w:r>
        <w:rPr/>
        <w:t>Permeability</w:t>
      </w:r>
      <w:r>
        <w:rPr>
          <w:spacing w:val="-11"/>
        </w:rPr>
        <w:t> </w:t>
      </w:r>
      <w:r>
        <w:rPr/>
        <w:t>averages</w:t>
      </w:r>
      <w:r>
        <w:rPr>
          <w:spacing w:val="-10"/>
        </w:rPr>
        <w:t> </w:t>
      </w:r>
      <w:r>
        <w:rPr/>
        <w:t>10</w:t>
      </w:r>
      <w:r>
        <w:rPr>
          <w:spacing w:val="-11"/>
        </w:rPr>
        <w:t> </w:t>
      </w:r>
      <w:r>
        <w:rPr/>
        <w:t>mD (Hefner and Barrow,</w:t>
      </w:r>
      <w:r>
        <w:rPr>
          <w:spacing w:val="-1"/>
        </w:rPr>
        <w:t> </w:t>
      </w:r>
      <w:r>
        <w:rPr/>
        <w:t>1992).</w:t>
      </w:r>
    </w:p>
    <w:p>
      <w:pPr>
        <w:pStyle w:val="BodyText"/>
        <w:spacing w:line="225" w:lineRule="auto" w:before="12"/>
        <w:ind w:left="327" w:right="701" w:firstLine="550"/>
        <w:jc w:val="both"/>
      </w:pPr>
      <w:r>
        <w:rPr/>
        <w:t>By the end of 2003, there were 248 active injectors, of which 160 are used for CO</w:t>
      </w:r>
      <w:r>
        <w:rPr>
          <w:position w:val="-6"/>
          <w:sz w:val="11"/>
        </w:rPr>
        <w:t>2 </w:t>
      </w:r>
      <w:r>
        <w:rPr/>
        <w:t>injection and 348 active producers. Produced gas is processed through two parallel single-column natural-gas-liquids recovery facilities and subsequently compressed to approximately 14.5 MPa. Compressed-produced gas (recycled gas) is combined with purchased CO</w:t>
      </w:r>
      <w:r>
        <w:rPr>
          <w:position w:val="-6"/>
          <w:sz w:val="11"/>
        </w:rPr>
        <w:t>2 </w:t>
      </w:r>
      <w:r>
        <w:rPr/>
        <w:t>for</w:t>
      </w:r>
    </w:p>
    <w:p>
      <w:pPr>
        <w:pStyle w:val="BodyText"/>
        <w:spacing w:line="192" w:lineRule="exact"/>
        <w:ind w:left="327"/>
        <w:jc w:val="both"/>
      </w:pPr>
      <w:r>
        <w:rPr/>
        <w:t>reinjection mostly by the WAG process.</w:t>
      </w:r>
    </w:p>
    <w:p>
      <w:pPr>
        <w:pStyle w:val="BodyText"/>
        <w:spacing w:line="240" w:lineRule="exact" w:before="5"/>
        <w:ind w:left="327" w:right="700" w:firstLine="550"/>
        <w:jc w:val="both"/>
      </w:pPr>
      <w:r>
        <w:rPr/>
        <w:pict>
          <v:shape style="position:absolute;margin-left:506.139313pt;margin-top:68.807503pt;width:2.95pt;height:5.85pt;mso-position-horizontal-relative:page;mso-position-vertical-relative:paragraph;z-index:25170022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Carbon</w:t>
      </w:r>
      <w:r>
        <w:rPr>
          <w:spacing w:val="-13"/>
        </w:rPr>
        <w:t> </w:t>
      </w:r>
      <w:r>
        <w:rPr/>
        <w:t>dioxide-EOR</w:t>
      </w:r>
      <w:r>
        <w:rPr>
          <w:spacing w:val="-12"/>
        </w:rPr>
        <w:t> </w:t>
      </w:r>
      <w:r>
        <w:rPr/>
        <w:t>operation</w:t>
      </w:r>
      <w:r>
        <w:rPr>
          <w:spacing w:val="-12"/>
        </w:rPr>
        <w:t> </w:t>
      </w:r>
      <w:r>
        <w:rPr/>
        <w:t>in</w:t>
      </w:r>
      <w:r>
        <w:rPr>
          <w:spacing w:val="-13"/>
        </w:rPr>
        <w:t> </w:t>
      </w:r>
      <w:r>
        <w:rPr/>
        <w:t>the</w:t>
      </w:r>
      <w:r>
        <w:rPr>
          <w:spacing w:val="-12"/>
        </w:rPr>
        <w:t> </w:t>
      </w:r>
      <w:r>
        <w:rPr/>
        <w:t>field</w:t>
      </w:r>
      <w:r>
        <w:rPr>
          <w:spacing w:val="-12"/>
        </w:rPr>
        <w:t> </w:t>
      </w:r>
      <w:r>
        <w:rPr/>
        <w:t>maintains</w:t>
      </w:r>
      <w:r>
        <w:rPr>
          <w:spacing w:val="-13"/>
        </w:rPr>
        <w:t> </w:t>
      </w:r>
      <w:r>
        <w:rPr/>
        <w:t>compliance</w:t>
      </w:r>
      <w:r>
        <w:rPr>
          <w:spacing w:val="-12"/>
        </w:rPr>
        <w:t> </w:t>
      </w:r>
      <w:r>
        <w:rPr/>
        <w:t>with</w:t>
      </w:r>
      <w:r>
        <w:rPr>
          <w:spacing w:val="-12"/>
        </w:rPr>
        <w:t> </w:t>
      </w:r>
      <w:r>
        <w:rPr/>
        <w:t>government</w:t>
      </w:r>
      <w:r>
        <w:rPr>
          <w:spacing w:val="-13"/>
        </w:rPr>
        <w:t> </w:t>
      </w:r>
      <w:r>
        <w:rPr/>
        <w:t>regulations</w:t>
      </w:r>
      <w:r>
        <w:rPr>
          <w:spacing w:val="-12"/>
        </w:rPr>
        <w:t> </w:t>
      </w:r>
      <w:r>
        <w:rPr/>
        <w:t>for</w:t>
      </w:r>
      <w:r>
        <w:rPr>
          <w:spacing w:val="-12"/>
        </w:rPr>
        <w:t> </w:t>
      </w:r>
      <w:r>
        <w:rPr/>
        <w:t>production,</w:t>
      </w:r>
      <w:r>
        <w:rPr>
          <w:spacing w:val="-13"/>
        </w:rPr>
        <w:t> </w:t>
      </w:r>
      <w:r>
        <w:rPr/>
        <w:t>injection, protection of potable water formations, surface use, flaring and venting. A number of protocols have been instituted to</w:t>
      </w:r>
      <w:r>
        <w:rPr>
          <w:spacing w:val="-31"/>
        </w:rPr>
        <w:t> </w:t>
      </w:r>
      <w:r>
        <w:rPr/>
        <w:t>ensure containment</w:t>
      </w:r>
      <w:r>
        <w:rPr>
          <w:spacing w:val="-14"/>
        </w:rPr>
        <w:t> </w:t>
      </w:r>
      <w:r>
        <w:rPr/>
        <w:t>of</w:t>
      </w:r>
      <w:r>
        <w:rPr>
          <w:spacing w:val="-13"/>
        </w:rPr>
        <w:t> </w:t>
      </w:r>
      <w:r>
        <w:rPr/>
        <w:t>CO</w:t>
      </w:r>
      <w:r>
        <w:rPr>
          <w:position w:val="-6"/>
          <w:sz w:val="11"/>
        </w:rPr>
        <w:t>2</w:t>
      </w:r>
      <w:r>
        <w:rPr>
          <w:spacing w:val="8"/>
          <w:position w:val="-6"/>
          <w:sz w:val="11"/>
        </w:rPr>
        <w:t> </w:t>
      </w:r>
      <w:r>
        <w:rPr/>
        <w:t>–</w:t>
      </w:r>
      <w:r>
        <w:rPr>
          <w:spacing w:val="-13"/>
        </w:rPr>
        <w:t> </w:t>
      </w:r>
      <w:r>
        <w:rPr/>
        <w:t>for</w:t>
      </w:r>
      <w:r>
        <w:rPr>
          <w:spacing w:val="-13"/>
        </w:rPr>
        <w:t> </w:t>
      </w:r>
      <w:r>
        <w:rPr/>
        <w:t>example,</w:t>
      </w:r>
      <w:r>
        <w:rPr>
          <w:spacing w:val="-14"/>
        </w:rPr>
        <w:t> </w:t>
      </w:r>
      <w:r>
        <w:rPr/>
        <w:t>pre-injection</w:t>
      </w:r>
      <w:r>
        <w:rPr>
          <w:spacing w:val="-13"/>
        </w:rPr>
        <w:t> </w:t>
      </w:r>
      <w:r>
        <w:rPr/>
        <w:t>well-integrity</w:t>
      </w:r>
      <w:r>
        <w:rPr>
          <w:spacing w:val="-14"/>
        </w:rPr>
        <w:t> </w:t>
      </w:r>
      <w:r>
        <w:rPr/>
        <w:t>verification,</w:t>
      </w:r>
      <w:r>
        <w:rPr>
          <w:spacing w:val="-14"/>
        </w:rPr>
        <w:t> </w:t>
      </w:r>
      <w:r>
        <w:rPr/>
        <w:t>a</w:t>
      </w:r>
      <w:r>
        <w:rPr>
          <w:spacing w:val="-13"/>
        </w:rPr>
        <w:t> </w:t>
      </w:r>
      <w:r>
        <w:rPr/>
        <w:t>radioactive</w:t>
      </w:r>
      <w:r>
        <w:rPr>
          <w:spacing w:val="-14"/>
        </w:rPr>
        <w:t> </w:t>
      </w:r>
      <w:r>
        <w:rPr/>
        <w:t>tracer</w:t>
      </w:r>
      <w:r>
        <w:rPr>
          <w:spacing w:val="-13"/>
        </w:rPr>
        <w:t> </w:t>
      </w:r>
      <w:r>
        <w:rPr/>
        <w:t>survey</w:t>
      </w:r>
      <w:r>
        <w:rPr>
          <w:spacing w:val="-13"/>
        </w:rPr>
        <w:t> </w:t>
      </w:r>
      <w:r>
        <w:rPr/>
        <w:t>run</w:t>
      </w:r>
      <w:r>
        <w:rPr>
          <w:spacing w:val="-14"/>
        </w:rPr>
        <w:t> </w:t>
      </w:r>
      <w:r>
        <w:rPr/>
        <w:t>on</w:t>
      </w:r>
      <w:r>
        <w:rPr>
          <w:spacing w:val="-13"/>
        </w:rPr>
        <w:t> </w:t>
      </w:r>
      <w:r>
        <w:rPr/>
        <w:t>the</w:t>
      </w:r>
      <w:r>
        <w:rPr>
          <w:spacing w:val="-14"/>
        </w:rPr>
        <w:t> </w:t>
      </w:r>
      <w:r>
        <w:rPr/>
        <w:t>first</w:t>
      </w:r>
      <w:r>
        <w:rPr>
          <w:spacing w:val="-13"/>
        </w:rPr>
        <w:t> </w:t>
      </w:r>
      <w:r>
        <w:rPr/>
        <w:t>injection, injection-profile tracer surveys, mechanical integrity tests, soil gas surveys and round-the-clock field monitoring. Surface release from the storage reservoir is below the detection limit of 170 t yr</w:t>
      </w:r>
      <w:r>
        <w:rPr>
          <w:position w:val="7"/>
          <w:sz w:val="11"/>
        </w:rPr>
        <w:t>–1 </w:t>
      </w:r>
      <w:r>
        <w:rPr/>
        <w:t>or an annual leakage rate of less than 0.00076%</w:t>
      </w:r>
      <w:r>
        <w:rPr>
          <w:spacing w:val="17"/>
        </w:rPr>
        <w:t> </w:t>
      </w:r>
      <w:r>
        <w:rPr/>
        <w:t>of</w:t>
      </w:r>
    </w:p>
    <w:p>
      <w:pPr>
        <w:spacing w:after="0" w:line="240" w:lineRule="exact"/>
        <w:jc w:val="both"/>
        <w:sectPr>
          <w:pgSz w:w="12240" w:h="15840"/>
          <w:pgMar w:header="567" w:footer="0" w:top="760" w:bottom="280" w:left="580" w:right="600"/>
        </w:sectPr>
      </w:pPr>
    </w:p>
    <w:p>
      <w:pPr>
        <w:pStyle w:val="BodyText"/>
        <w:spacing w:line="277" w:lineRule="exact" w:before="5"/>
        <w:ind w:left="327"/>
        <w:rPr>
          <w:sz w:val="11"/>
        </w:rPr>
      </w:pPr>
      <w:r>
        <w:rPr/>
        <w:t>the total stored CO</w:t>
      </w:r>
      <w:r>
        <w:rPr>
          <w:position w:val="-6"/>
          <w:sz w:val="11"/>
        </w:rPr>
        <w:t>2</w:t>
      </w:r>
    </w:p>
    <w:p>
      <w:pPr>
        <w:pStyle w:val="BodyText"/>
        <w:spacing w:before="5"/>
        <w:ind w:left="15"/>
      </w:pPr>
      <w:r>
        <w:rPr/>
        <w:br w:type="column"/>
      </w:r>
      <w:r>
        <w:rPr/>
        <w:t>(Klusman, 2003). Methane leakage is estimated to be 400 t yr</w:t>
      </w:r>
      <w:r>
        <w:rPr>
          <w:position w:val="7"/>
          <w:sz w:val="11"/>
        </w:rPr>
        <w:t>–1</w:t>
      </w:r>
      <w:r>
        <w:rPr/>
        <w:t>, possibly due to increased CO</w:t>
      </w:r>
    </w:p>
    <w:p>
      <w:pPr>
        <w:pStyle w:val="BodyText"/>
        <w:spacing w:before="5"/>
        <w:ind w:left="72"/>
      </w:pPr>
      <w:r>
        <w:rPr/>
        <w:br w:type="column"/>
      </w:r>
      <w:r>
        <w:rPr/>
        <w:t>injection</w:t>
      </w:r>
    </w:p>
    <w:p>
      <w:pPr>
        <w:spacing w:after="0"/>
        <w:sectPr>
          <w:type w:val="continuous"/>
          <w:pgSz w:w="12240" w:h="15840"/>
          <w:pgMar w:top="400" w:bottom="280" w:left="580" w:right="600"/>
          <w:cols w:num="3" w:equalWidth="0">
            <w:col w:w="1918" w:space="40"/>
            <w:col w:w="7587" w:space="39"/>
            <w:col w:w="1476"/>
          </w:cols>
        </w:sectPr>
      </w:pPr>
    </w:p>
    <w:p>
      <w:pPr>
        <w:pStyle w:val="BodyText"/>
        <w:spacing w:line="187" w:lineRule="auto"/>
        <w:ind w:left="327"/>
      </w:pPr>
      <w:r>
        <w:rPr/>
        <w:t>pressure</w:t>
      </w:r>
      <w:r>
        <w:rPr>
          <w:spacing w:val="-13"/>
        </w:rPr>
        <w:t> </w:t>
      </w:r>
      <w:r>
        <w:rPr/>
        <w:t>above</w:t>
      </w:r>
      <w:r>
        <w:rPr>
          <w:spacing w:val="-12"/>
        </w:rPr>
        <w:t> </w:t>
      </w:r>
      <w:r>
        <w:rPr/>
        <w:t>original</w:t>
      </w:r>
      <w:r>
        <w:rPr>
          <w:spacing w:val="-12"/>
        </w:rPr>
        <w:t> </w:t>
      </w:r>
      <w:r>
        <w:rPr/>
        <w:t>reservoir</w:t>
      </w:r>
      <w:r>
        <w:rPr>
          <w:spacing w:val="-13"/>
        </w:rPr>
        <w:t> </w:t>
      </w:r>
      <w:r>
        <w:rPr/>
        <w:t>pressure.</w:t>
      </w:r>
      <w:r>
        <w:rPr>
          <w:spacing w:val="-15"/>
        </w:rPr>
        <w:t> </w:t>
      </w:r>
      <w:r>
        <w:rPr/>
        <w:t>The</w:t>
      </w:r>
      <w:r>
        <w:rPr>
          <w:spacing w:val="-12"/>
        </w:rPr>
        <w:t> </w:t>
      </w:r>
      <w:r>
        <w:rPr/>
        <w:t>water</w:t>
      </w:r>
      <w:r>
        <w:rPr>
          <w:spacing w:val="-13"/>
        </w:rPr>
        <w:t> </w:t>
      </w:r>
      <w:r>
        <w:rPr/>
        <w:t>chemistry</w:t>
      </w:r>
      <w:r>
        <w:rPr>
          <w:spacing w:val="-12"/>
        </w:rPr>
        <w:t> </w:t>
      </w:r>
      <w:r>
        <w:rPr/>
        <w:t>portion</w:t>
      </w:r>
      <w:r>
        <w:rPr>
          <w:spacing w:val="-12"/>
        </w:rPr>
        <w:t> </w:t>
      </w:r>
      <w:r>
        <w:rPr/>
        <w:t>of</w:t>
      </w:r>
      <w:r>
        <w:rPr>
          <w:spacing w:val="-13"/>
        </w:rPr>
        <w:t> </w:t>
      </w:r>
      <w:r>
        <w:rPr/>
        <w:t>the</w:t>
      </w:r>
      <w:r>
        <w:rPr>
          <w:spacing w:val="-12"/>
        </w:rPr>
        <w:t> </w:t>
      </w:r>
      <w:r>
        <w:rPr/>
        <w:t>study</w:t>
      </w:r>
      <w:r>
        <w:rPr>
          <w:spacing w:val="-12"/>
        </w:rPr>
        <w:t> </w:t>
      </w:r>
      <w:r>
        <w:rPr/>
        <w:t>indicates</w:t>
      </w:r>
      <w:r>
        <w:rPr>
          <w:spacing w:val="-13"/>
        </w:rPr>
        <w:t> </w:t>
      </w:r>
      <w:r>
        <w:rPr/>
        <w:t>that</w:t>
      </w:r>
      <w:r>
        <w:rPr>
          <w:spacing w:val="-12"/>
        </w:rPr>
        <w:t> </w:t>
      </w:r>
      <w:r>
        <w:rPr/>
        <w:t>the</w:t>
      </w:r>
      <w:r>
        <w:rPr>
          <w:spacing w:val="-12"/>
        </w:rPr>
        <w:t> </w:t>
      </w:r>
      <w:r>
        <w:rPr/>
        <w:t>injected</w:t>
      </w:r>
      <w:r>
        <w:rPr>
          <w:spacing w:val="-13"/>
        </w:rPr>
        <w:t> </w:t>
      </w:r>
      <w:r>
        <w:rPr/>
        <w:t>CO</w:t>
      </w:r>
      <w:r>
        <w:rPr>
          <w:position w:val="-6"/>
          <w:sz w:val="11"/>
        </w:rPr>
        <w:t>2</w:t>
      </w:r>
      <w:r>
        <w:rPr>
          <w:spacing w:val="11"/>
          <w:position w:val="-6"/>
          <w:sz w:val="11"/>
        </w:rPr>
        <w:t> </w:t>
      </w:r>
      <w:r>
        <w:rPr/>
        <w:t>is</w:t>
      </w:r>
      <w:r>
        <w:rPr>
          <w:spacing w:val="-12"/>
        </w:rPr>
        <w:t> </w:t>
      </w:r>
      <w:r>
        <w:rPr/>
        <w:t>dissolving</w:t>
      </w:r>
    </w:p>
    <w:p>
      <w:pPr>
        <w:pStyle w:val="BodyText"/>
        <w:spacing w:line="210" w:lineRule="exact"/>
        <w:ind w:left="327"/>
      </w:pPr>
      <w:r>
        <w:rPr/>
        <w:t>in the water and may be responsible for dissolution of ferroan calcite and dolomite. There is currently no evidence of</w:t>
      </w:r>
      <w:r>
        <w:rPr>
          <w:spacing w:val="4"/>
        </w:rPr>
        <w:t> </w:t>
      </w:r>
      <w:r>
        <w:rPr/>
        <w:t>mineral</w:t>
      </w:r>
    </w:p>
    <w:p>
      <w:pPr>
        <w:pStyle w:val="BodyText"/>
        <w:spacing w:before="3"/>
        <w:ind w:left="327"/>
      </w:pPr>
      <w:r>
        <w:rPr/>
        <w:t>precipitation that may result in mineral storage of CO</w:t>
      </w:r>
      <w:r>
        <w:rPr>
          <w:position w:val="-6"/>
          <w:sz w:val="11"/>
        </w:rPr>
        <w:t>2</w:t>
      </w:r>
      <w:r>
        <w:rPr/>
        <w:t>.</w:t>
      </w:r>
    </w:p>
    <w:p>
      <w:pPr>
        <w:pStyle w:val="BodyText"/>
        <w:spacing w:before="10"/>
        <w:rPr>
          <w:sz w:val="11"/>
        </w:rPr>
      </w:pPr>
    </w:p>
    <w:p>
      <w:pPr>
        <w:spacing w:after="0"/>
        <w:rPr>
          <w:sz w:val="11"/>
        </w:rPr>
        <w:sectPr>
          <w:type w:val="continuous"/>
          <w:pgSz w:w="12240" w:h="15840"/>
          <w:pgMar w:top="400" w:bottom="280" w:left="580" w:right="600"/>
        </w:sectPr>
      </w:pPr>
    </w:p>
    <w:p>
      <w:pPr>
        <w:pStyle w:val="BodyText"/>
        <w:rPr>
          <w:sz w:val="13"/>
        </w:rPr>
      </w:pPr>
    </w:p>
    <w:p>
      <w:pPr>
        <w:pStyle w:val="BodyText"/>
        <w:ind w:left="133"/>
      </w:pPr>
      <w:r>
        <w:rPr/>
        <w:pict>
          <v:group style="width:250.7pt;height:211.6pt;mso-position-horizontal-relative:char;mso-position-vertical-relative:line" coordorigin="0,0" coordsize="5014,4232">
            <v:shape style="position:absolute;left:9;top:30;width:4282;height:3504" type="#_x0000_t75" stroked="false">
              <v:imagedata r:id="rId101" o:title=""/>
            </v:shape>
            <v:shape style="position:absolute;left:4282;top:30;width:719;height:4202" type="#_x0000_t75" stroked="false">
              <v:imagedata r:id="rId102" o:title=""/>
            </v:shape>
            <v:shape style="position:absolute;left:9;top:3526;width:4282;height:706" type="#_x0000_t75" stroked="false">
              <v:imagedata r:id="rId103" o:title=""/>
            </v:shape>
            <v:shape style="position:absolute;left:11;top:10;width:4992;height:3054" type="#_x0000_t75" stroked="false">
              <v:imagedata r:id="rId104" o:title=""/>
            </v:shape>
            <v:shape style="position:absolute;left:1;top:0;width:5012;height:3074" coordorigin="2,0" coordsize="5012,3074" path="m926,3014l774,3014,834,3016,880,3023,918,3032,955,3043,997,3054,1047,3064,1113,3071,1199,3073,1365,3071,1467,3067,1519,3062,1534,3060,1534,3060,1538,3059,1543,3057,1555,3053,1199,3053,1114,3051,1050,3044,1001,3035,961,3024,926,3014xm1530,3040l1510,3043,1457,3047,1357,3052,1199,3053,1555,3053,1567,3050,1532,3050,1529,3041,1530,3040xm2609,2985l2536,2985,2556,2987,2578,2994,2602,3004,2655,3027,2682,3038,2710,3047,2739,3051,2746,3052,2752,3052,2758,3052,2772,3052,2786,3050,2799,3048,2812,3045,2830,3040,2855,3034,2862,3032,2753,3032,2747,3032,2741,3031,2715,3027,2689,3019,2662,3009,2610,2985,2609,2985xm3484,2997l3179,2997,3238,2998,3308,3003,3426,3012,3474,3016,3656,3032,3661,3032,3809,3043,3889,3048,3967,3051,4042,3052,4082,3050,4126,3044,4207,3032,4042,3032,3968,3031,3890,3028,3810,3023,3712,3016,3659,3012,3501,2998,3484,2997xm1530,3040l1529,3041,1532,3050,1530,3040xm1601,3040l1530,3040,1532,3050,1567,3050,1594,3042,1601,3040xm4851,3004l4542,3004,4605,3005,4674,3008,4748,3013,4827,3021,4911,3032,5001,3046,5013,3048,5013,3036,4993,3036,4993,3025,4914,3012,4851,3004xm326,3004l145,3004,187,3005,231,3009,277,3015,323,3024,365,3034,399,3041,427,3045,451,3046,467,3045,482,3044,498,3041,555,3032,580,3028,600,3026,451,3026,429,3025,403,3021,370,3015,328,3005,326,3004xm1893,2976l1789,2982,1690,2998,1608,3018,1550,3034,1530,3040,1530,3040,1601,3040,1678,3022,1782,3003,1893,2996,2074,2996,2033,2992,1999,2986,1974,2981,1947,2978,1920,2976,1893,2976xm4993,3025l4993,3036,5003,3036,5005,3026,4993,3025xm5003,10l4993,10,4993,3025,5005,3026,5003,3036,5013,3036,5013,20,5003,20,5003,10xm3179,2977l3170,2977,3160,2977,3152,2977,3052,2984,2973,2992,2914,3001,2868,3010,2850,3014,2820,3022,2807,3026,2795,3028,2783,3030,2771,3032,2758,3032,2862,3032,2883,3027,2917,3020,2960,3014,3012,3007,3076,3002,3153,2997,3161,2997,3170,2997,3484,2997,3309,2983,3239,2978,3179,2977xm4542,2984l4449,2986,4366,2992,4293,2999,4229,3008,4177,3016,4124,3024,4080,3030,4042,3032,4207,3032,4232,3028,4296,3019,4368,3012,4450,3006,4542,3004,4851,3004,4829,3002,4750,2994,4675,2988,4606,2985,4542,2984xm774,2994l740,2994,701,2996,657,3000,607,3005,577,3008,551,3012,535,3015,526,3016,494,3022,480,3024,465,3025,451,3026,600,3026,609,3025,658,3020,702,3016,740,3014,774,3014,926,3014,924,3013,884,3003,836,2996,774,2994xm2074,2996l1893,2996,1919,2996,1945,2998,1971,3001,1995,3006,2031,3012,2077,3016,2131,3019,2192,3020,2278,3018,2366,3012,2448,3002,2458,3000,2192,3000,2132,2999,2078,2996,2074,2996xm5013,0l2,0,2,3016,16,3013,24,3012,42,3010,70,3007,104,3005,145,3004,326,3004,323,3004,12,3004,10,2994,20,2992,22,2992,22,20,12,20,12,10,5013,10,5013,0xm22,2992l20,2992,10,2994,12,3004,22,3004,22,2992xm145,2984l91,2986,48,2989,22,2992,22,3004,323,3004,280,2995,233,2989,188,2985,145,2984xm2536,2965l2529,2965,2522,2966,2515,2967,2445,2982,2364,2992,2277,2998,2192,3000,2458,3000,2520,2987,2525,2985,2530,2985,2609,2985,2585,2975,2560,2968,2536,2965xm22,10l12,10,12,20,22,20,22,10xm4993,10l22,10,22,20,4993,20,4993,10xm5013,10l5003,10,5003,20,5013,20,5013,10xe" filled="true" fillcolor="#889ea9" stroked="false">
              <v:path arrowok="t"/>
              <v:fill type="solid"/>
            </v:shape>
            <v:shape style="position:absolute;left:11;top:1463;width:4992;height:1600" type="#_x0000_t75" stroked="false">
              <v:imagedata r:id="rId105" o:title=""/>
            </v:shape>
            <v:shape style="position:absolute;left:1;top:1453;width:5012;height:1620" coordorigin="2,1454" coordsize="5012,1620" path="m926,3014l774,3014,834,3016,880,3023,918,3032,955,3043,997,3054,1047,3064,1113,3071,1199,3073,1365,3071,1467,3067,1519,3062,1534,3060,1534,3060,1538,3059,1543,3057,1555,3053,1199,3053,1114,3051,1050,3044,1001,3035,961,3024,926,3014xm1530,3040l1510,3043,1457,3047,1357,3052,1199,3053,1555,3053,1567,3050,1532,3050,1529,3041,1530,3040xm2609,2985l2536,2985,2556,2987,2578,2994,2602,3004,2655,3027,2682,3038,2710,3047,2739,3051,2746,3052,2752,3052,2758,3052,2772,3052,2786,3050,2799,3048,2812,3045,2830,3040,2855,3034,2862,3032,2753,3032,2747,3032,2741,3031,2715,3027,2689,3019,2662,3009,2610,2985,2609,2985xm3484,2997l3179,2997,3238,2998,3308,3003,3426,3012,3474,3016,3656,3032,3661,3032,3809,3043,3889,3048,3967,3051,4042,3052,4082,3050,4126,3044,4207,3032,4042,3032,3968,3031,3890,3028,3810,3023,3712,3016,3659,3012,3501,2998,3484,2997xm1530,3040l1529,3041,1532,3050,1530,3040xm1601,3040l1530,3040,1532,3050,1567,3050,1594,3042,1601,3040xm4851,3004l4542,3004,4605,3005,4674,3008,4748,3013,4827,3021,4911,3032,5001,3046,5013,3048,5013,3036,4993,3036,4993,3025,4914,3012,4851,3004xm326,3004l145,3004,187,3005,231,3009,277,3015,323,3024,365,3034,399,3041,427,3045,451,3046,467,3045,482,3044,498,3041,555,3032,580,3028,600,3026,451,3026,429,3025,403,3021,370,3015,328,3005,326,3004xm1893,2976l1789,2982,1690,2998,1608,3018,1550,3034,1530,3040,1530,3040,1601,3040,1678,3022,1782,3003,1893,2996,2074,2996,2033,2992,1999,2986,1974,2981,1947,2978,1920,2976,1893,2976xm4993,3025l4993,3036,5003,3036,5005,3026,4993,3025xm5003,1464l4993,1464,4993,3025,5005,3026,5003,3036,5013,3036,5013,1474,5003,1474,5003,1464xm3179,2977l3170,2977,3160,2977,3152,2977,3052,2984,2973,2991,2914,3001,2868,3010,2850,3014,2820,3022,2807,3026,2795,3028,2783,3030,2771,3032,2758,3032,2862,3032,2883,3027,2917,3020,2960,3014,3012,3007,3076,3002,3153,2997,3161,2997,3170,2997,3484,2997,3309,2983,3239,2978,3179,2977xm4542,2984l4449,2986,4366,2992,4293,2999,4229,3008,4177,3016,4124,3024,4080,3030,4042,3032,4207,3032,4232,3028,4296,3019,4368,3012,4450,3006,4542,3004,4851,3004,4829,3002,4750,2994,4675,2988,4606,2985,4542,2984xm774,2994l740,2994,701,2996,657,3000,607,3005,577,3008,551,3012,535,3015,526,3016,494,3022,480,3024,465,3025,451,3026,600,3026,609,3025,658,3020,702,3016,740,3014,774,3014,926,3014,924,3013,884,3003,836,2996,774,2994xm2074,2996l1893,2996,1919,2996,1945,2998,1971,3001,1995,3006,2031,3012,2077,3016,2131,3019,2192,3020,2278,3018,2366,3012,2448,3002,2458,3000,2192,3000,2132,2999,2078,2996,2074,2996xm5013,1454l2,1454,2,3016,16,3013,24,3012,42,3010,70,3007,104,3005,145,3004,326,3004,323,3004,12,3004,10,2994,20,2992,22,2992,22,1474,12,1474,12,1464,5013,1464,5013,1454xm22,2992l20,2992,10,2994,12,3004,22,3004,22,2992xm145,2984l91,2986,48,2989,22,2992,22,3004,323,3004,280,2995,233,2989,188,2985,145,2984xm2536,2965l2529,2965,2522,2966,2515,2967,2445,2982,2364,2992,2277,2998,2192,3000,2458,3000,2520,2987,2525,2985,2530,2985,2609,2985,2585,2975,2560,2968,2536,2965xm22,1464l12,1464,12,1474,22,1474,22,1464xm4993,1464l22,1464,22,1474,4993,1474,4993,1464xm5013,1464l5003,1464,5003,1474,5013,1474,5013,1464xe" filled="true" fillcolor="#889ea9" stroked="false">
              <v:path arrowok="t"/>
              <v:fill type="solid"/>
            </v:shape>
            <v:shape style="position:absolute;left:11;top:2016;width:4992;height:1600" type="#_x0000_t75" stroked="false">
              <v:imagedata r:id="rId106" o:title=""/>
            </v:shape>
            <v:shape style="position:absolute;left:1;top:2006;width:5012;height:1620" coordorigin="2,2006" coordsize="5012,1620" path="m2,2031l2,3626,5013,3626,5013,3616,12,3616,12,3606,22,3606,22,2055,10,2053,12,2043,77,2043,13,2033,2,2031xm22,3606l12,3606,12,3616,22,3616,22,3606xm4993,3606l22,3606,22,3616,4993,3616,4993,3606xm5013,2076l5003,2076,5005,2086,4994,2087,4993,2087,4993,3616,5003,3616,5003,3606,5013,3606,5013,2076xm5013,3606l5003,3606,5003,3616,5013,3616,5013,3606xm2347,2048l2262,2048,2267,2048,2274,2048,2299,2052,2326,2060,2352,2071,2404,2094,2430,2105,2455,2112,2479,2115,2486,2115,2493,2114,2499,2112,2569,2098,2591,2095,2479,2095,2459,2092,2436,2086,2412,2076,2360,2052,2347,2048xm3055,2080l2823,2080,2883,2081,2936,2084,2982,2088,3016,2094,3041,2098,3067,2102,3094,2103,3122,2104,3226,2097,3306,2084,3122,2084,3095,2083,3069,2082,3055,2080xm1360,2048l972,2048,1047,2049,1124,2052,1204,2056,1303,2063,1355,2068,1539,2083,1706,2097,1776,2101,1835,2103,1845,2103,1854,2102,1862,2102,1963,2096,2041,2088,2077,2083,1835,2083,1777,2081,1707,2077,1589,2068,1540,2063,1444,2055,1360,2048xm77,2043l22,2043,22,2055,101,2067,186,2078,265,2086,339,2091,409,2094,473,2095,566,2093,648,2088,721,2080,757,2075,473,2075,409,2074,340,2071,267,2066,188,2058,103,2047,77,2043xm4685,2054l4564,2054,4586,2055,4612,2059,4645,2065,4686,2075,4734,2085,4781,2091,4827,2094,4870,2095,4924,2094,4966,2091,4993,2087,4993,2076,5013,2076,5013,2075,4870,2075,4828,2074,4783,2071,4737,2065,4691,2055,4685,2054xm2823,2060l2736,2062,2649,2068,2566,2078,2494,2093,2489,2094,2484,2095,2591,2095,2651,2088,2737,2082,2823,2080,3055,2080,3044,2079,3020,2074,2984,2068,2938,2064,2883,2061,2823,2060xm5003,2076l4993,2076,4993,2087,4994,2087,5005,2086,5003,2076xm4021,2026l3815,2026,3900,2029,3964,2035,4013,2045,4054,2056,4091,2067,4131,2076,4179,2083,4240,2086,4275,2085,4314,2083,4358,2080,4408,2075,4438,2071,4463,2068,4473,2066,4240,2066,4181,2063,4135,2057,4096,2047,4059,2036,4021,2026xm3815,2006l3649,2008,3547,2013,3495,2018,3481,2020,3480,2020,3477,2021,3471,2023,3421,2038,3337,2058,3233,2076,3122,2084,3306,2084,3324,2081,3407,2062,3464,2046,3485,2039,3485,2039,3483,2030,3622,2030,3658,2028,3815,2026,4021,2026,4018,2025,3967,2016,3901,2009,3815,2006xm2262,2028l2256,2028,2242,2028,2229,2029,2216,2032,2203,2035,2185,2039,2159,2046,2132,2053,2097,2059,2055,2066,2003,2072,1939,2078,1862,2082,1854,2082,1845,2083,2077,2083,2101,2079,2146,2070,2164,2065,2195,2057,2208,2054,2220,2051,2232,2049,2244,2048,2256,2048,2347,2048,2332,2042,2304,2033,2275,2028,2269,2028,2262,2028xm972,2028l932,2030,888,2035,782,2052,719,2060,647,2068,565,2073,473,2075,757,2075,785,2071,837,2063,891,2055,934,2050,972,2048,1360,2048,1354,2047,1205,2036,1125,2032,1047,2029,972,2028xm5013,2064l4998,2067,4990,2068,4973,2070,4945,2072,4910,2074,4870,2075,5013,2075,5013,2064xm4564,2034l4548,2034,4533,2036,4517,2038,4481,2044,4460,2048,4435,2051,4405,2055,4356,2060,4312,2063,4274,2065,4240,2066,4473,2066,4488,2063,4520,2058,4535,2056,4549,2054,4564,2054,4685,2054,4649,2045,4615,2039,4588,2035,4564,2034xm22,2043l12,2043,10,2053,22,2055,22,2043xm3483,2030l3485,2039,3485,2039,3486,2039,3483,2030xm3485,2039l3485,2039,3485,2039,3485,2039xm3622,2030l3483,2030,3486,2039,3485,2039,3504,2037,3558,2032,3622,2030xe" filled="true" fillcolor="#889ea9" stroked="false">
              <v:path arrowok="t"/>
              <v:fill type="solid"/>
            </v:shape>
            <v:shape style="position:absolute;left:11;top:2185;width:4992;height:1600" type="#_x0000_t75" stroked="false">
              <v:imagedata r:id="rId107" o:title=""/>
            </v:shape>
            <v:shape style="position:absolute;left:1;top:2175;width:5012;height:1620" coordorigin="2,2175" coordsize="5012,1620" path="m2,2201l2,3795,5013,3795,5013,3785,12,3785,12,3775,22,3775,22,2224,10,2222,12,2212,77,2212,13,2203,2,2201xm22,3775l12,3775,12,3785,22,3785,22,3775xm4993,3775l22,3775,22,3785,4993,3785,4993,3775xm5013,2245l5003,2245,5005,2255,4994,2256,4993,2256,4993,3785,5003,3785,5003,3775,5013,3775,5013,2245xm5013,3775l5003,3775,5003,3785,5013,3785,5013,3775xm2347,2217l2262,2217,2267,2217,2274,2217,2299,2222,2326,2230,2352,2240,2404,2263,2430,2274,2455,2281,2479,2284,2486,2284,2493,2283,2499,2281,2569,2267,2591,2264,2479,2264,2459,2262,2436,2255,2412,2245,2360,2222,2347,2217xm3055,2249l2823,2249,2883,2250,2936,2253,2981,2257,3016,2263,3041,2267,3067,2271,3094,2272,3122,2273,3226,2266,3306,2253,3122,2253,3095,2252,3069,2251,3055,2249xm1360,2217l972,2217,1047,2218,1124,2221,1204,2225,1303,2232,1355,2237,1539,2252,1706,2266,1776,2270,1835,2272,1845,2272,1854,2272,1862,2271,1963,2265,2041,2257,2077,2252,1835,2252,1777,2250,1707,2246,1589,2237,1540,2232,1444,2224,1360,2217xm77,2212l22,2212,22,2224,101,2236,186,2247,265,2255,339,2260,409,2263,473,2264,566,2262,648,2257,721,2249,757,2244,473,2244,409,2243,340,2240,267,2235,188,2227,103,2216,77,2212xm4685,2223l4564,2223,4586,2224,4612,2228,4645,2234,4686,2244,4734,2254,4781,2260,4827,2263,4870,2264,4924,2263,4966,2260,4993,2256,4993,2245,5013,2245,5013,2244,4870,2244,4828,2243,4783,2240,4737,2234,4691,2224,4685,2223xm2823,2229l2736,2231,2649,2237,2566,2247,2494,2262,2489,2263,2484,2264,2591,2264,2651,2257,2737,2251,2823,2249,3055,2249,3044,2248,3020,2243,2984,2237,2938,2233,2883,2230,2823,2229xm5003,2245l4993,2245,4993,2256,4994,2256,5005,2255,5003,2245xm4021,2195l3815,2195,3900,2198,3964,2204,4013,2214,4054,2225,4091,2236,4131,2245,4179,2252,4240,2255,4275,2254,4314,2252,4358,2249,4408,2244,4438,2240,4463,2237,4473,2235,4240,2235,4181,2232,4135,2226,4096,2216,4059,2206,4021,2195xm3815,2175l3649,2177,3547,2182,3495,2187,3481,2189,3480,2189,3477,2190,3471,2192,3421,2207,3337,2227,3233,2245,3122,2253,3306,2253,3324,2250,3407,2231,3464,2215,3485,2208,3485,2208,3483,2199,3622,2199,3658,2197,3815,2195,4021,2195,4018,2194,3967,2185,3901,2178,3815,2175xm2262,2197l2256,2197,2242,2197,2229,2199,2216,2201,2203,2204,2185,2208,2159,2215,2132,2222,2097,2228,2055,2235,2003,2241,1939,2247,1862,2251,1854,2252,1845,2252,2077,2252,2101,2248,2146,2239,2164,2234,2195,2226,2208,2223,2220,2220,2232,2218,2244,2217,2256,2217,2347,2217,2332,2211,2304,2202,2275,2197,2269,2197,2262,2197xm972,2197l932,2199,888,2204,782,2221,719,2229,647,2237,565,2242,473,2244,757,2244,785,2241,837,2232,891,2224,934,2219,972,2217,1360,2217,1205,2206,1125,2201,1047,2198,972,2197xm5013,2233l4998,2236,4990,2237,4973,2239,4945,2241,4910,2243,4870,2244,5013,2244,5013,2233xm4564,2203l4548,2204,4533,2205,4517,2207,4460,2217,4435,2221,4405,2224,4356,2229,4312,2232,4274,2234,4240,2235,4473,2235,4485,2233,4520,2227,4535,2225,4549,2223,4564,2223,4685,2223,4649,2214,4615,2208,4588,2204,4564,2203xm22,2212l12,2212,10,2222,22,2224,22,2212xm3483,2199l3485,2208,3485,2208,3486,2208,3483,2199xm3485,2208l3485,2208,3485,2208,3485,2208xm3622,2199l3483,2199,3486,2208,3485,2208,3504,2206,3558,2201,3622,2199xe" filled="true" fillcolor="#889ea9" stroked="false">
              <v:path arrowok="t"/>
              <v:fill type="solid"/>
            </v:shape>
            <v:shape style="position:absolute;left:11;top:2579;width:4992;height:1600" type="#_x0000_t75" stroked="false">
              <v:imagedata r:id="rId108" o:title=""/>
            </v:shape>
            <v:shape style="position:absolute;left:1;top:2569;width:5012;height:1620" coordorigin="2,2570" coordsize="5012,1620" path="m2,2595l2,4189,5013,4189,5013,4179,12,4179,12,4169,22,4169,22,2619,10,2617,12,2607,77,2607,13,2597,2,2595xm22,4169l12,4169,12,4179,22,4179,22,4169xm4993,4169l22,4169,22,4179,4993,4179,4993,4169xm5013,2639l5003,2639,5005,2649,4994,2651,4993,2651,4993,4179,5003,4179,5003,4169,5013,4169,5013,2639xm5013,4169l5003,4169,5003,4179,5013,4179,5013,4169xm2347,2611l2262,2611,2267,2611,2274,2612,2299,2616,2326,2624,2352,2635,2404,2658,2430,2668,2455,2676,2479,2678,2486,2678,2493,2678,2499,2676,2569,2661,2591,2658,2479,2658,2459,2656,2436,2649,2412,2640,2360,2616,2347,2611xm3055,2643l2823,2643,2883,2644,2936,2647,2982,2651,3016,2657,3041,2662,3067,2665,3094,2667,3122,2668,3226,2661,3307,2648,3122,2648,3095,2647,3069,2645,3055,2643xm1360,2611l972,2611,1047,2612,1124,2615,1204,2620,1303,2627,1355,2631,1539,2647,1706,2660,1776,2665,1835,2666,1845,2666,1854,2666,1862,2666,1963,2660,2041,2652,2077,2646,1835,2646,1777,2645,1707,2641,1589,2631,1540,2627,1360,2611xm77,2607l22,2607,22,2619,101,2631,186,2642,265,2650,339,2655,409,2658,473,2659,566,2657,648,2651,721,2644,757,2639,473,2639,409,2638,340,2635,267,2630,188,2622,103,2611,77,2607xm4685,2617l4564,2617,4586,2619,4612,2622,4645,2628,4686,2638,4734,2648,4781,2654,4827,2658,4870,2659,4924,2657,4966,2654,4993,2651,4993,2639,5013,2639,5013,2639,4870,2639,4828,2638,4783,2635,4737,2628,4691,2619,4685,2617xm2823,2623l2736,2625,2649,2631,2566,2641,2494,2656,2489,2658,2484,2658,2591,2658,2651,2651,2737,2645,2823,2643,3055,2643,3044,2642,3020,2638,2984,2632,2938,2627,2883,2624,2823,2623xm5003,2639l4993,2639,4993,2651,4994,2651,5005,2649,5003,2639xm4021,2590l3815,2590,3900,2592,3964,2599,4013,2608,4054,2619,4091,2630,4131,2640,4179,2647,4240,2649,4275,2649,4314,2647,4358,2643,4408,2638,4438,2635,4463,2631,4473,2629,4240,2629,4181,2627,4135,2620,4096,2611,4059,2600,4021,2590xm3815,2570l3649,2572,3547,2576,3495,2581,3481,2583,3480,2583,3477,2585,3471,2586,3421,2601,3337,2622,3233,2640,3122,2648,3307,2648,3324,2645,3407,2625,3464,2609,3485,2603,3485,2603,3483,2593,3622,2593,3658,2592,3815,2590,4021,2590,4018,2589,3967,2579,3901,2572,3815,2570xm2262,2591l2256,2591,2242,2592,2229,2593,2216,2595,2203,2598,2185,2603,2159,2609,2132,2616,2097,2623,2055,2630,2003,2636,1939,2641,1862,2646,1854,2646,1845,2646,2077,2646,2101,2643,2146,2633,2164,2629,2195,2621,2208,2618,2220,2615,2232,2613,2244,2612,2256,2611,2347,2611,2332,2605,2304,2597,2275,2592,2269,2591,2262,2591xm972,2591l932,2594,888,2599,782,2615,719,2624,647,2632,565,2637,473,2639,757,2639,785,2635,837,2627,891,2619,934,2613,972,2611,1360,2611,1354,2611,1205,2600,1125,2595,1047,2592,972,2591xm5013,2628l4998,2630,4990,2631,4973,2633,4945,2636,4910,2638,4870,2639,5013,2639,5013,2628xm4564,2597l4548,2598,4533,2599,4517,2602,4460,2611,4435,2615,4405,2619,4356,2624,4312,2627,4274,2629,4240,2629,4473,2629,4488,2627,4520,2621,4535,2619,4549,2618,4564,2617,4685,2617,4649,2609,4615,2602,4588,2599,4564,2597xm22,2607l12,2607,10,2617,22,2619,22,2607xm3483,2593l3485,2603,3485,2603,3486,2603,3483,2593xm3485,2603l3485,2603,3485,2603,3485,2603xm3622,2593l3483,2593,3486,2603,3485,2603,3504,2600,3558,2596,3622,2593xe" filled="true" fillcolor="#889ea9" stroked="false">
              <v:path arrowok="t"/>
              <v:fill type="solid"/>
            </v:shape>
            <v:shape style="position:absolute;left:10;top:3538;width:4992;height:676" type="#_x0000_t75" stroked="false">
              <v:imagedata r:id="rId109" o:title=""/>
            </v:shape>
            <v:shape style="position:absolute;left:0;top:3528;width:5012;height:696" coordorigin="0,3528" coordsize="5012,696" path="m0,3553l0,4223,5012,4223,5012,4213,10,4213,10,4203,20,4203,20,3577,8,3575,10,3565,75,3565,12,3555,0,3553xm20,4203l10,4203,10,4213,20,4213,20,4203xm4992,4203l20,4203,20,4213,4992,4213,4992,4203xm5012,3598l5002,3598,5003,3608,4993,3609,4992,3609,4992,4213,5002,4213,5002,4203,5012,4203,5012,3598xm5012,4203l5002,4203,5002,4213,5012,4213,5012,4203xm2346,3570l2260,3570,2266,3570,2272,3570,2298,3574,2324,3582,2351,3593,2403,3616,2428,3627,2453,3634,2478,3637,2484,3637,2491,3636,2498,3634,2568,3620,2590,3617,2478,3617,2457,3614,2435,3608,2411,3598,2358,3574,2346,3570xm3053,3602l2822,3602,2881,3603,2935,3606,2980,3610,3014,3615,3039,3620,3066,3624,3093,3625,3120,3626,3224,3619,3305,3606,3120,3606,3094,3605,3068,3604,3053,3602xm1358,3570l971,3570,1045,3571,1123,3574,1203,3578,1301,3585,1354,3590,1537,3605,1671,3616,1704,3619,1774,3623,1834,3625,1843,3625,1853,3624,1861,3624,1961,3618,2040,3610,2076,3605,1834,3605,1775,3603,1705,3599,1587,3590,1539,3585,1358,3570xm75,3565l20,3565,20,3577,99,3589,184,3600,264,3608,338,3613,407,3616,471,3617,564,3615,647,3610,720,3602,756,3597,471,3597,408,3596,339,3593,265,3588,186,3580,102,3569,75,3565xm4684,3576l4562,3576,4584,3577,4610,3580,4643,3587,4685,3597,4733,3607,4780,3613,4825,3616,4868,3617,4922,3616,4965,3612,4992,3609,4992,3598,5012,3598,5012,3597,4868,3597,4826,3596,4782,3593,4736,3587,4690,3577,4684,3576xm2822,3582l2735,3584,2647,3590,2565,3600,2493,3615,2488,3616,2483,3617,2590,3617,2649,3609,2736,3604,2822,3602,3053,3602,3043,3600,3018,3596,2982,3590,2936,3586,2882,3583,2822,3582xm5002,3598l4992,3598,4992,3609,4993,3609,5003,3608,5002,3598xm4020,3548l3814,3548,3899,3551,3963,3557,4012,3567,4052,3578,4089,3589,4129,3598,4177,3605,4239,3608,4273,3607,4313,3605,4356,3602,4406,3597,4436,3593,4462,3590,4471,3588,4239,3588,4179,3585,4133,3579,4095,3569,4058,3558,4020,3548xm3814,3528l3648,3530,3546,3535,3494,3539,3479,3542,3479,3542,3475,3543,3470,3545,3419,3559,3335,3580,3231,3598,3120,3606,3305,3606,3323,3603,3406,3584,3463,3568,3483,3561,3483,3561,3481,3551,3620,3551,3656,3550,3814,3548,4020,3548,4017,3547,3966,3538,3900,3531,3814,3528xm2261,3550l2255,3550,2241,3550,2227,3551,2214,3554,2201,3557,2183,3561,2158,3568,2130,3575,2096,3581,2053,3588,2001,3594,1937,3600,1860,3604,1852,3604,1843,3605,2076,3605,2099,3601,2145,3592,2163,3587,2193,3579,2206,3576,2218,3573,2230,3571,2242,3570,2255,3570,2346,3570,2331,3564,2303,3555,2274,3550,2267,3550,2261,3550xm971,3550l931,3552,887,3557,781,3574,717,3582,645,3590,563,3595,471,3597,756,3597,784,3593,836,3585,889,3577,933,3572,971,3570,1358,3570,1204,3558,1124,3554,1046,3551,971,3550xm5012,3586l4997,3589,4989,3590,4971,3592,4943,3594,4909,3596,4868,3597,5012,3597,5012,3586xm4562,3556l4546,3556,4531,3558,4515,3560,4459,3570,4433,3573,4404,3577,4355,3582,4311,3585,4273,3587,4239,3588,4471,3588,4487,3585,4519,3580,4534,3578,4548,3576,4562,3576,4684,3576,4648,3567,4614,3561,4586,3557,4562,3556xm20,3565l10,3565,8,3575,20,3577,20,3565xm3481,3551l3483,3561,3484,3561,3484,3561,3481,3551xm3484,3561l3483,3561,3483,3561,3484,3561xm3620,3551l3481,3551,3484,3561,3484,3561,3503,3559,3556,3554,3620,3551xe" filled="true" fillcolor="#889ea9" stroked="false">
              <v:path arrowok="t"/>
              <v:fill type="solid"/>
            </v:shape>
            <v:shape style="position:absolute;left:544;top:1445;width:142;height:2407" type="#_x0000_t75" stroked="false">
              <v:imagedata r:id="rId110" o:title=""/>
            </v:shape>
            <v:line style="position:absolute" from="534,3857" to="696,3857" stroked="true" strokeweight=".5pt" strokecolor="#889ea9">
              <v:stroke dashstyle="solid"/>
            </v:line>
            <v:rect style="position:absolute;left:534;top:3842;width:11;height:10" filled="true" fillcolor="#889ea9" stroked="false">
              <v:fill type="solid"/>
            </v:rect>
            <v:line style="position:absolute" from="544,1456" to="544,3842" stroked="true" strokeweight="1.008pt" strokecolor="#889ea9">
              <v:stroke dashstyle="solid"/>
            </v:line>
            <v:rect style="position:absolute;left:534;top:1453;width:11;height:3" filled="true" fillcolor="#889ea9" stroked="false">
              <v:fill type="solid"/>
            </v:rect>
            <v:rect style="position:absolute;left:544;top:3841;width:11;height:11" filled="true" fillcolor="#889ea9" stroked="false">
              <v:fill type="solid"/>
            </v:rect>
            <v:rect style="position:absolute;left:554;top:3841;width:122;height:11" filled="true" fillcolor="#889ea9" stroked="false">
              <v:fill type="solid"/>
            </v:rect>
            <v:rect style="position:absolute;left:675;top:3842;width:11;height:10" filled="true" fillcolor="#889ea9" stroked="false">
              <v:fill type="solid"/>
            </v:rect>
            <v:line style="position:absolute" from="685,1456" to="685,3842" stroked="true" strokeweight="1.008pt" strokecolor="#889ea9">
              <v:stroke dashstyle="solid"/>
            </v:line>
            <v:rect style="position:absolute;left:675;top:1453;width:11;height:3" filled="true" fillcolor="#889ea9" stroked="false">
              <v:fill type="solid"/>
            </v:rect>
            <v:rect style="position:absolute;left:685;top:3841;width:11;height:11" filled="true" fillcolor="#889ea9" stroked="false">
              <v:fill type="solid"/>
            </v:rect>
            <v:rect style="position:absolute;left:544;top:1453;width:11;height:3" filled="true" fillcolor="#889ea9" stroked="false">
              <v:fill type="solid"/>
            </v:rect>
            <v:rect style="position:absolute;left:658;top:1453;width:17;height:3" filled="true" fillcolor="#889ea9" stroked="false">
              <v:fill type="solid"/>
            </v:rect>
            <v:rect style="position:absolute;left:554;top:1453;width:16;height:3" filled="true" fillcolor="#889ea9" stroked="false">
              <v:fill type="solid"/>
            </v:rect>
            <v:rect style="position:absolute;left:685;top:1453;width:11;height:3" filled="true" fillcolor="#889ea9" stroked="false">
              <v:fill type="solid"/>
            </v:rect>
            <v:shape style="position:absolute;left:547;top:2146;width:133;height:306" type="#_x0000_t75" stroked="false">
              <v:imagedata r:id="rId111" o:title=""/>
            </v:shape>
            <v:line style="position:absolute" from="614,1453" to="614,2175" stroked="true" strokeweight="4.436pt" strokecolor="#ffffff">
              <v:stroke dashstyle="solid"/>
            </v:line>
            <v:shape style="position:absolute;left:561;top:1426;width:105;height:757" coordorigin="562,1427" coordsize="105,757" path="m666,1427l562,1427,562,2183,666,2183,666,2175,570,2175,570,2167,578,2167,578,1443,570,1443,570,1435,666,1435,666,1427xm578,2167l570,2167,570,2175,578,2175,578,2167xm650,2167l578,2167,578,2175,650,2175,650,2167xm658,1435l650,1435,650,2175,658,2175,658,2167,666,2167,666,1443,658,1443,658,1435xm666,2167l658,2167,658,2175,666,2175,666,2167xm578,1435l570,1435,570,1443,578,1443,578,1435xm650,1435l578,1435,578,1443,650,1443,650,1435xm666,1435l658,1435,658,1443,666,1443,666,1435xe" filled="true" fillcolor="#000000" stroked="false">
              <v:path arrowok="t"/>
              <v:fill type="solid"/>
            </v:shape>
            <v:shape style="position:absolute;left:3443;top:1445;width:142;height:2407" type="#_x0000_t75" stroked="false">
              <v:imagedata r:id="rId112" o:title=""/>
            </v:shape>
            <v:line style="position:absolute" from="3433,3857" to="3595,3857" stroked="true" strokeweight=".5pt" strokecolor="#889ea9">
              <v:stroke dashstyle="solid"/>
            </v:line>
            <v:rect style="position:absolute;left:3433;top:3842;width:11;height:10" filled="true" fillcolor="#889ea9" stroked="false">
              <v:fill type="solid"/>
            </v:rect>
            <v:line style="position:absolute" from="3443,1456" to="3443,3842" stroked="true" strokeweight="1.008pt" strokecolor="#889ea9">
              <v:stroke dashstyle="solid"/>
            </v:line>
            <v:rect style="position:absolute;left:3433;top:1453;width:11;height:3" filled="true" fillcolor="#889ea9" stroked="false">
              <v:fill type="solid"/>
            </v:rect>
            <v:rect style="position:absolute;left:3443;top:3841;width:11;height:11" filled="true" fillcolor="#889ea9" stroked="false">
              <v:fill type="solid"/>
            </v:rect>
            <v:rect style="position:absolute;left:3453;top:3841;width:122;height:11" filled="true" fillcolor="#889ea9" stroked="false">
              <v:fill type="solid"/>
            </v:rect>
            <v:rect style="position:absolute;left:3574;top:3842;width:11;height:10" filled="true" fillcolor="#889ea9" stroked="false">
              <v:fill type="solid"/>
            </v:rect>
            <v:line style="position:absolute" from="3585,1456" to="3585,3842" stroked="true" strokeweight="1.009000pt" strokecolor="#889ea9">
              <v:stroke dashstyle="solid"/>
            </v:line>
            <v:rect style="position:absolute;left:3574;top:1453;width:11;height:3" filled="true" fillcolor="#889ea9" stroked="false">
              <v:fill type="solid"/>
            </v:rect>
            <v:rect style="position:absolute;left:3584;top:3841;width:11;height:11" filled="true" fillcolor="#889ea9" stroked="false">
              <v:fill type="solid"/>
            </v:rect>
            <v:rect style="position:absolute;left:3443;top:1453;width:11;height:3" filled="true" fillcolor="#889ea9" stroked="false">
              <v:fill type="solid"/>
            </v:rect>
            <v:rect style="position:absolute;left:3558;top:1453;width:17;height:3" filled="true" fillcolor="#889ea9" stroked="false">
              <v:fill type="solid"/>
            </v:rect>
            <v:rect style="position:absolute;left:3453;top:1453;width:17;height:3" filled="true" fillcolor="#889ea9" stroked="false">
              <v:fill type="solid"/>
            </v:rect>
            <v:rect style="position:absolute;left:3584;top:1453;width:11;height:3" filled="true" fillcolor="#889ea9" stroked="false">
              <v:fill type="solid"/>
            </v:rect>
            <v:shape style="position:absolute;left:3447;top:2146;width:133;height:306" type="#_x0000_t75" stroked="false">
              <v:imagedata r:id="rId113" o:title=""/>
            </v:shape>
            <v:line style="position:absolute" from="3514,1453" to="3514,2175" stroked="true" strokeweight="4.437pt" strokecolor="#ffffff">
              <v:stroke dashstyle="solid"/>
            </v:line>
            <v:shape style="position:absolute;left:3461;top:1426;width:105;height:757" coordorigin="3461,1427" coordsize="105,757" path="m3566,1427l3461,1427,3461,2183,3566,2183,3566,2175,3470,2175,3470,2167,3478,2167,3478,1443,3470,1443,3470,1435,3566,1435,3566,1427xm3478,2167l3470,2167,3470,2175,3478,2175,3478,2167xm3550,2167l3478,2167,3478,2175,3550,2175,3550,2167xm3558,1435l3550,1435,3550,2175,3558,2175,3558,2167,3566,2167,3566,1443,3558,1443,3558,1435xm3566,2167l3558,2167,3558,2175,3566,2175,3566,2167xm3478,1435l3470,1435,3470,1443,3478,1443,3478,1435xm3550,1435l3478,1435,3478,1443,3550,1443,3550,1435xm3566,1435l3558,1435,3558,1443,3566,1443,3566,1435xe" filled="true" fillcolor="#000000" stroked="false">
              <v:path arrowok="t"/>
              <v:fill type="solid"/>
            </v:shape>
            <v:shape style="position:absolute;left:940;top:2597;width:155;height:969" coordorigin="941,2597" coordsize="155,969" path="m958,2597l941,2607,980,2683,1012,2757,1036,2830,1054,2901,1066,2970,1073,3036,1075,3100,1070,3197,1057,3285,1039,3363,1018,3429,988,3504,961,3555,978,3566,1009,3506,1037,3436,1065,3343,1086,3230,1095,3100,1093,3035,1086,2967,1074,2897,1055,2825,1030,2750,998,2675,958,2597xe" filled="true" fillcolor="#98acd4" stroked="false">
              <v:path arrowok="t"/>
              <v:fill type="solid"/>
            </v:shape>
            <v:shape style="position:absolute;left:1621;top:2635;width:143;height:968" coordorigin="1621,2635" coordsize="143,968" path="m1639,2635l1621,2645,1662,2726,1694,2807,1717,2886,1733,2963,1741,3038,1744,3110,1739,3211,1725,3303,1706,3386,1684,3456,1662,3514,1633,3577,1624,3592,1642,3603,1690,3498,1716,3423,1740,3332,1757,3227,1764,3110,1762,3036,1753,2960,1737,2881,1713,2800,1681,2718,1639,2635xe" filled="true" fillcolor="#98acd4" stroked="false">
              <v:path arrowok="t"/>
              <v:fill type="solid"/>
            </v:shape>
            <v:shape style="position:absolute;left:2170;top:2609;width:153;height:963" coordorigin="2170,2609" coordsize="153,963" path="m2188,2609l2170,2618,2209,2705,2240,2788,2265,2868,2282,2943,2294,3015,2301,3083,2303,3147,2298,3240,2286,3323,2268,3394,2248,3453,2219,3518,2195,3560,2211,3572,2267,3460,2294,3377,2315,3272,2323,3147,2321,3082,2314,3013,2302,2939,2284,2862,2259,2782,2228,2697,2188,2609xe" filled="true" fillcolor="#98acd4" stroked="false">
              <v:path arrowok="t"/>
              <v:fill type="solid"/>
            </v:shape>
            <v:shape style="position:absolute;left:2574;top:2641;width:140;height:969" coordorigin="2574,2641" coordsize="140,969" path="m2597,2641l2579,2650,2618,2732,2647,2813,2669,2892,2683,2969,2691,3043,2694,3114,2689,3217,2675,3310,2656,3393,2634,3464,2612,3521,2582,3584,2574,3599,2591,3609,2640,3505,2666,3431,2690,3339,2707,3233,2714,3114,2711,3042,2703,2966,2688,2888,2666,2807,2636,2725,2597,2641xe" filled="true" fillcolor="#98acd4" stroked="false">
              <v:path arrowok="t"/>
              <v:fill type="solid"/>
            </v:shape>
            <v:shape style="position:absolute;left:1346;top:3066;width:200;height:138" type="#_x0000_t75" stroked="false">
              <v:imagedata r:id="rId114" o:title=""/>
            </v:shape>
            <v:shape style="position:absolute;left:1813;top:3033;width:95;height:67" coordorigin="1813,3034" coordsize="95,67" path="m1824,3035l1813,3035,1814,3043,1814,3101,1825,3101,1825,3058,1826,3057,1826,3055,1828,3050,1832,3046,1824,3046,1824,3035xm1862,3044l1850,3044,1855,3051,1855,3101,1866,3101,1866,3057,1867,3056,1867,3054,1869,3049,1871,3047,1864,3047,1862,3044xm1907,3044l1891,3044,1896,3051,1896,3101,1907,3101,1907,3044xm1894,3034l1879,3034,1875,3035,1869,3040,1866,3043,1864,3047,1871,3047,1875,3044,1907,3044,1907,3040,1894,3034xm1854,3034l1834,3034,1828,3040,1824,3046,1832,3046,1834,3044,1862,3044,1861,3039,1854,3034xe" filled="true" fillcolor="#000000" stroked="false">
              <v:path arrowok="t"/>
              <v:fill type="solid"/>
            </v:shape>
            <v:shape style="position:absolute;left:1924;top:3007;width:16;height:93" coordorigin="1925,3008" coordsize="16,93" path="m1938,3035l1926,3035,1926,3101,1938,3101,1938,3035xm1937,3008l1928,3008,1925,3011,1925,3020,1928,3023,1937,3023,1940,3020,1940,3011,1937,3008xe" filled="true" fillcolor="#000000" stroked="false">
              <v:path arrowok="t"/>
              <v:fill type="solid"/>
            </v:shape>
            <v:shape style="position:absolute;left:1953;top:3033;width:43;height:69" coordorigin="1954,3034" coordsize="43,69" path="m1956,3089l1954,3098,1958,3100,1965,3102,1987,3102,1996,3094,1996,3093,1966,3093,1960,3091,1956,3089xm1985,3034l1964,3034,1955,3042,1955,3061,1961,3067,1973,3072,1982,3075,1985,3078,1985,3089,1981,3093,1996,3093,1996,3073,1990,3067,1971,3060,1967,3057,1967,3047,1971,3043,1992,3043,1994,3038,1990,3036,1985,3034xm1992,3043l1984,3043,1989,3045,1991,3046,1992,3043xe" filled="true" fillcolor="#000000" stroked="false">
              <v:path arrowok="t"/>
              <v:fill type="solid"/>
            </v:shape>
            <v:shape style="position:absolute;left:2006;top:3033;width:52;height:69" coordorigin="2007,3034" coordsize="52,69" path="m2049,3034l2042,3034,2028,3036,2017,3044,2009,3055,2007,3069,2009,3082,2016,3093,2026,3100,2040,3102,2048,3102,2055,3100,2058,3098,2057,3093,2029,3093,2019,3083,2019,3055,2027,3043,2057,3043,2059,3037,2055,3036,2049,3034xm2056,3090l2053,3091,2048,3093,2057,3093,2056,3090xm2057,3043l2049,3043,2053,3045,2056,3046,2057,3043xe" filled="true" fillcolor="#000000" stroked="false">
              <v:path arrowok="t"/>
              <v:fill type="solid"/>
            </v:shape>
            <v:shape style="position:absolute;left:2070;top:3007;width:16;height:93" coordorigin="2071,3008" coordsize="16,93" path="m2084,3035l2072,3035,2072,3101,2084,3101,2084,3035xm2083,3008l2074,3008,2071,3011,2071,3020,2074,3023,2083,3023,2086,3020,2086,3011,2083,3008xe" filled="true" fillcolor="#000000" stroked="false">
              <v:path arrowok="t"/>
              <v:fill type="solid"/>
            </v:shape>
            <v:shape style="position:absolute;left:2103;top:3004;width:63;height:98" coordorigin="2103,3005" coordsize="63,98" path="m2122,3090l2115,3090,2120,3099,2127,3102,2137,3102,2147,3100,2157,3093,2157,3093,2126,3093,2122,3090xm2116,3005l2104,3005,2104,3096,2103,3101,2114,3101,2114,3090,2122,3090,2119,3087,2116,3079,2116,3075,2116,3061,2116,3059,2116,3058,2119,3049,2123,3046,2116,3046,2116,3005xm2158,3043l2147,3043,2154,3054,2154,3083,2147,3093,2157,3093,2163,3083,2166,3067,2164,3054,2158,3043xm2138,3034l2128,3034,2120,3038,2116,3046,2123,3046,2126,3043,2158,3043,2158,3043,2150,3036,2138,3034xe" filled="true" fillcolor="#000000" stroked="false">
              <v:path arrowok="t"/>
              <v:fill type="solid"/>
            </v:shape>
            <v:rect style="position:absolute;left:2180;top:3004;width:12;height:97" filled="true" fillcolor="#000000" stroked="false">
              <v:fill type="solid"/>
            </v:rect>
            <v:shape style="position:absolute;left:2207;top:3033;width:58;height:69" coordorigin="2208,3034" coordsize="58,69" path="m2239,3034l2226,3036,2216,3044,2210,3055,2208,3067,2208,3070,2210,3083,2216,3093,2226,3100,2240,3102,2250,3102,2258,3100,2262,3098,2261,3093,2230,3093,2220,3086,2219,3070,2265,3070,2265,3069,2266,3065,2265,3062,2219,3062,2220,3053,2226,3042,2258,3042,2252,3037,2239,3034xm2260,3090l2255,3091,2250,3093,2261,3093,2260,3090xm2265,3070l2219,3070,2265,3070,2265,3070xm2258,3042l2251,3042,2254,3053,2254,3062,2265,3062,2264,3055,2260,3045,2258,3042xe" filled="true" fillcolor="#000000" stroked="false">
              <v:path arrowok="t"/>
              <v:fill type="solid"/>
            </v:shape>
            <v:shape style="position:absolute;left:1902;top:3197;width:54;height:66" coordorigin="1902,3198" coordsize="54,66" path="m1955,3198l1905,3198,1905,3207,1940,3207,1940,3207,1937,3211,1935,3214,1932,3218,1902,3256,1902,3263,1955,3263,1955,3254,1917,3254,1917,3253,1920,3250,1923,3247,1955,3205,1955,3198xe" filled="true" fillcolor="#000000" stroked="false">
              <v:path arrowok="t"/>
              <v:fill type="solid"/>
            </v:shape>
            <v:shape style="position:absolute;left:1961;top:3196;width:64;height:69" coordorigin="1962,3196" coordsize="64,69" path="m1994,3196l1982,3198,1971,3205,1964,3216,1962,3231,1964,3245,1971,3255,1981,3262,1993,3265,1993,3265,2005,3263,2015,3256,2016,3256,1982,3256,1974,3245,1974,3218,1980,3205,2016,3205,2007,3199,1994,3196xm2016,3205l2008,3205,2013,3219,2013,3245,2005,3256,2016,3256,2023,3245,2026,3230,2023,3216,2017,3205,2016,3205xe" filled="true" fillcolor="#000000" stroked="false">
              <v:path arrowok="t"/>
              <v:fill type="solid"/>
            </v:shape>
            <v:shape style="position:absolute;left:2040;top:3196;width:57;height:67" coordorigin="2040,3196" coordsize="57,67" path="m2051,3198l2040,3198,2041,3203,2041,3263,2053,3263,2053,3222,2053,3219,2053,3218,2056,3211,2059,3208,2051,3208,2051,3198xm2096,3206l2081,3206,2085,3215,2085,3263,2096,3263,2096,3206xm2082,3196l2062,3196,2055,3202,2052,3208,2059,3208,2062,3206,2096,3206,2096,3202,2082,3196xe" filled="true" fillcolor="#000000" stroked="false">
              <v:path arrowok="t"/>
              <v:fill type="solid"/>
            </v:shape>
            <v:shape style="position:absolute;left:2111;top:3195;width:58;height:69" coordorigin="2111,3196" coordsize="58,69" path="m2142,3196l2129,3199,2119,3206,2113,3217,2111,3229,2111,3233,2113,3245,2120,3255,2130,3262,2143,3264,2154,3264,2161,3262,2165,3260,2164,3255,2133,3255,2123,3248,2123,3232,2168,3232,2169,3231,2169,3227,2168,3224,2123,3224,2124,3216,2129,3204,2161,3204,2155,3199,2142,3196xm2163,3252l2159,3254,2153,3255,2164,3255,2163,3252xm2168,3232l2123,3232,2168,3233,2168,3232xm2161,3204l2154,3204,2157,3216,2157,3224,2168,3224,2168,3217,2163,3207,2161,3204xe" filled="true" fillcolor="#000000" stroked="false">
              <v:path arrowok="t"/>
              <v:fill type="solid"/>
            </v:shape>
            <v:shape style="position:absolute;left:2406;top:3033;width:64;height:69" coordorigin="2407,3034" coordsize="64,69" path="m2439,3034l2427,3036,2416,3043,2409,3054,2407,3069,2409,3083,2416,3093,2426,3100,2438,3102,2438,3102,2450,3100,2460,3094,2461,3093,2427,3093,2419,3083,2419,3056,2425,3043,2461,3043,2452,3036,2439,3034xm2461,3043l2453,3043,2458,3057,2458,3083,2450,3093,2461,3093,2468,3083,2471,3067,2468,3054,2462,3043,2461,3043xe" filled="true" fillcolor="#000000" stroked="false">
              <v:path arrowok="t"/>
              <v:fill type="solid"/>
            </v:shape>
            <v:shape style="position:absolute;left:2483;top:3007;width:16;height:93" coordorigin="2484,3008" coordsize="16,93" path="m2498,3035l2486,3035,2486,3101,2498,3101,2498,3035xm2496,3008l2487,3008,2484,3011,2484,3020,2487,3023,2496,3023,2499,3020,2499,3011,2496,3008xe" filled="true" fillcolor="#000000" stroked="false">
              <v:path arrowok="t"/>
              <v:fill type="solid"/>
            </v:shape>
            <v:rect style="position:absolute;left:2517;top:3004;width:12;height:97" filled="true" fillcolor="#000000" stroked="false">
              <v:fill type="solid"/>
            </v:rect>
            <v:shape style="position:absolute;left:2339;top:3167;width:63;height:98" coordorigin="2339,3167" coordsize="63,98" path="m2358,3252l2351,3252,2356,3261,2363,3265,2373,3265,2383,3262,2393,3256,2393,3255,2362,3255,2358,3252xm2352,3167l2340,3167,2340,3259,2339,3263,2350,3263,2350,3252,2358,3252,2355,3249,2352,3241,2352,3237,2352,3223,2352,3222,2353,3220,2355,3211,2359,3208,2352,3208,2352,3167xm2394,3205l2383,3205,2390,3217,2390,3245,2383,3255,2393,3255,2399,3245,2402,3229,2400,3216,2394,3205xm2374,3196l2364,3196,2356,3201,2352,3208,2359,3208,2362,3205,2394,3205,2394,3205,2386,3199,2374,3196xe" filled="true" fillcolor="#000000" stroked="false">
              <v:path arrowok="t"/>
              <v:fill type="solid"/>
            </v:shape>
            <v:shape style="position:absolute;left:2411;top:3196;width:53;height:69" coordorigin="2412,3196" coordsize="53,69" path="m2461,3205l2450,3205,2451,3215,2451,3221,2434,3223,2422,3228,2414,3235,2412,3246,2412,3255,2418,3265,2441,3265,2448,3260,2451,3256,2429,3256,2424,3252,2424,3232,2438,3229,2463,3229,2463,3210,2461,3205xm2463,3255l2452,3255,2453,3263,2464,3263,2463,3259,2463,3255xm2463,3229l2438,3229,2451,3230,2451,3241,2451,3245,2449,3250,2443,3256,2451,3256,2452,3255,2463,3255,2463,3229xm2458,3196l2430,3196,2422,3198,2416,3202,2419,3210,2424,3207,2430,3205,2436,3205,2450,3205,2461,3205,2458,3196xe" filled="true" fillcolor="#000000" stroked="false">
              <v:path arrowok="t"/>
              <v:fill type="solid"/>
            </v:shape>
            <v:shape style="position:absolute;left:2481;top:3196;width:57;height:67" coordorigin="2482,3196" coordsize="57,67" path="m2492,3198l2482,3198,2482,3202,2482,3263,2494,3263,2494,3222,2494,3219,2495,3218,2497,3211,2500,3208,2493,3208,2492,3198xm2538,3206l2522,3206,2526,3215,2526,3263,2538,3263,2538,3206xm2524,3196l2504,3196,2496,3202,2493,3208,2500,3208,2503,3206,2538,3206,2538,3202,2524,3196xe" filled="true" fillcolor="#000000" stroked="false">
              <v:path arrowok="t"/>
              <v:fill type="solid"/>
            </v:shape>
            <v:shape style="position:absolute;left:2557;top:3167;width:55;height:97" coordorigin="2557,3167" coordsize="55,97" path="m2569,3167l2557,3167,2557,3263,2569,3263,2569,3238,2575,3232,2589,3232,2586,3228,2569,3228,2569,3167xm2589,3232l2575,3232,2598,3263,2612,3263,2589,3232xm2609,3198l2594,3198,2575,3220,2573,3222,2569,3228,2586,3228,2583,3225,2609,3198xe" filled="true" fillcolor="#000000" stroked="false">
              <v:path arrowok="t"/>
              <v:fill type="solid"/>
            </v:shape>
            <v:shape style="position:absolute;left:2751;top:2952;width:53;height:69" coordorigin="2752,2953" coordsize="53,69" path="m2801,2961l2789,2961,2791,2971,2791,2978,2774,2979,2762,2984,2754,2992,2752,3002,2752,3012,2758,3021,2781,3021,2788,3017,2791,3012,2769,3012,2764,3009,2764,2988,2778,2986,2803,2986,2803,2966,2801,2961xm2803,3011l2792,3011,2793,3020,2804,3020,2803,3015,2803,3011xm2803,2986l2778,2986,2791,2986,2791,2998,2791,3001,2789,3007,2783,3012,2791,3012,2792,3011,2803,3011,2803,2986xm2798,2953l2770,2953,2762,2955,2756,2958,2759,2966,2764,2963,2770,2961,2776,2961,2801,2961,2798,2953xe" filled="true" fillcolor="#000000" stroked="false">
              <v:path arrowok="t"/>
              <v:fill type="solid"/>
            </v:shape>
            <v:shape style="position:absolute;left:2817;top:2923;width:62;height:98" coordorigin="2817,2924" coordsize="62,98" path="m2857,2953l2847,2953,2835,2955,2826,2962,2820,2973,2817,2988,2819,3001,2825,3012,2834,3019,2845,3021,2856,3021,2864,3016,2866,3012,2836,3012,2829,3001,2829,2973,2837,2962,2866,2962,2863,2957,2857,2953xm2879,3008l2868,3008,2868,3020,2879,3020,2879,3016,2879,3008xm2866,2962l2858,2962,2864,2968,2866,2976,2867,2981,2866,2996,2864,3006,2857,3012,2866,3012,2868,3008,2879,3008,2879,2963,2866,2963,2866,2962xm2879,2924l2867,2924,2867,2963,2879,2963,2879,2924xe" filled="true" fillcolor="#000000" stroked="false">
              <v:path arrowok="t"/>
              <v:fill type="solid"/>
            </v:shape>
            <v:shape style="position:absolute;left:2893;top:2923;width:62;height:98" coordorigin="2894,2924" coordsize="62,98" path="m2933,2953l2923,2953,2912,2955,2902,2962,2896,2973,2894,2988,2896,3001,2902,3012,2911,3019,2922,3021,2932,3021,2940,3016,2942,3012,2912,3012,2906,3001,2906,2973,2913,2962,2942,2962,2940,2957,2933,2953xm2955,3008l2944,3008,2945,3020,2955,3020,2955,3016,2955,3008xm2942,2962l2934,2962,2941,2968,2942,2976,2943,2981,2943,2996,2940,3006,2933,3012,2942,3012,2944,3008,2955,3008,2955,2963,2943,2963,2942,2962xm2955,2924l2943,2924,2943,2963,2955,2963,2955,2924xe" filled="true" fillcolor="#000000" stroked="false">
              <v:path arrowok="t"/>
              <v:fill type="solid"/>
            </v:shape>
            <v:shape style="position:absolute;left:2972;top:2926;width:16;height:93" coordorigin="2973,2927" coordsize="16,93" path="m2986,2954l2975,2954,2975,3020,2986,3020,2986,2954xm2985,2927l2976,2927,2973,2930,2973,2939,2976,2942,2985,2942,2988,2939,2988,2930,2985,2927xe" filled="true" fillcolor="#000000" stroked="false">
              <v:path arrowok="t"/>
              <v:fill type="solid"/>
            </v:shape>
            <v:shape style="position:absolute;left:2998;top:2938;width:39;height:83" coordorigin="2999,2938" coordsize="39,83" path="m3021,2963l3009,2963,3009,3007,3010,3012,3016,3019,3021,3021,3031,3021,3035,3020,3037,3019,3036,3011,3023,3011,3021,3007,3021,2963xm3036,3010l3035,3011,3033,3011,3036,3011,3036,3010xm3038,2954l2999,2954,2999,2963,3038,2963,3038,2954xm3021,2938l3009,2942,3009,2954,3021,2954,3021,2938xe" filled="true" fillcolor="#000000" stroked="false">
              <v:path arrowok="t"/>
              <v:fill type="solid"/>
            </v:shape>
            <v:shape style="position:absolute;left:3049;top:2926;width:16;height:93" coordorigin="3049,2927" coordsize="16,93" path="m3063,2954l3051,2954,3051,3020,3063,3020,3063,2954xm3061,2927l3052,2927,3049,2930,3049,2939,3052,2942,3061,2942,3064,2939,3064,2930,3061,2927xe" filled="true" fillcolor="#000000" stroked="false">
              <v:path arrowok="t"/>
              <v:fill type="solid"/>
            </v:shape>
            <v:shape style="position:absolute;left:3077;top:2952;width:64;height:69" coordorigin="3078,2953" coordsize="64,69" path="m3110,2953l3098,2955,3087,2962,3080,2973,3078,2987,3080,3001,3087,3012,3097,3019,3109,3021,3109,3021,3121,3019,3131,3013,3132,3012,3098,3012,3090,3001,3090,2975,3096,2962,3133,2962,3123,2955,3110,2953xm3133,2962l3124,2962,3130,2976,3130,3001,3121,3012,3132,3012,3139,3002,3142,2986,3140,2973,3133,2962,3133,2962xe" filled="true" fillcolor="#000000" stroked="false">
              <v:path arrowok="t"/>
              <v:fill type="solid"/>
            </v:shape>
            <v:shape style="position:absolute;left:3156;top:2952;width:57;height:67" coordorigin="3156,2953" coordsize="57,67" path="m3167,2954l3156,2954,3157,2959,3157,3020,3169,3020,3169,2978,3169,2976,3172,2968,3175,2965,3168,2965,3167,2954xm3213,2962l3197,2962,3201,2971,3201,3020,3213,3020,3213,2962xm3199,2953l3179,2953,3171,2959,3168,2965,3175,2965,3178,2962,3213,2962,3213,2958,3199,2953xe" filled="true" fillcolor="#000000" stroked="false">
              <v:path arrowok="t"/>
              <v:fill type="solid"/>
            </v:shape>
            <v:shape style="position:absolute;left:3226;top:2952;width:53;height:69" coordorigin="3227,2953" coordsize="53,69" path="m3276,2961l3265,2961,3266,2971,3266,2978,3249,2979,3237,2984,3229,2992,3227,3002,3227,3012,3234,3021,3256,3021,3263,3017,3266,3012,3244,3012,3239,3009,3239,2988,3253,2986,3278,2986,3278,2966,3276,2961xm3278,3011l3267,3011,3268,3020,3279,3020,3278,3015,3278,3011xm3278,2986l3253,2986,3266,2986,3266,2998,3266,3001,3264,3007,3258,3012,3266,3012,3267,3011,3278,3011,3278,2986xm3273,2953l3245,2953,3237,2955,3231,2958,3234,2966,3239,2963,3245,2961,3251,2961,3276,2961,3273,2953xe" filled="true" fillcolor="#000000" stroked="false">
              <v:path arrowok="t"/>
              <v:fill type="solid"/>
            </v:shape>
            <v:rect style="position:absolute;left:3297;top:2923;width:12;height:97" filled="true" fillcolor="#000000" stroked="false">
              <v:fill type="solid"/>
            </v:rect>
            <v:shape style="position:absolute;left:2969;top:3114;width:64;height:69" coordorigin="2969,3115" coordsize="64,69" path="m3002,3115l2989,3117,2979,3124,2972,3135,2969,3150,2972,3164,2972,3164,2978,3174,2988,3181,3001,3183,3001,3183,3012,3181,3023,3175,3023,3174,2989,3174,2981,3164,2981,3137,2987,3124,3024,3124,3015,3117,3002,3115xm3024,3124l3015,3124,3021,3138,3021,3164,3012,3174,3023,3174,3030,3164,3033,3149,3031,3135,3025,3124,3024,3124xe" filled="true" fillcolor="#000000" stroked="false">
              <v:path arrowok="t"/>
              <v:fill type="solid"/>
            </v:shape>
            <v:shape style="position:absolute;left:3046;top:3089;width:16;height:93" coordorigin="3046,3089" coordsize="16,93" path="m3060,3116l3048,3116,3048,3182,3060,3182,3060,3116xm3059,3089l3050,3089,3046,3093,3046,3101,3049,3104,3059,3104,3062,3101,3062,3093,3059,3089xe" filled="true" fillcolor="#000000" stroked="false">
              <v:path arrowok="t"/>
              <v:fill type="solid"/>
            </v:shape>
            <v:rect style="position:absolute;left:3079;top:3085;width:12;height:97" filled="true" fillcolor="#000000" stroked="false">
              <v:fill type="solid"/>
            </v:rect>
            <v:shape style="position:absolute;left:2798;top:3277;width:33;height:67" coordorigin="2799,3277" coordsize="33,67" path="m2809,3279l2799,3279,2799,3283,2799,3344,2811,3344,2811,3305,2811,3304,2813,3295,2816,3292,2810,3292,2809,3279xm2828,3277l2820,3277,2813,3283,2810,3292,2816,3292,2819,3288,2831,3288,2831,3278,2828,3277xm2831,3288l2827,3288,2831,3289,2831,3288xe" filled="true" fillcolor="#000000" stroked="false">
              <v:path arrowok="t"/>
              <v:fill type="solid"/>
            </v:shape>
            <v:shape style="position:absolute;left:2837;top:3277;width:58;height:69" coordorigin="2838,3277" coordsize="58,69" path="m2869,3277l2856,3280,2846,3287,2840,3299,2838,3310,2838,3314,2840,3326,2846,3336,2856,3343,2870,3346,2880,3346,2888,3343,2892,3341,2890,3336,2860,3336,2849,3330,2849,3314,2895,3314,2895,3313,2895,3308,2895,3305,2849,3305,2850,3297,2855,3286,2887,3286,2882,3280,2869,3277xm2890,3333l2885,3335,2880,3336,2890,3336,2890,3333xm2895,3314l2849,3314,2895,3314,2895,3314xm2887,3286l2881,3286,2884,3297,2884,3305,2895,3305,2894,3298,2890,3288,2887,3286xe" filled="true" fillcolor="#000000" stroked="false">
              <v:path arrowok="t"/>
              <v:fill type="solid"/>
            </v:shape>
            <v:shape style="position:absolute;left:2905;top:3277;width:52;height:69" coordorigin="2905,3277" coordsize="52,69" path="m2948,3277l2941,3277,2926,3280,2915,3287,2908,3298,2905,3312,2908,3326,2914,3336,2925,3343,2938,3346,2947,3346,2954,3343,2957,3342,2955,3336,2927,3336,2917,3327,2917,3298,2926,3287,2955,3287,2957,3281,2954,3279,2948,3277xm2955,3333l2951,3334,2947,3336,2955,3336,2955,3333xm2955,3287l2947,3287,2952,3288,2954,3290,2955,3287xe" filled="true" fillcolor="#000000" stroked="false">
              <v:path arrowok="t"/>
              <v:fill type="solid"/>
            </v:shape>
            <v:shape style="position:absolute;left:2965;top:3277;width:64;height:69" coordorigin="2965,3277" coordsize="64,69" path="m2998,3277l2985,3280,2975,3286,2968,3297,2965,3312,2968,3326,2968,3326,2974,3337,2984,3343,2997,3346,2997,3346,3008,3344,3019,3337,3019,3337,2985,3337,2977,3326,2977,3299,2983,3286,3020,3286,3011,3280,2998,3277xm3020,3286l3011,3286,3017,3300,3017,3326,3008,3337,3019,3337,3026,3327,3029,3311,3027,3297,3020,3287,3020,3286xe" filled="true" fillcolor="#000000" stroked="false">
              <v:path arrowok="t"/>
              <v:fill type="solid"/>
            </v:shape>
            <v:shape style="position:absolute;left:3034;top:3278;width:62;height:66" coordorigin="3035,3279" coordsize="62,66" path="m3048,3279l3035,3279,3060,3344,3071,3344,3076,3332,3066,3332,3064,3327,3063,3322,3060,3315,3048,3279xm3097,3279l3084,3279,3072,3315,3068,3327,3066,3332,3076,3332,3097,3279xe" filled="true" fillcolor="#000000" stroked="false">
              <v:path arrowok="t"/>
              <v:fill type="solid"/>
            </v:shape>
            <v:shape style="position:absolute;left:3102;top:3277;width:58;height:69" coordorigin="3102,3277" coordsize="58,69" path="m3133,3277l3120,3280,3110,3287,3104,3299,3102,3310,3102,3314,3104,3326,3110,3336,3121,3343,3134,3346,3144,3346,3152,3343,3156,3341,3155,3336,3124,3336,3114,3330,3113,3314,3159,3314,3159,3313,3160,3308,3159,3305,3113,3305,3114,3297,3120,3286,3152,3286,3146,3280,3133,3277xm3154,3333l3149,3335,3144,3336,3155,3336,3154,3333xm3159,3314l3113,3314,3159,3314,3159,3314xm3152,3286l3145,3286,3148,3297,3148,3305,3159,3305,3158,3298,3154,3288,3152,3286xe" filled="true" fillcolor="#000000" stroked="false">
              <v:path arrowok="t"/>
              <v:fill type="solid"/>
            </v:shape>
            <v:shape style="position:absolute;left:3173;top:3277;width:33;height:67" coordorigin="3174,3277" coordsize="33,67" path="m3184,3279l3174,3279,3174,3283,3174,3344,3186,3344,3186,3305,3187,3304,3188,3295,3191,3292,3185,3292,3184,3279xm3204,3277l3196,3277,3188,3283,3185,3292,3191,3292,3194,3288,3207,3288,3207,3278,3204,3277xm3207,3288l3203,3288,3207,3289,3207,3288xe" filled="true" fillcolor="#000000" stroked="false">
              <v:path arrowok="t"/>
              <v:fill type="solid"/>
            </v:shape>
            <v:shape style="position:absolute;left:3213;top:3278;width:62;height:96" coordorigin="3213,3279" coordsize="62,96" path="m3226,3279l3213,3279,3237,3339,3238,3342,3237,3345,3234,3351,3230,3356,3227,3358,3224,3361,3220,3363,3217,3364,3220,3374,3223,3374,3228,3372,3234,3367,3240,3360,3245,3352,3251,3340,3255,3331,3245,3331,3244,3327,3242,3322,3240,3317,3226,3279xm3275,3279l3262,3279,3247,3322,3246,3327,3245,3331,3255,3331,3257,3325,3275,3279xe" filled="true" fillcolor="#000000" stroked="false">
              <v:path arrowok="t"/>
              <v:fill type="solid"/>
            </v:shape>
            <v:shape style="position:absolute;left:1630;top:2743;width:160;height:202" type="#_x0000_t75" stroked="false">
              <v:imagedata r:id="rId115" o:title=""/>
            </v:shape>
            <v:shape style="position:absolute;left:2598;top:2743;width:160;height:202" coordorigin="2599,2743" coordsize="160,202" path="m2666,2743l2666,2800,2599,2800,2599,2889,2666,2889,2666,2945,2759,2844,2666,2743xm2759,2844l2759,2844,2759,2845,2759,2844xe" filled="true" fillcolor="#b43938" stroked="false">
              <v:path arrowok="t"/>
              <v:fill type="solid"/>
            </v:shape>
            <v:shape style="position:absolute;left:612;top:2673;width:264;height:275" type="#_x0000_t75" stroked="false">
              <v:imagedata r:id="rId116" o:title=""/>
            </v:shape>
            <v:shape style="position:absolute;left:3328;top:2724;width:275;height:264" coordorigin="3329,2725" coordsize="275,264" path="m3547,2818l3457,2818,3457,2884,3442,2924,3424,2947,3390,2965,3329,2986,3422,2988,3475,2979,3510,2947,3547,2884,3547,2818xm3502,2725l3401,2818,3603,2818,3502,2725xm3502,2725l3502,2725,3502,2725,3502,2725xe" filled="true" fillcolor="#b43938" stroked="false">
              <v:path arrowok="t"/>
              <v:fill type="solid"/>
            </v:shape>
            <v:shape style="position:absolute;left:1630;top:3297;width:160;height:202" type="#_x0000_t75" stroked="false">
              <v:imagedata r:id="rId117" o:title=""/>
            </v:shape>
            <v:shape style="position:absolute;left:612;top:3227;width:264;height:275" type="#_x0000_t75" stroked="false">
              <v:imagedata r:id="rId118" o:title=""/>
            </v:shape>
            <v:shape style="position:absolute;left:2598;top:3297;width:160;height:202" type="#_x0000_t75" stroked="false">
              <v:imagedata r:id="rId119" o:title=""/>
            </v:shape>
            <v:shape style="position:absolute;left:3328;top:3278;width:275;height:264" type="#_x0000_t75" stroked="false">
              <v:imagedata r:id="rId120" o:title=""/>
            </v:shape>
            <v:shape style="position:absolute;left:2835;top:609;width:713;height:713" type="#_x0000_t75" stroked="false">
              <v:imagedata r:id="rId121" o:title=""/>
            </v:shape>
            <v:shape style="position:absolute;left:276;top:1290;width:142;height:121" type="#_x0000_t75" stroked="false">
              <v:imagedata r:id="rId122" o:title=""/>
            </v:shape>
            <v:rect style="position:absolute;left:471;top:1281;width:40;height:70" filled="true" fillcolor="#e4eaed" stroked="false">
              <v:fill type="solid"/>
            </v:rect>
            <v:shape style="position:absolute;left:466;top:1276;width:50;height:80" coordorigin="467,1277" coordsize="50,80" path="m516,1277l467,1277,467,1357,516,1357,516,1352,472,1352,472,1347,477,1347,477,1287,472,1287,472,1282,516,1282,516,1277xm477,1347l472,1347,472,1352,477,1352,477,1347xm506,1347l477,1347,477,1352,506,1352,506,1347xm511,1282l506,1282,506,1352,511,1352,511,1347,516,1347,516,1287,511,1287,511,1282xm516,1347l511,1347,511,1352,516,1352,516,1347xm477,1282l472,1282,472,1287,477,1287,477,1282xm506,1282l477,1282,477,1287,506,1287,506,1282xm516,1282l511,1282,511,1287,516,1287,516,1282xe" filled="true" fillcolor="#889ea9" stroked="false">
              <v:path arrowok="t"/>
              <v:fill type="solid"/>
            </v:shape>
            <v:rect style="position:absolute;left:484;top:1272;width:15;height:10" filled="true" fillcolor="#889ea9" stroked="false">
              <v:fill type="solid"/>
            </v:rect>
            <v:shape style="position:absolute;left:479;top:1267;width:25;height:20" coordorigin="480,1268" coordsize="25,20" path="m504,1268l480,1268,480,1287,504,1287,504,1282,485,1282,485,1273,504,1273,504,1268xm490,1273l485,1273,485,1282,490,1282,490,1273xm494,1273l490,1273,490,1282,494,1282,494,1273xm499,1273l494,1273,494,1282,499,1282,499,1273xm504,1273l499,1273,499,1282,504,1282,504,1273xe" filled="true" fillcolor="#889ea9" stroked="false">
              <v:path arrowok="t"/>
              <v:fill type="solid"/>
            </v:shape>
            <v:line style="position:absolute" from="3581,1315" to="3632,1315" stroked="true" strokeweight="2.02pt" strokecolor="#e4eaed">
              <v:stroke dashstyle="solid"/>
            </v:line>
            <v:line style="position:absolute" from="685,1315" to="3445,1315" stroked="true" strokeweight="2.02pt" strokecolor="#e4eaed">
              <v:stroke dashstyle="solid"/>
            </v:line>
            <v:line style="position:absolute" from="416,1315" to="548,1315" stroked="true" strokeweight="2.02pt" strokecolor="#e4eaed">
              <v:stroke dashstyle="solid"/>
            </v:line>
            <v:line style="position:absolute" from="3581,1338" to="3637,1338" stroked="true" strokeweight=".2pt" strokecolor="#889ea9">
              <v:stroke dashstyle="solid"/>
            </v:line>
            <v:line style="position:absolute" from="685,1338" to="3445,1338" stroked="true" strokeweight=".2pt" strokecolor="#889ea9">
              <v:stroke dashstyle="solid"/>
            </v:line>
            <v:line style="position:absolute" from="411,1338" to="548,1338" stroked="true" strokeweight=".2pt" strokecolor="#889ea9">
              <v:stroke dashstyle="solid"/>
            </v:line>
            <v:rect style="position:absolute;left:411;top:1330;width:5;height:6" filled="true" fillcolor="#889ea9" stroked="false">
              <v:fill type="solid"/>
            </v:rect>
            <v:rect style="position:absolute;left:411;top:1300;width:10;height:30" filled="true" fillcolor="#889ea9" stroked="false">
              <v:fill type="solid"/>
            </v:rect>
            <v:rect style="position:absolute;left:411;top:1294;width:5;height:6" filled="true" fillcolor="#889ea9" stroked="false">
              <v:fill type="solid"/>
            </v:rect>
            <v:line style="position:absolute" from="3581,1292" to="3637,1292" stroked="true" strokeweight=".2pt" strokecolor="#889ea9">
              <v:stroke dashstyle="solid"/>
            </v:line>
            <v:line style="position:absolute" from="685,1292" to="3445,1292" stroked="true" strokeweight=".2pt" strokecolor="#889ea9">
              <v:stroke dashstyle="solid"/>
            </v:line>
            <v:line style="position:absolute" from="411,1292" to="548,1292" stroked="true" strokeweight=".2pt" strokecolor="#889ea9">
              <v:stroke dashstyle="solid"/>
            </v:line>
            <v:rect style="position:absolute;left:416;top:1330;width:5;height:5" filled="true" fillcolor="#889ea9" stroked="false">
              <v:fill type="solid"/>
            </v:rect>
            <v:line style="position:absolute" from="3581,1333" to="3627,1333" stroked="true" strokeweight=".25pt" strokecolor="#889ea9">
              <v:stroke dashstyle="solid"/>
            </v:line>
            <v:line style="position:absolute" from="685,1333" to="3445,1333" stroked="true" strokeweight=".25pt" strokecolor="#889ea9">
              <v:stroke dashstyle="solid"/>
            </v:line>
            <v:line style="position:absolute" from="421,1333" to="548,1333" stroked="true" strokeweight=".25pt" strokecolor="#889ea9">
              <v:stroke dashstyle="solid"/>
            </v:line>
            <v:rect style="position:absolute;left:3626;top:1330;width:5;height:6" filled="true" fillcolor="#889ea9" stroked="false">
              <v:fill type="solid"/>
            </v:rect>
            <v:rect style="position:absolute;left:3626;top:1300;width:10;height:30" filled="true" fillcolor="#889ea9" stroked="false">
              <v:fill type="solid"/>
            </v:rect>
            <v:rect style="position:absolute;left:3626;top:1294;width:5;height:6" filled="true" fillcolor="#889ea9" stroked="false">
              <v:fill type="solid"/>
            </v:rect>
            <v:rect style="position:absolute;left:3631;top:1330;width:5;height:5" filled="true" fillcolor="#889ea9" stroked="false">
              <v:fill type="solid"/>
            </v:rect>
            <v:rect style="position:absolute;left:416;top:1295;width:5;height:5" filled="true" fillcolor="#889ea9" stroked="false">
              <v:fill type="solid"/>
            </v:rect>
            <v:line style="position:absolute" from="3581,1298" to="3627,1298" stroked="true" strokeweight=".25pt" strokecolor="#889ea9">
              <v:stroke dashstyle="solid"/>
            </v:line>
            <v:line style="position:absolute" from="685,1298" to="3445,1298" stroked="true" strokeweight=".25pt" strokecolor="#889ea9">
              <v:stroke dashstyle="solid"/>
            </v:line>
            <v:line style="position:absolute" from="421,1298" to="548,1298" stroked="true" strokeweight=".25pt" strokecolor="#889ea9">
              <v:stroke dashstyle="solid"/>
            </v:line>
            <v:rect style="position:absolute;left:3631;top:1295;width:5;height:5" filled="true" fillcolor="#889ea9" stroked="false">
              <v:fill type="solid"/>
            </v:rect>
            <v:rect style="position:absolute;left:413;top:1284;width:14;height:65" filled="true" fillcolor="#e4eaed" stroked="false">
              <v:fill type="solid"/>
            </v:rect>
            <v:shape style="position:absolute;left:408;top:1279;width:24;height:75" coordorigin="408,1280" coordsize="24,75" path="m431,1280l408,1280,408,1355,431,1355,431,1350,413,1350,413,1345,418,1345,418,1290,413,1290,413,1285,431,1285,431,1280xm418,1345l413,1345,413,1350,418,1350,418,1345xm421,1345l418,1345,418,1350,421,1350,421,1345xm426,1285l421,1285,421,1350,426,1350,426,1345,431,1345,431,1290,426,1290,426,1285xm431,1345l426,1345,426,1350,431,1350,431,1345xm418,1285l413,1285,413,1290,418,1290,418,1285xm421,1285l418,1285,418,1290,421,1290,421,1285xm431,1285l426,1285,426,1290,431,1290,431,1285xe" filled="true" fillcolor="#889ea9" stroked="false">
              <v:path arrowok="t"/>
              <v:fill type="solid"/>
            </v:shape>
            <v:rect style="position:absolute;left:186;top:1375;width:85;height:30" filled="true" fillcolor="#e4eaed" stroked="false">
              <v:fill type="solid"/>
            </v:rect>
            <v:shape style="position:absolute;left:181;top:1370;width:95;height:40" coordorigin="182,1371" coordsize="95,40" path="m277,1371l182,1371,182,1410,277,1410,277,1405,187,1405,187,1400,192,1400,192,1381,187,1381,187,1376,277,1376,277,1371xm192,1400l187,1400,187,1405,192,1405,192,1400xm267,1400l192,1400,192,1405,267,1405,267,1400xm272,1376l267,1376,267,1405,272,1405,272,1400,277,1400,277,1381,272,1381,272,1376xm277,1400l272,1400,272,1405,277,1405,277,1400xm192,1376l187,1376,187,1381,192,1381,192,1376xm267,1376l192,1376,192,1381,267,1381,267,1376xm277,1376l272,1376,272,1381,277,1381,277,1376xe" filled="true" fillcolor="#889ea9" stroked="false">
              <v:path arrowok="t"/>
              <v:fill type="solid"/>
            </v:shape>
            <v:rect style="position:absolute;left:268;top:1358;width:14;height:65" filled="true" fillcolor="#e4eaed" stroked="false">
              <v:fill type="solid"/>
            </v:rect>
            <v:shape style="position:absolute;left:263;top:1353;width:24;height:75" coordorigin="264,1353" coordsize="24,75" path="m287,1353l264,1353,264,1428,287,1428,287,1423,269,1423,269,1418,274,1418,274,1363,269,1363,269,1358,287,1358,287,1353xm274,1418l269,1418,269,1423,274,1423,274,1418xm277,1418l274,1418,274,1423,277,1423,277,1418xm282,1358l277,1358,277,1423,282,1423,282,1418,287,1418,287,1363,282,1363,282,1358xm287,1418l282,1418,282,1423,287,1423,287,1418xm274,1358l269,1358,269,1363,274,1363,274,1358xm277,1358l274,1358,274,1363,277,1363,277,1358xm287,1358l282,1358,282,1363,287,1363,287,1358xe" filled="true" fillcolor="#889ea9" stroked="false">
              <v:path arrowok="t"/>
              <v:fill type="solid"/>
            </v:shape>
            <v:shape style="position:absolute;left:463;top:1257;width:59;height:14" coordorigin="464,1257" coordsize="59,14" path="m519,1257l467,1257,464,1260,464,1268,467,1271,519,1271,523,1268,523,1260,519,1257xe" filled="true" fillcolor="#e4eaed" stroked="false">
              <v:path arrowok="t"/>
              <v:fill type="solid"/>
            </v:shape>
            <v:shape style="position:absolute;left:460;top:1254;width:65;height:20" coordorigin="461,1254" coordsize="65,20" path="m521,1254l465,1254,461,1259,461,1270,465,1274,471,1274,471,1268,468,1268,467,1266,467,1262,468,1260,526,1260,526,1259,521,1254xm526,1260l518,1260,520,1262,520,1266,518,1268,471,1268,471,1274,521,1274,526,1270,526,1260xe" filled="true" fillcolor="#889ea9" stroked="false">
              <v:path arrowok="t"/>
              <v:fill type="solid"/>
            </v:shape>
            <v:rect style="position:absolute;left:595;top:1094;width:39;height:124" filled="true" fillcolor="#e4eaed" stroked="false">
              <v:fill type="solid"/>
            </v:rect>
            <v:line style="position:absolute" from="10,1074" to="634,1074" stroked="true" strokeweight="2pt" strokecolor="#e4eaed">
              <v:stroke dashstyle="solid"/>
            </v:line>
            <v:rect style="position:absolute;left:590;top:1218;width:49;height:6" filled="true" fillcolor="#889ea9" stroked="false">
              <v:fill type="solid"/>
            </v:rect>
            <v:rect style="position:absolute;left:590;top:1214;width:5;height:4" filled="true" fillcolor="#889ea9" stroked="false">
              <v:fill type="solid"/>
            </v:rect>
            <v:rect style="position:absolute;left:590;top:1100;width:10;height:114" filled="true" fillcolor="#889ea9" stroked="false">
              <v:fill type="solid"/>
            </v:rect>
            <v:rect style="position:absolute;left:590;top:1094;width:5;height:6" filled="true" fillcolor="#889ea9" stroked="false">
              <v:fill type="solid"/>
            </v:rect>
            <v:rect style="position:absolute;left:595;top:1214;width:6;height:5" filled="true" fillcolor="#889ea9" stroked="false">
              <v:fill type="solid"/>
            </v:rect>
            <v:rect style="position:absolute;left:600;top:1214;width:29;height:5" filled="true" fillcolor="#889ea9" stroked="false">
              <v:fill type="solid"/>
            </v:rect>
            <v:rect style="position:absolute;left:628;top:1214;width:5;height:4" filled="true" fillcolor="#889ea9" stroked="false">
              <v:fill type="solid"/>
            </v:rect>
            <v:line style="position:absolute" from="634,1060" to="634,1214" stroked="true" strokeweight=".5pt" strokecolor="#889ea9">
              <v:stroke dashstyle="solid"/>
            </v:line>
            <v:rect style="position:absolute;left:628;top:1054;width:5;height:6" filled="true" fillcolor="#889ea9" stroked="false">
              <v:fill type="solid"/>
            </v:rect>
            <v:rect style="position:absolute;left:633;top:1214;width:5;height:5" filled="true" fillcolor="#889ea9" stroked="false">
              <v:fill type="solid"/>
            </v:rect>
            <v:line style="position:absolute" from="5,1097" to="590,1097" stroked="true" strokeweight=".3pt" strokecolor="#889ea9">
              <v:stroke dashstyle="solid"/>
            </v:line>
            <v:rect style="position:absolute;left:5;top:1090;width:5;height:4" filled="true" fillcolor="#889ea9" stroked="false">
              <v:fill type="solid"/>
            </v:rect>
            <v:rect style="position:absolute;left:5;top:1060;width:10;height:30" filled="true" fillcolor="#889ea9" stroked="false">
              <v:fill type="solid"/>
            </v:rect>
            <v:rect style="position:absolute;left:5;top:1054;width:5;height:6" filled="true" fillcolor="#889ea9" stroked="false">
              <v:fill type="solid"/>
            </v:rect>
            <v:line style="position:absolute" from="5,1052" to="639,1052" stroked="true" strokeweight=".2pt" strokecolor="#889ea9">
              <v:stroke dashstyle="solid"/>
            </v:line>
            <v:rect style="position:absolute;left:595;top:1094;width:6;height:6" filled="true" fillcolor="#889ea9" stroked="false">
              <v:fill type="solid"/>
            </v:rect>
            <v:line style="position:absolute" from="15,1092" to="600,1092" stroked="true" strokeweight=".2pt" strokecolor="#889ea9">
              <v:stroke dashstyle="solid"/>
            </v:line>
            <v:rect style="position:absolute;left:10;top:1089;width:5;height:5" filled="true" fillcolor="#889ea9" stroked="false">
              <v:fill type="solid"/>
            </v:rect>
            <v:rect style="position:absolute;left:10;top:1054;width:5;height:5" filled="true" fillcolor="#889ea9" stroked="false">
              <v:fill type="solid"/>
            </v:rect>
            <v:line style="position:absolute" from="15,1057" to="629,1057" stroked="true" strokeweight=".25pt" strokecolor="#889ea9">
              <v:stroke dashstyle="solid"/>
            </v:line>
            <v:rect style="position:absolute;left:633;top:1054;width:5;height:5" filled="true" fillcolor="#889ea9" stroked="false">
              <v:fill type="solid"/>
            </v:rect>
            <v:rect style="position:absolute;left:3493;top:1104;width:39;height:113" filled="true" fillcolor="#e4eaed" stroked="false">
              <v:fill type="solid"/>
            </v:rect>
            <v:shape style="position:absolute;left:3488;top:1099;width:49;height:123" coordorigin="3488,1099" coordsize="49,123" path="m3537,1099l3488,1099,3488,1222,3537,1222,3537,1217,3493,1217,3493,1212,3498,1212,3498,1109,3493,1109,3493,1104,3537,1104,3537,1099xm3498,1212l3493,1212,3493,1217,3498,1217,3498,1212xm3527,1212l3498,1212,3498,1217,3527,1217,3527,1212xm3532,1104l3527,1104,3527,1217,3532,1217,3532,1212,3537,1212,3537,1109,3532,1109,3532,1104xm3537,1212l3532,1212,3532,1217,3537,1217,3537,1212xm3498,1104l3493,1104,3493,1109,3498,1109,3498,1104xm3527,1104l3498,1104,3498,1109,3527,1109,3527,1104xm3537,1104l3532,1104,3532,1109,3537,1109,3537,1104xe" filled="true" fillcolor="#889ea9" stroked="false">
              <v:path arrowok="t"/>
              <v:fill type="solid"/>
            </v:shape>
            <v:shape style="position:absolute;left:516;top:1197;width:200;height:261" type="#_x0000_t75" stroked="false">
              <v:imagedata r:id="rId123" o:title=""/>
            </v:shape>
            <v:rect style="position:absolute;left:3466;top:1344;width:94;height:27" filled="true" fillcolor="#008ac9" stroked="false">
              <v:fill type="solid"/>
            </v:rect>
            <v:line style="position:absolute" from="3445,1301" to="3581,1301" stroked="true" strokeweight="4.356pt" strokecolor="#008ac9">
              <v:stroke dashstyle="solid"/>
            </v:line>
            <v:rect style="position:absolute;left:3477;top:1202;width:72;height:55" filled="true" fillcolor="#008ac9" stroked="false">
              <v:fill type="solid"/>
            </v:rect>
            <v:shape style="position:absolute;left:3439;top:1197;width:147;height:207" coordorigin="3440,1198" coordsize="147,207" path="m3466,1345l3461,1345,3461,1404,3565,1404,3565,1399,3466,1399,3466,1394,3471,1394,3471,1350,3466,1350,3466,1345xm3471,1394l3466,1394,3466,1399,3471,1399,3471,1394xm3555,1394l3471,1394,3471,1399,3555,1399,3555,1394xm3576,1340l3555,1340,3555,1399,3560,1399,3560,1394,3565,1394,3565,1350,3560,1350,3560,1345,3576,1345,3576,1340xm3565,1394l3560,1394,3560,1399,3565,1399,3565,1394xm3472,1252l3440,1252,3440,1350,3461,1350,3461,1345,3445,1345,3445,1340,3450,1340,3450,1262,3445,1262,3445,1257,3472,1257,3472,1252xm3471,1340l3450,1340,3450,1345,3466,1345,3466,1350,3471,1350,3471,1340xm3565,1345l3560,1345,3560,1350,3565,1350,3565,1345xm3586,1340l3581,1340,3581,1345,3565,1345,3565,1350,3586,1350,3586,1340xm3450,1340l3445,1340,3445,1345,3450,1345,3450,1340xm3581,1252l3554,1252,3554,1257,3576,1257,3576,1345,3581,1345,3581,1340,3586,1340,3586,1262,3581,1262,3581,1252xm3450,1257l3445,1257,3445,1262,3450,1262,3450,1257xm3482,1252l3477,1252,3477,1257,3450,1257,3450,1262,3482,1262,3482,1252xm3549,1203l3544,1203,3544,1262,3576,1262,3576,1257,3549,1257,3549,1252,3554,1252,3554,1208,3549,1208,3549,1203xm3586,1252l3581,1252,3581,1262,3586,1262,3586,1252xm3554,1198l3472,1198,3472,1257,3477,1257,3477,1252,3482,1252,3482,1208,3477,1208,3477,1203,3554,1203,3554,1198xm3554,1252l3549,1252,3549,1257,3554,1257,3554,1252xm3482,1203l3477,1203,3477,1208,3482,1208,3482,1203xm3544,1203l3482,1203,3482,1208,3544,1208,3544,1203xm3554,1203l3549,1203,3549,1208,3554,1208,3554,1203xe" filled="true" fillcolor="#000000" stroked="false">
              <v:path arrowok="t"/>
              <v:fill type="solid"/>
            </v:shape>
            <v:line style="position:absolute" from="3418,1412" to="3608,1412" stroked="true" strokeweight="4.128pt" strokecolor="#008ac9">
              <v:stroke dashstyle="solid"/>
            </v:line>
            <v:line style="position:absolute" from="3413,1456" to="3613,1456" stroked="true" strokeweight=".2pt" strokecolor="#000000">
              <v:stroke dashstyle="solid"/>
            </v:line>
            <v:rect style="position:absolute;left:3413;top:1448;width:5;height:6" filled="true" fillcolor="#000000" stroked="false">
              <v:fill type="solid"/>
            </v:rect>
            <v:rect style="position:absolute;left:3413;top:1376;width:10;height:72" filled="true" fillcolor="#000000" stroked="false">
              <v:fill type="solid"/>
            </v:rect>
            <v:rect style="position:absolute;left:3413;top:1370;width:5;height:6" filled="true" fillcolor="#000000" stroked="false">
              <v:fill type="solid"/>
            </v:rect>
            <v:line style="position:absolute" from="3413,1368" to="3613,1368" stroked="true" strokeweight=".2pt" strokecolor="#000000">
              <v:stroke dashstyle="solid"/>
            </v:line>
            <v:rect style="position:absolute;left:3418;top:1448;width:5;height:5" filled="true" fillcolor="#000000" stroked="false">
              <v:fill type="solid"/>
            </v:rect>
            <v:line style="position:absolute" from="3423,1451" to="3603,1451" stroked="true" strokeweight=".25pt" strokecolor="#000000">
              <v:stroke dashstyle="solid"/>
            </v:line>
            <v:rect style="position:absolute;left:3603;top:1448;width:6;height:6" filled="true" fillcolor="#000000" stroked="false">
              <v:fill type="solid"/>
            </v:rect>
            <v:rect style="position:absolute;left:3603;top:1376;width:11;height:72" filled="true" fillcolor="#000000" stroked="false">
              <v:fill type="solid"/>
            </v:rect>
            <v:rect style="position:absolute;left:3603;top:1370;width:6;height:6" filled="true" fillcolor="#000000" stroked="false">
              <v:fill type="solid"/>
            </v:rect>
            <v:rect style="position:absolute;left:3608;top:1448;width:5;height:5" filled="true" fillcolor="#000000" stroked="false">
              <v:fill type="solid"/>
            </v:rect>
            <v:rect style="position:absolute;left:3418;top:1370;width:5;height:5" filled="true" fillcolor="#000000" stroked="false">
              <v:fill type="solid"/>
            </v:rect>
            <v:line style="position:absolute" from="3423,1373" to="3603,1373" stroked="true" strokeweight=".25pt" strokecolor="#000000">
              <v:stroke dashstyle="solid"/>
            </v:line>
            <v:rect style="position:absolute;left:3608;top:1370;width:5;height:5" filled="true" fillcolor="#000000" stroked="false">
              <v:fill type="solid"/>
            </v:rect>
            <v:shape style="position:absolute;left:3475;top:1268;width:76;height:76" coordorigin="3475,1268" coordsize="76,76" path="m3513,1268l3498,1271,3486,1279,3478,1291,3475,1306,3478,1321,3486,1333,3498,1341,3513,1344,3528,1341,3540,1333,3548,1321,3551,1306,3548,1291,3540,1279,3528,1271,3513,1268xe" filled="true" fillcolor="#ffffff" stroked="false">
              <v:path arrowok="t"/>
              <v:fill type="solid"/>
            </v:shape>
            <v:shape style="position:absolute;left:3470;top:1263;width:86;height:86" coordorigin="3470,1263" coordsize="86,86" path="m3513,1263l3496,1267,3483,1276,3474,1289,3470,1306,3474,1323,3483,1336,3496,1346,3513,1349,3530,1346,3540,1339,3513,1339,3500,1336,3490,1329,3483,1319,3480,1306,3483,1293,3490,1283,3500,1276,3513,1273,3540,1273,3530,1267,3513,1263xm3540,1273l3513,1273,3526,1276,3536,1283,3543,1293,3546,1306,3543,1319,3536,1329,3526,1336,3513,1339,3540,1339,3543,1336,3553,1323,3556,1306,3553,1289,3543,1276,3540,1273xe" filled="true" fillcolor="#000000" stroked="false">
              <v:path arrowok="t"/>
              <v:fill type="solid"/>
            </v:shape>
            <v:shape style="position:absolute;left:3458;top:1386;width:109;height:55" coordorigin="3459,1387" coordsize="109,55" path="m3558,1387l3468,1387,3459,1399,3459,1429,3468,1442,3558,1442,3568,1429,3568,1399,3558,1387xe" filled="true" fillcolor="#ffffff" stroked="false">
              <v:path arrowok="t"/>
              <v:fill type="solid"/>
            </v:shape>
            <v:shape style="position:absolute;left:3453;top:1381;width:119;height:66" coordorigin="3454,1382" coordsize="119,66" path="m3554,1382l3472,1382,3465,1386,3456,1398,3454,1405,3454,1423,3456,1431,3465,1442,3472,1447,3479,1447,3479,1437,3475,1437,3472,1435,3466,1427,3464,1421,3464,1407,3466,1402,3472,1394,3475,1392,3565,1392,3561,1386,3554,1382xm3565,1392l3551,1392,3554,1394,3561,1402,3563,1407,3563,1421,3561,1427,3554,1435,3551,1437,3479,1437,3479,1447,3554,1447,3561,1442,3570,1431,3573,1423,3573,1405,3570,1398,3565,1392xe" filled="true" fillcolor="#000000" stroked="false">
              <v:path arrowok="t"/>
              <v:fill type="solid"/>
            </v:shape>
            <v:shape style="position:absolute;left:3458;top:1414;width:109;height:2" coordorigin="3459,1414" coordsize="109,0" path="m3459,1414l3568,1414e" filled="true" fillcolor="#ffffff" stroked="false">
              <v:path arrowok="t"/>
              <v:fill type="solid"/>
            </v:shape>
            <v:rect style="position:absolute;left:3458;top:1404;width:109;height:21" filled="true" fillcolor="#000000" stroked="false">
              <v:fill type="solid"/>
            </v:rect>
            <v:line style="position:absolute" from="4191,1090" to="4424,1090" stroked="true" strokeweight="3.28pt" strokecolor="#dedbe1">
              <v:stroke dashstyle="solid"/>
            </v:line>
            <v:rect style="position:absolute;left:4186;top:1062;width:10;height:61" filled="true" fillcolor="#958e9c" stroked="false">
              <v:fill type="solid"/>
            </v:rect>
            <v:rect style="position:absolute;left:4186;top:1056;width:5;height:6" filled="true" fillcolor="#958e9c" stroked="false">
              <v:fill type="solid"/>
            </v:rect>
            <v:line style="position:absolute" from="4187,1054" to="4429,1054" stroked="true" strokeweight=".2pt" strokecolor="#958e9c">
              <v:stroke dashstyle="solid"/>
            </v:line>
            <v:rect style="position:absolute;left:4418;top:1062;width:10;height:61" filled="true" fillcolor="#958e9c" stroked="false">
              <v:fill type="solid"/>
            </v:rect>
            <v:rect style="position:absolute;left:4418;top:1056;width:5;height:6" filled="true" fillcolor="#958e9c" stroked="false">
              <v:fill type="solid"/>
            </v:rect>
            <v:rect style="position:absolute;left:4191;top:1056;width:5;height:5" filled="true" fillcolor="#958e9c" stroked="false">
              <v:fill type="solid"/>
            </v:rect>
            <v:line style="position:absolute" from="4196,1059" to="4419,1059" stroked="true" strokeweight=".25pt" strokecolor="#958e9c">
              <v:stroke dashstyle="solid"/>
            </v:line>
            <v:rect style="position:absolute;left:4423;top:1056;width:5;height:5" filled="true" fillcolor="#958e9c" stroked="false">
              <v:fill type="solid"/>
            </v:rect>
            <v:shape style="position:absolute;left:4055;top:685;width:276;height:482" coordorigin="4055,686" coordsize="276,482" path="m4254,686l4113,998,4081,1013,4055,1096,4069,1143,4096,1163,4110,1167,4149,1095,4260,1095,4153,1040,4303,702,4254,686xm4260,1095l4149,1095,4209,1133,4331,1132,4260,1095xe" filled="true" fillcolor="#dedbe1" stroked="false">
              <v:path arrowok="t"/>
              <v:fill type="solid"/>
            </v:shape>
            <v:shape style="position:absolute;left:4050;top:679;width:284;height:494" coordorigin="4050,680" coordsize="284,494" path="m4109,994l4077,1009,4076,1010,4064,1037,4056,1060,4052,1081,4051,1095,4050,1100,4053,1120,4060,1138,4069,1151,4080,1160,4095,1170,4113,1173,4116,1167,4110,1167,4106,1165,4108,1162,4104,1161,4092,1157,4081,1148,4073,1140,4067,1129,4062,1116,4060,1100,4061,1095,4062,1082,4066,1063,4074,1040,4084,1017,4083,1017,4081,1013,4093,1013,4116,1002,4118,998,4113,998,4108,996,4109,994xm4108,1162l4106,1165,4110,1167,4111,1162,4109,1162,4108,1162xm4147,1088l4108,1162,4109,1162,4111,1162,4110,1167,4116,1167,4150,1102,4146,1100,4149,1095,4158,1095,4147,1088xm4158,1095l4149,1095,4153,1098,4150,1102,4207,1138,4331,1137,4331,1136,4329,1136,4322,1133,4209,1133,4209,1128,4210,1128,4158,1095xm4331,1127l4311,1127,4329,1136,4331,1132,4331,1127xm4332,1127l4331,1127,4331,1132,4329,1136,4331,1136,4333,1127,4332,1127xm4210,1128l4209,1128,4209,1133,4211,1128,4210,1128xm4311,1127l4210,1128,4211,1128,4209,1133,4322,1133,4311,1127xm4297,705l4147,1043,4311,1127,4332,1127,4168,1042,4158,1042,4153,1040,4156,1036,4161,1036,4307,707,4302,707,4297,705xm4149,1095l4146,1100,4150,1102,4153,1098,4149,1095xm4156,1036l4153,1040,4158,1042,4160,1038,4156,1036xm4160,1038l4158,1042,4168,1042,4160,1038xm4161,1036l4156,1036,4160,1038,4161,1036xm4081,1013l4083,1017,4084,1016,4085,1015,4081,1013xm4084,1016l4083,1017,4084,1017,4084,1016xm4093,1013l4081,1013,4085,1015,4084,1016,4093,1013xm4110,993l4109,994,4108,996,4113,998,4110,993xm4120,993l4110,993,4113,998,4118,998,4120,993xm4249,684l4109,994,4110,993,4120,993,4257,692,4252,691,4254,686,4249,684xm4299,700l4297,705,4302,707,4303,702,4299,700xm4310,700l4299,700,4303,702,4302,707,4307,707,4310,700xm4251,680l4249,684,4259,688,4257,692,4297,705,4299,700,4310,700,4310,699,4251,680xm4254,686l4252,691,4257,692,4259,688,4254,686xe" filled="true" fillcolor="#958e9c" stroked="false">
              <v:path arrowok="t"/>
              <v:fill type="solid"/>
            </v:shape>
            <v:rect style="position:absolute;left:4155;top:1122;width:305;height:180" filled="true" fillcolor="#dedbe1" stroked="false">
              <v:fill type="solid"/>
            </v:rect>
            <v:line style="position:absolute" from="4155,1128" to="4155,1302" stroked="true" strokeweight=".501pt" strokecolor="#958e9c">
              <v:stroke dashstyle="solid"/>
            </v:line>
            <v:rect style="position:absolute;left:4150;top:1122;width:6;height:6" filled="true" fillcolor="#958e9c" stroked="false">
              <v:fill type="solid"/>
            </v:rect>
            <v:line style="position:absolute" from="4150,1120" to="4465,1120" stroked="true" strokeweight=".2pt" strokecolor="#958e9c">
              <v:stroke dashstyle="solid"/>
            </v:line>
            <v:line style="position:absolute" from="4460,1128" to="4460,1302" stroked="true" strokeweight=".5pt" strokecolor="#958e9c">
              <v:stroke dashstyle="solid"/>
            </v:line>
            <v:rect style="position:absolute;left:4455;top:1122;width:5;height:6" filled="true" fillcolor="#958e9c" stroked="false">
              <v:fill type="solid"/>
            </v:rect>
            <v:rect style="position:absolute;left:4155;top:1122;width:5;height:5" filled="true" fillcolor="#958e9c" stroked="false">
              <v:fill type="solid"/>
            </v:rect>
            <v:line style="position:absolute" from="4160,1125" to="4455,1125" stroked="true" strokeweight=".25pt" strokecolor="#958e9c">
              <v:stroke dashstyle="solid"/>
            </v:line>
            <v:rect style="position:absolute;left:4460;top:1122;width:5;height:5" filled="true" fillcolor="#958e9c" stroked="false">
              <v:fill type="solid"/>
            </v:rect>
            <v:rect style="position:absolute;left:3794;top:1302;width:1025;height:156" filled="true" fillcolor="#dedbe1" stroked="false">
              <v:fill type="solid"/>
            </v:rect>
            <v:line style="position:absolute" from="3790,1460" to="4825,1460" stroked="true" strokeweight=".2pt" strokecolor="#958e9c">
              <v:stroke dashstyle="solid"/>
            </v:line>
            <v:rect style="position:absolute;left:3789;top:1452;width:5;height:6" filled="true" fillcolor="#958e9c" stroked="false">
              <v:fill type="solid"/>
            </v:rect>
            <v:line style="position:absolute" from="3795,1308" to="3795,1452" stroked="true" strokeweight=".5pt" strokecolor="#958e9c">
              <v:stroke dashstyle="solid"/>
            </v:line>
            <v:rect style="position:absolute;left:3789;top:1302;width:5;height:6" filled="true" fillcolor="#958e9c" stroked="false">
              <v:fill type="solid"/>
            </v:rect>
            <v:line style="position:absolute" from="3790,1300" to="4825,1300" stroked="true" strokeweight=".2pt" strokecolor="#958e9c">
              <v:stroke dashstyle="solid"/>
            </v:line>
            <v:rect style="position:absolute;left:3794;top:1452;width:5;height:5" filled="true" fillcolor="#958e9c" stroked="false">
              <v:fill type="solid"/>
            </v:rect>
            <v:line style="position:absolute" from="3800,1455" to="4815,1455" stroked="true" strokeweight=".25pt" strokecolor="#958e9c">
              <v:stroke dashstyle="solid"/>
            </v:line>
            <v:rect style="position:absolute;left:4814;top:1452;width:5;height:6" filled="true" fillcolor="#958e9c" stroked="false">
              <v:fill type="solid"/>
            </v:rect>
            <v:line style="position:absolute" from="4820,1308" to="4820,1452" stroked="true" strokeweight=".5pt" strokecolor="#958e9c">
              <v:stroke dashstyle="solid"/>
            </v:line>
            <v:rect style="position:absolute;left:4814;top:1302;width:5;height:6" filled="true" fillcolor="#958e9c" stroked="false">
              <v:fill type="solid"/>
            </v:rect>
            <v:rect style="position:absolute;left:4819;top:1452;width:5;height:5" filled="true" fillcolor="#958e9c" stroked="false">
              <v:fill type="solid"/>
            </v:rect>
            <v:rect style="position:absolute;left:3794;top:1302;width:5;height:5" filled="true" fillcolor="#958e9c" stroked="false">
              <v:fill type="solid"/>
            </v:rect>
            <v:line style="position:absolute" from="3800,1305" to="4815,1305" stroked="true" strokeweight=".25pt" strokecolor="#958e9c">
              <v:stroke dashstyle="solid"/>
            </v:line>
            <v:rect style="position:absolute;left:4819;top:1302;width:5;height:5" filled="true" fillcolor="#958e9c" stroked="false">
              <v:fill type="solid"/>
            </v:rect>
            <v:rect style="position:absolute;left:4042;top:1356;width:86;height:29" filled="true" fillcolor="#ffffff" stroked="false">
              <v:fill type="solid"/>
            </v:rect>
            <v:rect style="position:absolute;left:4148;top:1356;width:86;height:29" filled="true" fillcolor="#ffffff" stroked="false">
              <v:fill type="solid"/>
            </v:rect>
            <v:rect style="position:absolute;left:4042;top:1403;width:86;height:29" filled="true" fillcolor="#ffffff" stroked="false">
              <v:fill type="solid"/>
            </v:rect>
            <v:rect style="position:absolute;left:4148;top:1403;width:86;height:29" filled="true" fillcolor="#ffffff" stroked="false">
              <v:fill type="solid"/>
            </v:rect>
            <v:rect style="position:absolute;left:4052;top:1348;width:86;height:29" filled="true" fillcolor="#958e9c" stroked="false">
              <v:fill type="solid"/>
            </v:rect>
            <v:rect style="position:absolute;left:4157;top:1348;width:86;height:29" filled="true" fillcolor="#958e9c" stroked="false">
              <v:fill type="solid"/>
            </v:rect>
            <v:rect style="position:absolute;left:4052;top:1395;width:86;height:29" filled="true" fillcolor="#958e9c" stroked="false">
              <v:fill type="solid"/>
            </v:rect>
            <v:rect style="position:absolute;left:4157;top:1395;width:86;height:29" filled="true" fillcolor="#958e9c" stroked="false">
              <v:fill type="solid"/>
            </v:rect>
            <v:rect style="position:absolute;left:4399;top:1356;width:86;height:29" filled="true" fillcolor="#ffffff" stroked="false">
              <v:fill type="solid"/>
            </v:rect>
            <v:rect style="position:absolute;left:4505;top:1356;width:86;height:29" filled="true" fillcolor="#ffffff" stroked="false">
              <v:fill type="solid"/>
            </v:rect>
            <v:rect style="position:absolute;left:4399;top:1403;width:86;height:29" filled="true" fillcolor="#ffffff" stroked="false">
              <v:fill type="solid"/>
            </v:rect>
            <v:rect style="position:absolute;left:4505;top:1403;width:86;height:29" filled="true" fillcolor="#ffffff" stroked="false">
              <v:fill type="solid"/>
            </v:rect>
            <v:rect style="position:absolute;left:4409;top:1348;width:86;height:29" filled="true" fillcolor="#958e9c" stroked="false">
              <v:fill type="solid"/>
            </v:rect>
            <v:rect style="position:absolute;left:4515;top:1348;width:86;height:29" filled="true" fillcolor="#958e9c" stroked="false">
              <v:fill type="solid"/>
            </v:rect>
            <v:rect style="position:absolute;left:4409;top:1395;width:86;height:29" filled="true" fillcolor="#958e9c" stroked="false">
              <v:fill type="solid"/>
            </v:rect>
            <v:rect style="position:absolute;left:4515;top:1395;width:86;height:29" filled="true" fillcolor="#958e9c" stroked="false">
              <v:fill type="solid"/>
            </v:rect>
            <v:rect style="position:absolute;left:4278;top:1401;width:81;height:55" filled="true" fillcolor="#958e9c" stroked="false">
              <v:fill type="solid"/>
            </v:rect>
            <v:line style="position:absolute" from="4297,1148" to="4297,1320" stroked="true" strokeweight=".4pt" strokecolor="#958e9c">
              <v:stroke dashstyle="solid"/>
            </v:line>
            <v:rect style="position:absolute;left:4293;top:1144;width:42;height:4" filled="true" fillcolor="#958e9c" stroked="false">
              <v:fill type="solid"/>
            </v:rect>
            <v:line style="position:absolute" from="4331,1148" to="4331,1318" stroked="true" strokeweight=".4pt" strokecolor="#958e9c">
              <v:stroke dashstyle="solid"/>
            </v:line>
            <v:rect style="position:absolute;left:4301;top:1147;width:26;height:4" filled="true" fillcolor="#958e9c" stroked="false">
              <v:fill type="solid"/>
            </v:rect>
            <v:rect style="position:absolute;left:4331;top:1147;width:4;height:4" filled="true" fillcolor="#958e9c" stroked="false">
              <v:fill type="solid"/>
            </v:rect>
            <v:rect style="position:absolute;left:4297;top:1160;width:34;height:8" filled="true" fillcolor="#958e9c" stroked="false">
              <v:fill type="solid"/>
            </v:rect>
            <v:rect style="position:absolute;left:4297;top:1177;width:34;height:8" filled="true" fillcolor="#958e9c" stroked="false">
              <v:fill type="solid"/>
            </v:rect>
            <v:rect style="position:absolute;left:4297;top:1194;width:34;height:8" filled="true" fillcolor="#958e9c" stroked="false">
              <v:fill type="solid"/>
            </v:rect>
            <v:rect style="position:absolute;left:4297;top:1211;width:34;height:8" filled="true" fillcolor="#958e9c" stroked="false">
              <v:fill type="solid"/>
            </v:rect>
            <v:rect style="position:absolute;left:4297;top:1228;width:34;height:9" filled="true" fillcolor="#958e9c" stroked="false">
              <v:fill type="solid"/>
            </v:rect>
            <v:rect style="position:absolute;left:4297;top:1245;width:34;height:8" filled="true" fillcolor="#958e9c" stroked="false">
              <v:fill type="solid"/>
            </v:rect>
            <v:rect style="position:absolute;left:4297;top:1262;width:34;height:8" filled="true" fillcolor="#958e9c" stroked="false">
              <v:fill type="solid"/>
            </v:rect>
            <v:rect style="position:absolute;left:4297;top:1279;width:34;height:8" filled="true" fillcolor="#958e9c" stroked="false">
              <v:fill type="solid"/>
            </v:rect>
            <v:rect style="position:absolute;left:4297;top:1296;width:34;height:8" filled="true" fillcolor="#958e9c" stroked="false">
              <v:fill type="solid"/>
            </v:rect>
            <v:line style="position:absolute" from="3533,665" to="4275,665" stroked="true" strokeweight="2.713pt" strokecolor="#dedbe1">
              <v:stroke dashstyle="solid"/>
            </v:line>
            <v:line style="position:absolute" from="3528,694" to="4280,694" stroked="true" strokeweight=".2pt" strokecolor="#958e9c">
              <v:stroke dashstyle="solid"/>
            </v:line>
            <v:rect style="position:absolute;left:3527;top:686;width:5;height:6" filled="true" fillcolor="#958e9c" stroked="false">
              <v:fill type="solid"/>
            </v:rect>
            <v:rect style="position:absolute;left:3527;top:642;width:10;height:44" filled="true" fillcolor="#958e9c" stroked="false">
              <v:fill type="solid"/>
            </v:rect>
            <v:rect style="position:absolute;left:3527;top:638;width:5;height:4" filled="true" fillcolor="#958e9c" stroked="false">
              <v:fill type="solid"/>
            </v:rect>
            <v:line style="position:absolute" from="3528,635" to="4280,635" stroked="true" strokeweight=".3pt" strokecolor="#958e9c">
              <v:stroke dashstyle="solid"/>
            </v:line>
            <v:rect style="position:absolute;left:3532;top:686;width:5;height:5" filled="true" fillcolor="#958e9c" stroked="false">
              <v:fill type="solid"/>
            </v:rect>
            <v:line style="position:absolute" from="3538,689" to="4270,689" stroked="true" strokeweight=".25pt" strokecolor="#958e9c">
              <v:stroke dashstyle="solid"/>
            </v:line>
            <v:rect style="position:absolute;left:4270;top:686;width:5;height:6" filled="true" fillcolor="#958e9c" stroked="false">
              <v:fill type="solid"/>
            </v:rect>
            <v:rect style="position:absolute;left:4270;top:642;width:10;height:44" filled="true" fillcolor="#958e9c" stroked="false">
              <v:fill type="solid"/>
            </v:rect>
            <v:rect style="position:absolute;left:4270;top:638;width:5;height:4" filled="true" fillcolor="#958e9c" stroked="false">
              <v:fill type="solid"/>
            </v:rect>
            <v:rect style="position:absolute;left:4275;top:686;width:5;height:5" filled="true" fillcolor="#958e9c" stroked="false">
              <v:fill type="solid"/>
            </v:rect>
            <v:rect style="position:absolute;left:3532;top:637;width:5;height:5" filled="true" fillcolor="#958e9c" stroked="false">
              <v:fill type="solid"/>
            </v:rect>
            <v:line style="position:absolute" from="3538,640" to="4270,640" stroked="true" strokeweight=".25pt" strokecolor="#958e9c">
              <v:stroke dashstyle="solid"/>
            </v:line>
            <v:rect style="position:absolute;left:4275;top:637;width:5;height:5" filled="true" fillcolor="#958e9c" stroked="false">
              <v:fill type="solid"/>
            </v:rect>
            <v:line style="position:absolute" from="3542,655" to="4259,655" stroked="true" strokeweight=".484pt" strokecolor="#ffffff">
              <v:stroke dashstyle="solid"/>
            </v:line>
            <v:shape style="position:absolute;left:4120;top:699;width:142;height:303" type="#_x0000_t75" stroked="false">
              <v:imagedata r:id="rId124" o:title=""/>
            </v:shape>
            <v:shape style="position:absolute;left:4069;top:981;width:101;height:101" type="#_x0000_t75" stroked="false">
              <v:imagedata r:id="rId125" o:title=""/>
            </v:shape>
            <v:shape style="position:absolute;left:4236;top:613;width:101;height:101" type="#_x0000_t75" stroked="false">
              <v:imagedata r:id="rId126" o:title=""/>
            </v:shape>
            <v:shape style="position:absolute;left:3473;top:593;width:131;height:212" type="#_x0000_t75" stroked="false">
              <v:imagedata r:id="rId127" o:title=""/>
            </v:shape>
            <v:rect style="position:absolute;left:3911;top:720;width:29;height:11" filled="true" fillcolor="#5d7784" stroked="false">
              <v:fill type="solid"/>
            </v:rect>
            <v:rect style="position:absolute;left:3911;top:761;width:29;height:11" filled="true" fillcolor="#5d7784" stroked="false">
              <v:fill type="solid"/>
            </v:rect>
            <v:rect style="position:absolute;left:3911;top:803;width:29;height:11" filled="true" fillcolor="#5d7784" stroked="false">
              <v:fill type="solid"/>
            </v:rect>
            <v:rect style="position:absolute;left:3911;top:844;width:29;height:11" filled="true" fillcolor="#5d7784" stroked="false">
              <v:fill type="solid"/>
            </v:rect>
            <v:rect style="position:absolute;left:3911;top:886;width:29;height:11" filled="true" fillcolor="#5d7784" stroked="false">
              <v:fill type="solid"/>
            </v:rect>
            <v:rect style="position:absolute;left:3911;top:928;width:29;height:11" filled="true" fillcolor="#5d7784" stroked="false">
              <v:fill type="solid"/>
            </v:rect>
            <v:rect style="position:absolute;left:3911;top:969;width:29;height:11" filled="true" fillcolor="#5d7784" stroked="false">
              <v:fill type="solid"/>
            </v:rect>
            <v:rect style="position:absolute;left:3911;top:1011;width:29;height:11" filled="true" fillcolor="#5d7784" stroked="false">
              <v:fill type="solid"/>
            </v:rect>
            <v:rect style="position:absolute;left:3911;top:1052;width:29;height:11" filled="true" fillcolor="#5d7784" stroked="false">
              <v:fill type="solid"/>
            </v:rect>
            <v:rect style="position:absolute;left:3911;top:1094;width:29;height:11" filled="true" fillcolor="#5d7784" stroked="false">
              <v:fill type="solid"/>
            </v:rect>
            <v:rect style="position:absolute;left:3911;top:1135;width:29;height:11" filled="true" fillcolor="#5d7784" stroked="false">
              <v:fill type="solid"/>
            </v:rect>
            <v:rect style="position:absolute;left:3911;top:1177;width:29;height:11" filled="true" fillcolor="#5d7784" stroked="false">
              <v:fill type="solid"/>
            </v:rect>
            <v:rect style="position:absolute;left:3911;top:1219;width:29;height:11" filled="true" fillcolor="#5d7784" stroked="false">
              <v:fill type="solid"/>
            </v:rect>
            <v:rect style="position:absolute;left:3911;top:1260;width:29;height:11" filled="true" fillcolor="#5d7784" stroked="false">
              <v:fill type="solid"/>
            </v:rect>
            <v:line style="position:absolute" from="3914,659" to="3914,1302" stroked="true" strokeweight=".544pt" strokecolor="#5d7784">
              <v:stroke dashstyle="solid"/>
            </v:line>
            <v:line style="position:absolute" from="3940,658" to="3940,1301" stroked="true" strokeweight=".543pt" strokecolor="#5d7784">
              <v:stroke dashstyle="solid"/>
            </v:line>
            <v:shape style="position:absolute;left:4014;top:1302;width:32;height:12" coordorigin="4014,1302" coordsize="32,12" path="m4045,1302l4014,1302,4016,1313,4046,1310,4045,1302xe" filled="true" fillcolor="#b8b2be" stroked="false">
              <v:path arrowok="t"/>
              <v:fill type="solid"/>
            </v:shape>
            <v:shape style="position:absolute;left:4009;top:1301;width:42;height:18" coordorigin="4009,1302" coordsize="42,18" path="m4019,1302l4009,1303,4011,1319,4051,1314,4051,1313,4016,1313,4015,1308,4020,1308,4019,1302xm4020,1308l4015,1308,4016,1313,4021,1313,4020,1308xm4040,1305l4020,1308,4021,1313,4016,1313,4051,1313,4051,1310,4041,1310,4040,1305xm4045,1305l4040,1305,4041,1310,4046,1310,4045,1305xm4050,1305l4045,1305,4046,1310,4041,1310,4051,1310,4050,1305xm4050,1302l4040,1303,4040,1305,4045,1305,4050,1305,4050,1302xe" filled="true" fillcolor="#958e9c" stroked="false">
              <v:path arrowok="t"/>
              <v:fill type="solid"/>
            </v:shape>
            <v:shape style="position:absolute;left:3807;top:591;width:238;height:723" coordorigin="3807,591" coordsize="238,723" path="m3925,621l3894,621,3807,1310,3837,1313,3925,621xm3959,621l3929,621,4014,1302,4045,1302,3959,621xm3983,591l3870,591,3870,621,3983,621,3983,591xe" filled="true" fillcolor="#b8b2be" stroked="false">
              <v:path arrowok="t"/>
              <v:fill type="solid"/>
            </v:shape>
            <v:shape style="position:absolute;left:3801;top:586;width:248;height:733" coordorigin="3802,586" coordsize="248,733" path="m3889,621l3802,1314,3842,1319,3842,1313,3837,1313,3832,1313,3833,1310,3812,1310,3807,1310,3808,1305,3813,1305,3898,626,3894,626,3894,621,3889,621xm3833,1308l3832,1313,3837,1313,3838,1308,3833,1308xm3933,617l3920,617,3919,622,3833,1308,3838,1308,3837,1313,3842,1313,3927,645,3924,622,3924,622,3925,621,3934,621,3933,617xm3808,1305l3807,1310,3812,1310,3813,1305,3808,1305xm3813,1305l3812,1310,3833,1310,3833,1308,3813,1305xm3813,1305l3808,1305,3813,1305,3813,1305xm3934,621l3929,621,3929,622,3929,622,3927,645,4009,1303,4019,1302,3934,621xm3978,617l3953,617,4040,1303,4050,1302,3965,626,3959,626,3959,621,3964,621,3978,621,3978,617xm3925,622l3924,622,3927,645,3929,626,3925,626,3925,622xm3988,586l3865,586,3865,626,3888,626,3889,621,3870,621,3870,617,3875,617,3875,596,3870,596,3870,591,3988,591,3988,586xm3899,621l3889,621,3894,621,3894,626,3898,626,3899,621xm3927,622l3925,622,3925,626,3929,626,3929,622,3927,622xm3929,622l3929,626,3929,626,3929,622,3929,622xm3964,621l3959,621,3959,626,3965,626,3964,621xm3978,621l3964,621,3965,626,3988,626,3988,621,3978,621,3978,621xm3929,621l3927,622,3929,622,3929,621xm3925,621l3925,622,3927,622,3925,621xm3929,621l3925,621,3927,622,3929,621xm3875,617l3870,617,3870,621,3875,621,3875,617xm3900,617l3875,617,3875,621,3889,621,3889,621,3899,621,3900,617xm3983,591l3978,591,3978,621,3983,621,3983,617,3988,617,3988,596,3983,596,3983,591xm3988,617l3983,617,3983,621,3988,621,3988,617xm3875,591l3870,591,3870,596,3875,596,3875,591xm3978,591l3875,591,3875,596,3978,596,3978,591xm3988,591l3983,591,3983,596,3988,596,3988,591xe" filled="true" fillcolor="#958e9c" stroked="false">
              <v:path arrowok="t"/>
              <v:fill type="solid"/>
            </v:shape>
            <v:line style="position:absolute" from="3857,697" to="3996,697" stroked="true" strokeweight="1.51pt" strokecolor="#b8b2be">
              <v:stroke dashstyle="solid"/>
            </v:line>
            <v:shape style="position:absolute;left:3851;top:676;width:151;height:42" coordorigin="3851,676" coordsize="151,42" path="m4002,676l3851,676,3851,718,4002,718,4002,712,3857,712,3857,706,3863,706,3863,687,3857,687,3857,682,4002,682,4002,676xm3863,706l3857,706,3857,712,3863,712,3863,706xm3991,706l3863,706,3863,712,3991,712,3991,706xm3996,682l3991,682,3991,712,3996,712,3996,706,4002,706,4002,687,3996,687,3996,682xm4002,706l3996,706,3996,712,4002,712,4002,706xm3863,682l3857,682,3857,687,3863,687,3863,682xm3991,682l3863,682,3863,687,3991,687,3991,682xm4002,682l3996,682,3996,687,4002,687,4002,682xe" filled="true" fillcolor="#958e9c" stroked="false">
              <v:path arrowok="t"/>
              <v:fill type="solid"/>
            </v:shape>
            <v:line style="position:absolute" from="3844,837" to="4009,837" stroked="true" strokeweight="1.51pt" strokecolor="#b8b2be">
              <v:stroke dashstyle="solid"/>
            </v:line>
            <v:line style="position:absolute" from="3838,855" to="4016,855" stroked="true" strokeweight=".3pt" strokecolor="#958e9c">
              <v:stroke dashstyle="solid"/>
            </v:line>
            <v:rect style="position:absolute;left:3837;top:846;width:7;height:6" filled="true" fillcolor="#958e9c" stroked="false">
              <v:fill type="solid"/>
            </v:rect>
            <v:rect style="position:absolute;left:3837;top:828;width:13;height:18" filled="true" fillcolor="#958e9c" stroked="false">
              <v:fill type="solid"/>
            </v:rect>
            <v:rect style="position:absolute;left:3837;top:822;width:7;height:6" filled="true" fillcolor="#958e9c" stroked="false">
              <v:fill type="solid"/>
            </v:rect>
            <v:line style="position:absolute" from="3838,819" to="4016,819" stroked="true" strokeweight=".3pt" strokecolor="#958e9c">
              <v:stroke dashstyle="solid"/>
            </v:line>
            <v:rect style="position:absolute;left:3843;top:845;width:7;height:7" filled="true" fillcolor="#958e9c" stroked="false">
              <v:fill type="solid"/>
            </v:rect>
            <v:line style="position:absolute" from="3850,849" to="4003,849" stroked="true" strokeweight=".303pt" strokecolor="#958e9c">
              <v:stroke dashstyle="solid"/>
            </v:line>
            <v:rect style="position:absolute;left:4003;top:846;width:7;height:6" filled="true" fillcolor="#958e9c" stroked="false">
              <v:fill type="solid"/>
            </v:rect>
            <v:rect style="position:absolute;left:4003;top:828;width:13;height:18" filled="true" fillcolor="#958e9c" stroked="false">
              <v:fill type="solid"/>
            </v:rect>
            <v:rect style="position:absolute;left:4003;top:822;width:7;height:6" filled="true" fillcolor="#958e9c" stroked="false">
              <v:fill type="solid"/>
            </v:rect>
            <v:rect style="position:absolute;left:4009;top:845;width:7;height:7" filled="true" fillcolor="#958e9c" stroked="false">
              <v:fill type="solid"/>
            </v:rect>
            <v:rect style="position:absolute;left:3843;top:821;width:7;height:7" filled="true" fillcolor="#958e9c" stroked="false">
              <v:fill type="solid"/>
            </v:rect>
            <v:line style="position:absolute" from="3850,825" to="4003,825" stroked="true" strokeweight=".304pt" strokecolor="#958e9c">
              <v:stroke dashstyle="solid"/>
            </v:line>
            <v:rect style="position:absolute;left:4009;top:821;width:7;height:7" filled="true" fillcolor="#958e9c" stroked="false">
              <v:fill type="solid"/>
            </v:rect>
            <v:line style="position:absolute" from="3806,1079" to="4047,1079" stroked="true" strokeweight="1.51pt" strokecolor="#b8b2be">
              <v:stroke dashstyle="solid"/>
            </v:line>
            <v:line style="position:absolute" from="3798,1097" to="4055,1097" stroked="true" strokeweight=".3pt" strokecolor="#958e9c">
              <v:stroke dashstyle="solid"/>
            </v:line>
            <v:rect style="position:absolute;left:3798;top:1086;width:8;height:8" filled="true" fillcolor="#958e9c" stroked="false">
              <v:fill type="solid"/>
            </v:rect>
            <v:rect style="position:absolute;left:3798;top:1070;width:15;height:16" filled="true" fillcolor="#958e9c" stroked="false">
              <v:fill type="solid"/>
            </v:rect>
            <v:rect style="position:absolute;left:3798;top:1064;width:8;height:6" filled="true" fillcolor="#958e9c" stroked="false">
              <v:fill type="solid"/>
            </v:rect>
            <v:line style="position:absolute" from="3798,1060" to="4055,1060" stroked="true" strokeweight=".4pt" strokecolor="#958e9c">
              <v:stroke dashstyle="solid"/>
            </v:line>
            <v:rect style="position:absolute;left:3805;top:1086;width:8;height:8" filled="true" fillcolor="#958e9c" stroked="false">
              <v:fill type="solid"/>
            </v:rect>
            <v:line style="position:absolute" from="3813,1090" to="4040,1090" stroked="true" strokeweight=".366pt" strokecolor="#958e9c">
              <v:stroke dashstyle="solid"/>
            </v:line>
            <v:rect style="position:absolute;left:4040;top:1086;width:8;height:8" filled="true" fillcolor="#958e9c" stroked="false">
              <v:fill type="solid"/>
            </v:rect>
            <v:rect style="position:absolute;left:4040;top:1070;width:15;height:16" filled="true" fillcolor="#958e9c" stroked="false">
              <v:fill type="solid"/>
            </v:rect>
            <v:rect style="position:absolute;left:4040;top:1064;width:8;height:6" filled="true" fillcolor="#958e9c" stroked="false">
              <v:fill type="solid"/>
            </v:rect>
            <v:rect style="position:absolute;left:4047;top:1086;width:8;height:8" filled="true" fillcolor="#958e9c" stroked="false">
              <v:fill type="solid"/>
            </v:rect>
            <v:rect style="position:absolute;left:3805;top:1063;width:8;height:8" filled="true" fillcolor="#958e9c" stroked="false">
              <v:fill type="solid"/>
            </v:rect>
            <v:line style="position:absolute" from="3813,1067" to="4040,1067" stroked="true" strokeweight=".366pt" strokecolor="#958e9c">
              <v:stroke dashstyle="solid"/>
            </v:line>
            <v:rect style="position:absolute;left:4047;top:1063;width:8;height:8" filled="true" fillcolor="#958e9c" stroked="false">
              <v:fill type="solid"/>
            </v:rect>
            <v:line style="position:absolute" from="3803,1233" to="4050,1233" stroked="true" strokeweight="1.51pt" strokecolor="#b8b2be">
              <v:stroke dashstyle="solid"/>
            </v:line>
            <v:line style="position:absolute" from="3795,1252" to="4058,1252" stroked="true" strokeweight=".4pt" strokecolor="#958e9c">
              <v:stroke dashstyle="solid"/>
            </v:line>
            <v:rect style="position:absolute;left:3795;top:1240;width:8;height:8" filled="true" fillcolor="#958e9c" stroked="false">
              <v:fill type="solid"/>
            </v:rect>
            <v:rect style="position:absolute;left:3795;top:1226;width:15;height:14" filled="true" fillcolor="#958e9c" stroked="false">
              <v:fill type="solid"/>
            </v:rect>
            <v:rect style="position:absolute;left:3795;top:1218;width:8;height:8" filled="true" fillcolor="#958e9c" stroked="false">
              <v:fill type="solid"/>
            </v:rect>
            <v:line style="position:absolute" from="3795,1214" to="4058,1214" stroked="true" strokeweight=".4pt" strokecolor="#958e9c">
              <v:stroke dashstyle="solid"/>
            </v:line>
            <v:rect style="position:absolute;left:3802;top:1240;width:8;height:8" filled="true" fillcolor="#958e9c" stroked="false">
              <v:fill type="solid"/>
            </v:rect>
            <v:line style="position:absolute" from="3810,1244" to="4043,1244" stroked="true" strokeweight=".371pt" strokecolor="#958e9c">
              <v:stroke dashstyle="solid"/>
            </v:line>
            <v:rect style="position:absolute;left:4042;top:1240;width:8;height:8" filled="true" fillcolor="#958e9c" stroked="false">
              <v:fill type="solid"/>
            </v:rect>
            <v:rect style="position:absolute;left:4042;top:1226;width:15;height:14" filled="true" fillcolor="#958e9c" stroked="false">
              <v:fill type="solid"/>
            </v:rect>
            <v:rect style="position:absolute;left:4042;top:1218;width:8;height:8" filled="true" fillcolor="#958e9c" stroked="false">
              <v:fill type="solid"/>
            </v:rect>
            <v:rect style="position:absolute;left:4050;top:1240;width:8;height:8" filled="true" fillcolor="#958e9c" stroked="false">
              <v:fill type="solid"/>
            </v:rect>
            <v:rect style="position:absolute;left:3802;top:1217;width:8;height:8" filled="true" fillcolor="#958e9c" stroked="false">
              <v:fill type="solid"/>
            </v:rect>
            <v:line style="position:absolute" from="3810,1222" to="4043,1222" stroked="true" strokeweight=".37pt" strokecolor="#958e9c">
              <v:stroke dashstyle="solid"/>
            </v:line>
            <v:rect style="position:absolute;left:4050;top:1217;width:8;height:8" filled="true" fillcolor="#958e9c" stroked="false">
              <v:fill type="solid"/>
            </v:rect>
            <v:line style="position:absolute" from="3801,1319" to="4062,1319" stroked="true" strokeweight="1.284pt" strokecolor="#dedbe1">
              <v:stroke dashstyle="solid"/>
            </v:line>
            <v:shape style="position:absolute;left:4250;top:625;width:49;height:77" coordorigin="4251,626" coordsize="49,77" path="m4293,626l4289,626,4274,629,4262,637,4254,649,4251,664,4254,678,4262,691,4274,699,4289,702,4289,702,4278,696,4270,688,4264,678,4262,665,4265,651,4273,639,4285,630,4300,627,4296,626,4293,626xe" filled="true" fillcolor="#ffffff" stroked="false">
              <v:path arrowok="t"/>
              <v:fill type="solid"/>
            </v:shape>
            <v:shape style="position:absolute;left:4082;top:995;width:56;height:73" coordorigin="4083,995" coordsize="56,73" path="m4127,995l4112,996,4098,1002,4088,1012,4083,1026,4084,1040,4090,1053,4101,1063,4116,1068,4116,1068,4106,1061,4099,1052,4094,1041,4094,1029,4099,1015,4109,1005,4123,999,4138,998,4135,997,4131,996,4127,995xe" filled="true" fillcolor="#ffffff" stroked="false">
              <v:path arrowok="t"/>
              <v:fill type="solid"/>
            </v:shape>
            <v:rect style="position:absolute;left:1198;top:581;width:14;height:113" filled="true" fillcolor="#000000" stroked="false">
              <v:fill type="solid"/>
            </v:rect>
            <v:rect style="position:absolute;left:1235;top:581;width:14;height:113" filled="true" fillcolor="#000000" stroked="false">
              <v:fill type="solid"/>
            </v:rect>
            <v:shape style="position:absolute;left:110;top:585;width:1071;height:442" type="#_x0000_t75" stroked="false">
              <v:imagedata r:id="rId128" o:title=""/>
            </v:shape>
            <v:shape style="position:absolute;left:3528;top:389;width:708;height:114" type="#_x0000_t75" stroked="false">
              <v:imagedata r:id="rId129" o:title=""/>
            </v:shape>
            <v:shape style="position:absolute;left:4283;top:389;width:254;height:114" type="#_x0000_t75" stroked="false">
              <v:imagedata r:id="rId130" o:title=""/>
            </v:shape>
            <v:shape style="position:absolute;left:1997;top:1119;width:606;height:130" type="#_x0000_t75" stroked="false">
              <v:imagedata r:id="rId131" o:title=""/>
            </v:shape>
            <v:line style="position:absolute" from="1506,1165" to="1955,1165" stroked="true" strokeweight="1pt" strokecolor="#008ac9">
              <v:stroke dashstyle="solid"/>
            </v:line>
            <v:shape style="position:absolute;left:1438;top:1111;width:97;height:108" coordorigin="1438,1112" coordsize="97,108" path="m1534,1112l1513,1128,1489,1142,1463,1155,1438,1165,1463,1176,1489,1189,1513,1203,1534,1219,1515,1165,1534,1112xe" filled="true" fillcolor="#008ac9" stroked="false">
              <v:path arrowok="t"/>
              <v:fill type="solid"/>
            </v:shape>
            <v:shape style="position:absolute;left:2477;top:202;width:621;height:349" type="#_x0000_t75" stroked="false">
              <v:imagedata r:id="rId132" o:title=""/>
            </v:shape>
          </v:group>
        </w:pict>
      </w:r>
      <w:r>
        <w:rPr/>
      </w:r>
    </w:p>
    <w:p>
      <w:pPr>
        <w:spacing w:line="211" w:lineRule="auto" w:before="102"/>
        <w:ind w:left="157" w:right="38" w:firstLine="0"/>
        <w:jc w:val="both"/>
        <w:rPr>
          <w:sz w:val="18"/>
        </w:rPr>
      </w:pPr>
      <w:bookmarkStart w:name="_bookmark26" w:id="44"/>
      <w:bookmarkEnd w:id="44"/>
      <w:r>
        <w:rPr/>
      </w:r>
      <w:bookmarkStart w:name="_bookmark27" w:id="45"/>
      <w:bookmarkEnd w:id="45"/>
      <w:r>
        <w:rPr/>
      </w:r>
      <w:r>
        <w:rPr>
          <w:b/>
          <w:sz w:val="18"/>
        </w:rPr>
        <w:t>Figure 5.15 </w:t>
      </w:r>
      <w:r>
        <w:rPr>
          <w:sz w:val="18"/>
        </w:rPr>
        <w:t>Injection of  CO</w:t>
      </w:r>
      <w:r>
        <w:rPr>
          <w:position w:val="-5"/>
          <w:sz w:val="10"/>
        </w:rPr>
        <w:t>2  </w:t>
      </w:r>
      <w:r>
        <w:rPr>
          <w:sz w:val="18"/>
        </w:rPr>
        <w:t>for  enhanced  oil  recovery  </w:t>
      </w:r>
      <w:r>
        <w:rPr>
          <w:spacing w:val="-3"/>
          <w:sz w:val="18"/>
        </w:rPr>
        <w:t>(EOR) </w:t>
      </w:r>
      <w:r>
        <w:rPr>
          <w:sz w:val="18"/>
        </w:rPr>
        <w:t>with some storage of retained CO</w:t>
      </w:r>
      <w:r>
        <w:rPr>
          <w:position w:val="-5"/>
          <w:sz w:val="10"/>
        </w:rPr>
        <w:t>2 </w:t>
      </w:r>
      <w:r>
        <w:rPr>
          <w:sz w:val="18"/>
        </w:rPr>
        <w:t>(after IEA Greenhouse Gas R&amp;D Programme).</w:t>
      </w:r>
      <w:r>
        <w:rPr>
          <w:spacing w:val="-11"/>
          <w:sz w:val="18"/>
        </w:rPr>
        <w:t> </w:t>
      </w:r>
      <w:r>
        <w:rPr>
          <w:sz w:val="18"/>
        </w:rPr>
        <w:t>The</w:t>
      </w:r>
      <w:r>
        <w:rPr>
          <w:spacing w:val="-7"/>
          <w:sz w:val="18"/>
        </w:rPr>
        <w:t> </w:t>
      </w:r>
      <w:r>
        <w:rPr>
          <w:sz w:val="18"/>
        </w:rPr>
        <w:t>CO</w:t>
      </w:r>
      <w:r>
        <w:rPr>
          <w:position w:val="-5"/>
          <w:sz w:val="10"/>
        </w:rPr>
        <w:t>2</w:t>
      </w:r>
      <w:r>
        <w:rPr>
          <w:spacing w:val="12"/>
          <w:position w:val="-5"/>
          <w:sz w:val="10"/>
        </w:rPr>
        <w:t> </w:t>
      </w:r>
      <w:r>
        <w:rPr>
          <w:sz w:val="18"/>
        </w:rPr>
        <w:t>that</w:t>
      </w:r>
      <w:r>
        <w:rPr>
          <w:spacing w:val="-7"/>
          <w:sz w:val="18"/>
        </w:rPr>
        <w:t> </w:t>
      </w:r>
      <w:r>
        <w:rPr>
          <w:sz w:val="18"/>
        </w:rPr>
        <w:t>is</w:t>
      </w:r>
      <w:r>
        <w:rPr>
          <w:spacing w:val="-8"/>
          <w:sz w:val="18"/>
        </w:rPr>
        <w:t> </w:t>
      </w:r>
      <w:r>
        <w:rPr>
          <w:sz w:val="18"/>
        </w:rPr>
        <w:t>produced</w:t>
      </w:r>
      <w:r>
        <w:rPr>
          <w:spacing w:val="-7"/>
          <w:sz w:val="18"/>
        </w:rPr>
        <w:t> </w:t>
      </w:r>
      <w:r>
        <w:rPr>
          <w:sz w:val="18"/>
        </w:rPr>
        <w:t>with</w:t>
      </w:r>
      <w:r>
        <w:rPr>
          <w:spacing w:val="-8"/>
          <w:sz w:val="18"/>
        </w:rPr>
        <w:t> </w:t>
      </w:r>
      <w:r>
        <w:rPr>
          <w:sz w:val="18"/>
        </w:rPr>
        <w:t>the</w:t>
      </w:r>
      <w:r>
        <w:rPr>
          <w:spacing w:val="-7"/>
          <w:sz w:val="18"/>
        </w:rPr>
        <w:t> </w:t>
      </w:r>
      <w:r>
        <w:rPr>
          <w:sz w:val="18"/>
        </w:rPr>
        <w:t>oil</w:t>
      </w:r>
      <w:r>
        <w:rPr>
          <w:spacing w:val="-8"/>
          <w:sz w:val="18"/>
        </w:rPr>
        <w:t> </w:t>
      </w:r>
      <w:r>
        <w:rPr>
          <w:sz w:val="18"/>
        </w:rPr>
        <w:t>is</w:t>
      </w:r>
      <w:r>
        <w:rPr>
          <w:spacing w:val="-7"/>
          <w:sz w:val="18"/>
        </w:rPr>
        <w:t> </w:t>
      </w:r>
      <w:r>
        <w:rPr>
          <w:sz w:val="18"/>
        </w:rPr>
        <w:t>separated</w:t>
      </w:r>
      <w:r>
        <w:rPr>
          <w:spacing w:val="-7"/>
          <w:sz w:val="18"/>
        </w:rPr>
        <w:t> </w:t>
      </w:r>
      <w:r>
        <w:rPr>
          <w:sz w:val="18"/>
        </w:rPr>
        <w:t>and</w:t>
      </w:r>
      <w:r>
        <w:rPr>
          <w:spacing w:val="-8"/>
          <w:sz w:val="18"/>
        </w:rPr>
        <w:t> </w:t>
      </w:r>
      <w:r>
        <w:rPr>
          <w:sz w:val="18"/>
        </w:rPr>
        <w:t>re- injected</w:t>
      </w:r>
      <w:r>
        <w:rPr>
          <w:spacing w:val="-8"/>
          <w:sz w:val="18"/>
        </w:rPr>
        <w:t> </w:t>
      </w:r>
      <w:r>
        <w:rPr>
          <w:sz w:val="18"/>
        </w:rPr>
        <w:t>back</w:t>
      </w:r>
      <w:r>
        <w:rPr>
          <w:spacing w:val="-8"/>
          <w:sz w:val="18"/>
        </w:rPr>
        <w:t> </w:t>
      </w:r>
      <w:r>
        <w:rPr>
          <w:sz w:val="18"/>
        </w:rPr>
        <w:t>into</w:t>
      </w:r>
      <w:r>
        <w:rPr>
          <w:spacing w:val="-8"/>
          <w:sz w:val="18"/>
        </w:rPr>
        <w:t> </w:t>
      </w:r>
      <w:r>
        <w:rPr>
          <w:sz w:val="18"/>
        </w:rPr>
        <w:t>the</w:t>
      </w:r>
      <w:r>
        <w:rPr>
          <w:spacing w:val="-8"/>
          <w:sz w:val="18"/>
        </w:rPr>
        <w:t> </w:t>
      </w:r>
      <w:r>
        <w:rPr>
          <w:sz w:val="18"/>
        </w:rPr>
        <w:t>formation.</w:t>
      </w:r>
      <w:r>
        <w:rPr>
          <w:spacing w:val="-8"/>
          <w:sz w:val="18"/>
        </w:rPr>
        <w:t> </w:t>
      </w:r>
      <w:r>
        <w:rPr>
          <w:sz w:val="18"/>
        </w:rPr>
        <w:t>Recycling</w:t>
      </w:r>
      <w:r>
        <w:rPr>
          <w:spacing w:val="-8"/>
          <w:sz w:val="18"/>
        </w:rPr>
        <w:t> </w:t>
      </w:r>
      <w:r>
        <w:rPr>
          <w:sz w:val="18"/>
        </w:rPr>
        <w:t>of</w:t>
      </w:r>
      <w:r>
        <w:rPr>
          <w:spacing w:val="-7"/>
          <w:sz w:val="18"/>
        </w:rPr>
        <w:t> </w:t>
      </w:r>
      <w:r>
        <w:rPr>
          <w:sz w:val="18"/>
        </w:rPr>
        <w:t>produced</w:t>
      </w:r>
      <w:r>
        <w:rPr>
          <w:spacing w:val="-8"/>
          <w:sz w:val="18"/>
        </w:rPr>
        <w:t> </w:t>
      </w:r>
      <w:r>
        <w:rPr>
          <w:sz w:val="18"/>
        </w:rPr>
        <w:t>CO</w:t>
      </w:r>
      <w:r>
        <w:rPr>
          <w:position w:val="-5"/>
          <w:sz w:val="10"/>
        </w:rPr>
        <w:t>2</w:t>
      </w:r>
      <w:r>
        <w:rPr>
          <w:spacing w:val="12"/>
          <w:position w:val="-5"/>
          <w:sz w:val="10"/>
        </w:rPr>
        <w:t> </w:t>
      </w:r>
      <w:r>
        <w:rPr>
          <w:sz w:val="18"/>
        </w:rPr>
        <w:t>decreases the amount of CO</w:t>
      </w:r>
      <w:r>
        <w:rPr>
          <w:position w:val="-5"/>
          <w:sz w:val="10"/>
        </w:rPr>
        <w:t>2 </w:t>
      </w:r>
      <w:r>
        <w:rPr>
          <w:sz w:val="18"/>
        </w:rPr>
        <w:t>that must be purchased and avoids emissions to</w:t>
      </w:r>
      <w:r>
        <w:rPr>
          <w:spacing w:val="-15"/>
          <w:sz w:val="18"/>
        </w:rPr>
        <w:t> </w:t>
      </w:r>
      <w:r>
        <w:rPr>
          <w:sz w:val="18"/>
        </w:rPr>
        <w:t>the atmosphere.</w:t>
      </w:r>
    </w:p>
    <w:p>
      <w:pPr>
        <w:pStyle w:val="BodyText"/>
        <w:spacing w:line="249" w:lineRule="auto" w:before="63"/>
        <w:ind w:left="157" w:right="531"/>
        <w:jc w:val="both"/>
      </w:pPr>
      <w:r>
        <w:rPr/>
        <w:br w:type="column"/>
      </w:r>
      <w:r>
        <w:rPr/>
        <w:t>oil, other preferred criteria for both types of flooding include relatively thin reservoirs (less than 20 m), high reservoir angle, homogenous formation and low vertical permeability. For horizontal reservoirs, the absence of natural water flow, major gas cap and major natural fractures are preferred. Reservoir thickness and permeability are not critical factors.</w:t>
      </w:r>
    </w:p>
    <w:p>
      <w:pPr>
        <w:pStyle w:val="BodyText"/>
        <w:spacing w:line="206" w:lineRule="auto" w:before="24"/>
        <w:ind w:left="157" w:right="531" w:firstLine="283"/>
        <w:jc w:val="both"/>
      </w:pPr>
      <w:r>
        <w:rPr/>
        <w:t>Reservoir heterogeneity also affects CO</w:t>
      </w:r>
      <w:r>
        <w:rPr>
          <w:position w:val="-6"/>
          <w:sz w:val="11"/>
        </w:rPr>
        <w:t>2 </w:t>
      </w:r>
      <w:r>
        <w:rPr/>
        <w:t>storage efficiency. The</w:t>
      </w:r>
      <w:r>
        <w:rPr>
          <w:spacing w:val="-15"/>
        </w:rPr>
        <w:t> </w:t>
      </w:r>
      <w:r>
        <w:rPr/>
        <w:t>density</w:t>
      </w:r>
      <w:r>
        <w:rPr>
          <w:spacing w:val="-15"/>
        </w:rPr>
        <w:t> </w:t>
      </w:r>
      <w:r>
        <w:rPr/>
        <w:t>difference</w:t>
      </w:r>
      <w:r>
        <w:rPr>
          <w:spacing w:val="-14"/>
        </w:rPr>
        <w:t> </w:t>
      </w:r>
      <w:r>
        <w:rPr/>
        <w:t>between</w:t>
      </w:r>
      <w:r>
        <w:rPr>
          <w:spacing w:val="-15"/>
        </w:rPr>
        <w:t> </w:t>
      </w:r>
      <w:r>
        <w:rPr/>
        <w:t>the</w:t>
      </w:r>
      <w:r>
        <w:rPr>
          <w:spacing w:val="-15"/>
        </w:rPr>
        <w:t> </w:t>
      </w:r>
      <w:r>
        <w:rPr/>
        <w:t>lighter</w:t>
      </w:r>
      <w:r>
        <w:rPr>
          <w:spacing w:val="-14"/>
        </w:rPr>
        <w:t> </w:t>
      </w:r>
      <w:r>
        <w:rPr/>
        <w:t>CO</w:t>
      </w:r>
      <w:r>
        <w:rPr>
          <w:position w:val="-6"/>
          <w:sz w:val="11"/>
        </w:rPr>
        <w:t>2</w:t>
      </w:r>
      <w:r>
        <w:rPr>
          <w:spacing w:val="7"/>
          <w:position w:val="-6"/>
          <w:sz w:val="11"/>
        </w:rPr>
        <w:t> </w:t>
      </w:r>
      <w:r>
        <w:rPr/>
        <w:t>and</w:t>
      </w:r>
      <w:r>
        <w:rPr>
          <w:spacing w:val="-14"/>
        </w:rPr>
        <w:t> </w:t>
      </w:r>
      <w:r>
        <w:rPr/>
        <w:t>the</w:t>
      </w:r>
      <w:r>
        <w:rPr>
          <w:spacing w:val="-15"/>
        </w:rPr>
        <w:t> </w:t>
      </w:r>
      <w:r>
        <w:rPr/>
        <w:t>reservoir oil</w:t>
      </w:r>
      <w:r>
        <w:rPr>
          <w:spacing w:val="-6"/>
        </w:rPr>
        <w:t> </w:t>
      </w:r>
      <w:r>
        <w:rPr/>
        <w:t>and</w:t>
      </w:r>
      <w:r>
        <w:rPr>
          <w:spacing w:val="-5"/>
        </w:rPr>
        <w:t> </w:t>
      </w:r>
      <w:r>
        <w:rPr/>
        <w:t>water</w:t>
      </w:r>
      <w:r>
        <w:rPr>
          <w:spacing w:val="-6"/>
        </w:rPr>
        <w:t> </w:t>
      </w:r>
      <w:r>
        <w:rPr/>
        <w:t>leads</w:t>
      </w:r>
      <w:r>
        <w:rPr>
          <w:spacing w:val="-5"/>
        </w:rPr>
        <w:t> </w:t>
      </w:r>
      <w:r>
        <w:rPr/>
        <w:t>to</w:t>
      </w:r>
      <w:r>
        <w:rPr>
          <w:spacing w:val="-5"/>
        </w:rPr>
        <w:t> </w:t>
      </w:r>
      <w:r>
        <w:rPr/>
        <w:t>movement</w:t>
      </w:r>
      <w:r>
        <w:rPr>
          <w:spacing w:val="-6"/>
        </w:rPr>
        <w:t> </w:t>
      </w:r>
      <w:r>
        <w:rPr/>
        <w:t>of</w:t>
      </w:r>
      <w:r>
        <w:rPr>
          <w:spacing w:val="-5"/>
        </w:rPr>
        <w:t> </w:t>
      </w:r>
      <w:r>
        <w:rPr/>
        <w:t>the</w:t>
      </w:r>
      <w:r>
        <w:rPr>
          <w:spacing w:val="-6"/>
        </w:rPr>
        <w:t> </w:t>
      </w:r>
      <w:r>
        <w:rPr/>
        <w:t>CO</w:t>
      </w:r>
      <w:r>
        <w:rPr>
          <w:position w:val="-6"/>
          <w:sz w:val="11"/>
        </w:rPr>
        <w:t>2</w:t>
      </w:r>
      <w:r>
        <w:rPr>
          <w:spacing w:val="18"/>
          <w:position w:val="-6"/>
          <w:sz w:val="11"/>
        </w:rPr>
        <w:t> </w:t>
      </w:r>
      <w:r>
        <w:rPr/>
        <w:t>along</w:t>
      </w:r>
      <w:r>
        <w:rPr>
          <w:spacing w:val="-5"/>
        </w:rPr>
        <w:t> </w:t>
      </w:r>
      <w:r>
        <w:rPr/>
        <w:t>the</w:t>
      </w:r>
      <w:r>
        <w:rPr>
          <w:spacing w:val="-5"/>
        </w:rPr>
        <w:t> </w:t>
      </w:r>
      <w:r>
        <w:rPr/>
        <w:t>top</w:t>
      </w:r>
      <w:r>
        <w:rPr>
          <w:spacing w:val="-6"/>
        </w:rPr>
        <w:t> </w:t>
      </w:r>
      <w:r>
        <w:rPr/>
        <w:t>of</w:t>
      </w:r>
      <w:r>
        <w:rPr>
          <w:spacing w:val="-5"/>
        </w:rPr>
        <w:t> </w:t>
      </w:r>
      <w:r>
        <w:rPr/>
        <w:t>the reservoir,</w:t>
      </w:r>
      <w:r>
        <w:rPr>
          <w:spacing w:val="-12"/>
        </w:rPr>
        <w:t> </w:t>
      </w:r>
      <w:r>
        <w:rPr/>
        <w:t>particularly</w:t>
      </w:r>
      <w:r>
        <w:rPr>
          <w:spacing w:val="-12"/>
        </w:rPr>
        <w:t> </w:t>
      </w:r>
      <w:r>
        <w:rPr/>
        <w:t>if</w:t>
      </w:r>
      <w:r>
        <w:rPr>
          <w:spacing w:val="-12"/>
        </w:rPr>
        <w:t> </w:t>
      </w:r>
      <w:r>
        <w:rPr/>
        <w:t>the</w:t>
      </w:r>
      <w:r>
        <w:rPr>
          <w:spacing w:val="-12"/>
        </w:rPr>
        <w:t> </w:t>
      </w:r>
      <w:r>
        <w:rPr/>
        <w:t>reservoir</w:t>
      </w:r>
      <w:r>
        <w:rPr>
          <w:spacing w:val="-12"/>
        </w:rPr>
        <w:t> </w:t>
      </w:r>
      <w:r>
        <w:rPr/>
        <w:t>is</w:t>
      </w:r>
      <w:r>
        <w:rPr>
          <w:spacing w:val="-12"/>
        </w:rPr>
        <w:t> </w:t>
      </w:r>
      <w:r>
        <w:rPr/>
        <w:t>relatively</w:t>
      </w:r>
      <w:r>
        <w:rPr>
          <w:spacing w:val="-12"/>
        </w:rPr>
        <w:t> </w:t>
      </w:r>
      <w:r>
        <w:rPr/>
        <w:t>homogeneous</w:t>
      </w:r>
    </w:p>
    <w:p>
      <w:pPr>
        <w:pStyle w:val="BodyText"/>
        <w:spacing w:line="225" w:lineRule="auto" w:before="7"/>
        <w:ind w:left="157" w:right="531"/>
        <w:jc w:val="both"/>
      </w:pPr>
      <w:r>
        <w:rPr/>
        <w:t>and has high permeability, negatively affecting the</w:t>
      </w:r>
      <w:r>
        <w:rPr>
          <w:spacing w:val="-15"/>
        </w:rPr>
        <w:t> </w:t>
      </w:r>
      <w:r>
        <w:rPr/>
        <w:t>CO</w:t>
      </w:r>
      <w:r>
        <w:rPr>
          <w:position w:val="-6"/>
          <w:sz w:val="11"/>
        </w:rPr>
        <w:t>2 </w:t>
      </w:r>
      <w:r>
        <w:rPr/>
        <w:t>storage and oil recovery. Consequently, reservoir heterogeneity </w:t>
      </w:r>
      <w:r>
        <w:rPr>
          <w:spacing w:val="-5"/>
        </w:rPr>
        <w:t>may </w:t>
      </w:r>
      <w:r>
        <w:rPr/>
        <w:t>have a positive effect, slowing down the rise of CO</w:t>
      </w:r>
      <w:r>
        <w:rPr>
          <w:position w:val="-6"/>
          <w:sz w:val="11"/>
        </w:rPr>
        <w:t>2  </w:t>
      </w:r>
      <w:r>
        <w:rPr/>
        <w:t>to the </w:t>
      </w:r>
      <w:r>
        <w:rPr>
          <w:spacing w:val="9"/>
        </w:rPr>
        <w:t> </w:t>
      </w:r>
      <w:r>
        <w:rPr/>
        <w:t>top</w:t>
      </w:r>
    </w:p>
    <w:p>
      <w:pPr>
        <w:pStyle w:val="BodyText"/>
        <w:spacing w:line="192" w:lineRule="exact"/>
        <w:ind w:left="157"/>
        <w:jc w:val="both"/>
      </w:pPr>
      <w:r>
        <w:rPr/>
        <w:t>of</w:t>
      </w:r>
      <w:r>
        <w:rPr>
          <w:spacing w:val="13"/>
        </w:rPr>
        <w:t> </w:t>
      </w:r>
      <w:r>
        <w:rPr/>
        <w:t>the</w:t>
      </w:r>
      <w:r>
        <w:rPr>
          <w:spacing w:val="13"/>
        </w:rPr>
        <w:t> </w:t>
      </w:r>
      <w:r>
        <w:rPr/>
        <w:t>reservoir</w:t>
      </w:r>
      <w:r>
        <w:rPr>
          <w:spacing w:val="13"/>
        </w:rPr>
        <w:t> </w:t>
      </w:r>
      <w:r>
        <w:rPr/>
        <w:t>and</w:t>
      </w:r>
      <w:r>
        <w:rPr>
          <w:spacing w:val="13"/>
        </w:rPr>
        <w:t> </w:t>
      </w:r>
      <w:r>
        <w:rPr/>
        <w:t>forcing</w:t>
      </w:r>
      <w:r>
        <w:rPr>
          <w:spacing w:val="13"/>
        </w:rPr>
        <w:t> </w:t>
      </w:r>
      <w:r>
        <w:rPr/>
        <w:t>it</w:t>
      </w:r>
      <w:r>
        <w:rPr>
          <w:spacing w:val="13"/>
        </w:rPr>
        <w:t> </w:t>
      </w:r>
      <w:r>
        <w:rPr/>
        <w:t>to</w:t>
      </w:r>
      <w:r>
        <w:rPr>
          <w:spacing w:val="13"/>
        </w:rPr>
        <w:t> </w:t>
      </w:r>
      <w:r>
        <w:rPr/>
        <w:t>spread</w:t>
      </w:r>
      <w:r>
        <w:rPr>
          <w:spacing w:val="13"/>
        </w:rPr>
        <w:t> </w:t>
      </w:r>
      <w:r>
        <w:rPr/>
        <w:t>laterally,</w:t>
      </w:r>
      <w:r>
        <w:rPr>
          <w:spacing w:val="13"/>
        </w:rPr>
        <w:t> </w:t>
      </w:r>
      <w:r>
        <w:rPr/>
        <w:t>giving</w:t>
      </w:r>
      <w:r>
        <w:rPr>
          <w:spacing w:val="14"/>
        </w:rPr>
        <w:t> </w:t>
      </w:r>
      <w:r>
        <w:rPr/>
        <w:t>more</w:t>
      </w:r>
    </w:p>
    <w:p>
      <w:pPr>
        <w:pStyle w:val="BodyText"/>
        <w:spacing w:before="10"/>
        <w:ind w:left="157"/>
        <w:jc w:val="both"/>
      </w:pPr>
      <w:r>
        <w:rPr/>
        <w:t>complete</w:t>
      </w:r>
      <w:r>
        <w:rPr>
          <w:spacing w:val="-13"/>
        </w:rPr>
        <w:t> </w:t>
      </w:r>
      <w:r>
        <w:rPr/>
        <w:t>invasion</w:t>
      </w:r>
      <w:r>
        <w:rPr>
          <w:spacing w:val="-13"/>
        </w:rPr>
        <w:t> </w:t>
      </w:r>
      <w:r>
        <w:rPr/>
        <w:t>of</w:t>
      </w:r>
      <w:r>
        <w:rPr>
          <w:spacing w:val="-12"/>
        </w:rPr>
        <w:t> </w:t>
      </w:r>
      <w:r>
        <w:rPr/>
        <w:t>the</w:t>
      </w:r>
      <w:r>
        <w:rPr>
          <w:spacing w:val="-12"/>
        </w:rPr>
        <w:t> </w:t>
      </w:r>
      <w:r>
        <w:rPr/>
        <w:t>formation</w:t>
      </w:r>
      <w:r>
        <w:rPr>
          <w:spacing w:val="-13"/>
        </w:rPr>
        <w:t> </w:t>
      </w:r>
      <w:r>
        <w:rPr/>
        <w:t>and</w:t>
      </w:r>
      <w:r>
        <w:rPr>
          <w:spacing w:val="-13"/>
        </w:rPr>
        <w:t> </w:t>
      </w:r>
      <w:r>
        <w:rPr/>
        <w:t>greater</w:t>
      </w:r>
      <w:r>
        <w:rPr>
          <w:spacing w:val="-13"/>
        </w:rPr>
        <w:t> </w:t>
      </w:r>
      <w:r>
        <w:rPr/>
        <w:t>storage</w:t>
      </w:r>
      <w:r>
        <w:rPr>
          <w:spacing w:val="-12"/>
        </w:rPr>
        <w:t> </w:t>
      </w:r>
      <w:r>
        <w:rPr/>
        <w:t>potential</w:t>
      </w:r>
    </w:p>
    <w:p>
      <w:pPr>
        <w:pStyle w:val="BodyText"/>
        <w:spacing w:before="10"/>
        <w:ind w:left="157"/>
        <w:jc w:val="both"/>
      </w:pPr>
      <w:r>
        <w:rPr/>
        <w:t>(Bondor, 1992; Kovscek, 2002; Flett </w:t>
      </w:r>
      <w:r>
        <w:rPr>
          <w:i/>
        </w:rPr>
        <w:t>et al.</w:t>
      </w:r>
      <w:r>
        <w:rPr/>
        <w:t>, 2005).</w:t>
      </w:r>
    </w:p>
    <w:p>
      <w:pPr>
        <w:pStyle w:val="BodyText"/>
        <w:spacing w:before="8"/>
        <w:rPr>
          <w:sz w:val="21"/>
        </w:rPr>
      </w:pPr>
    </w:p>
    <w:p>
      <w:pPr>
        <w:pStyle w:val="ListParagraph"/>
        <w:numPr>
          <w:ilvl w:val="3"/>
          <w:numId w:val="4"/>
        </w:numPr>
        <w:tabs>
          <w:tab w:pos="978" w:val="left" w:leader="none"/>
        </w:tabs>
        <w:spacing w:line="240" w:lineRule="auto" w:before="0" w:after="0"/>
        <w:ind w:left="977" w:right="0" w:hanging="821"/>
        <w:jc w:val="both"/>
        <w:rPr>
          <w:i/>
          <w:sz w:val="20"/>
        </w:rPr>
      </w:pPr>
      <w:r>
        <w:rPr>
          <w:i/>
          <w:sz w:val="20"/>
        </w:rPr>
        <w:t>Enhanced gas</w:t>
      </w:r>
      <w:r>
        <w:rPr>
          <w:i/>
          <w:spacing w:val="-1"/>
          <w:sz w:val="20"/>
        </w:rPr>
        <w:t> </w:t>
      </w:r>
      <w:r>
        <w:rPr>
          <w:i/>
          <w:sz w:val="20"/>
        </w:rPr>
        <w:t>recovery</w:t>
      </w:r>
    </w:p>
    <w:p>
      <w:pPr>
        <w:pStyle w:val="BodyText"/>
        <w:spacing w:line="240" w:lineRule="exact" w:before="5"/>
        <w:ind w:left="157" w:right="530"/>
        <w:jc w:val="both"/>
      </w:pPr>
      <w:r>
        <w:rPr/>
        <w:t>Although up to 95% of original gas in place can be produced, CO</w:t>
      </w:r>
      <w:r>
        <w:rPr>
          <w:position w:val="-6"/>
          <w:sz w:val="11"/>
        </w:rPr>
        <w:t>2</w:t>
      </w:r>
      <w:r>
        <w:rPr>
          <w:spacing w:val="14"/>
          <w:position w:val="-6"/>
          <w:sz w:val="11"/>
        </w:rPr>
        <w:t> </w:t>
      </w:r>
      <w:r>
        <w:rPr/>
        <w:t>could</w:t>
      </w:r>
      <w:r>
        <w:rPr>
          <w:spacing w:val="-7"/>
        </w:rPr>
        <w:t> </w:t>
      </w:r>
      <w:r>
        <w:rPr/>
        <w:t>potentially</w:t>
      </w:r>
      <w:r>
        <w:rPr>
          <w:spacing w:val="-8"/>
        </w:rPr>
        <w:t> </w:t>
      </w:r>
      <w:r>
        <w:rPr/>
        <w:t>be</w:t>
      </w:r>
      <w:r>
        <w:rPr>
          <w:spacing w:val="-8"/>
        </w:rPr>
        <w:t> </w:t>
      </w:r>
      <w:r>
        <w:rPr/>
        <w:t>injected</w:t>
      </w:r>
      <w:r>
        <w:rPr>
          <w:spacing w:val="-7"/>
        </w:rPr>
        <w:t> </w:t>
      </w:r>
      <w:r>
        <w:rPr/>
        <w:t>into</w:t>
      </w:r>
      <w:r>
        <w:rPr>
          <w:spacing w:val="-8"/>
        </w:rPr>
        <w:t> </w:t>
      </w:r>
      <w:r>
        <w:rPr/>
        <w:t>depleted</w:t>
      </w:r>
      <w:r>
        <w:rPr>
          <w:spacing w:val="-8"/>
        </w:rPr>
        <w:t> </w:t>
      </w:r>
      <w:r>
        <w:rPr/>
        <w:t>gas</w:t>
      </w:r>
      <w:r>
        <w:rPr>
          <w:spacing w:val="-7"/>
        </w:rPr>
        <w:t> </w:t>
      </w:r>
      <w:r>
        <w:rPr/>
        <w:t>reservoirs</w:t>
      </w:r>
      <w:r>
        <w:rPr>
          <w:spacing w:val="-8"/>
        </w:rPr>
        <w:t> </w:t>
      </w:r>
      <w:r>
        <w:rPr/>
        <w:t>to enhance gas recovery by repressurizing the reservoir (van </w:t>
      </w:r>
      <w:r>
        <w:rPr>
          <w:spacing w:val="-5"/>
        </w:rPr>
        <w:t>der </w:t>
      </w:r>
      <w:r>
        <w:rPr/>
        <w:t>Burgt </w:t>
      </w:r>
      <w:r>
        <w:rPr>
          <w:i/>
        </w:rPr>
        <w:t>et al.</w:t>
      </w:r>
      <w:r>
        <w:rPr/>
        <w:t>, 1992; Koide and </w:t>
      </w:r>
      <w:r>
        <w:rPr>
          <w:spacing w:val="-3"/>
        </w:rPr>
        <w:t>Yamazaki, </w:t>
      </w:r>
      <w:r>
        <w:rPr/>
        <w:t>2001; Oldenburg </w:t>
      </w:r>
      <w:r>
        <w:rPr>
          <w:i/>
        </w:rPr>
        <w:t>et </w:t>
      </w:r>
      <w:r>
        <w:rPr>
          <w:i/>
        </w:rPr>
        <w:t>al.</w:t>
      </w:r>
      <w:r>
        <w:rPr/>
        <w:t>,</w:t>
      </w:r>
      <w:r>
        <w:rPr>
          <w:spacing w:val="-5"/>
        </w:rPr>
        <w:t> </w:t>
      </w:r>
      <w:r>
        <w:rPr/>
        <w:t>2001).</w:t>
      </w:r>
      <w:r>
        <w:rPr>
          <w:spacing w:val="-4"/>
        </w:rPr>
        <w:t> </w:t>
      </w:r>
      <w:r>
        <w:rPr/>
        <w:t>Enhanced</w:t>
      </w:r>
      <w:r>
        <w:rPr>
          <w:spacing w:val="-4"/>
        </w:rPr>
        <w:t> </w:t>
      </w:r>
      <w:r>
        <w:rPr/>
        <w:t>gas</w:t>
      </w:r>
      <w:r>
        <w:rPr>
          <w:spacing w:val="-4"/>
        </w:rPr>
        <w:t> </w:t>
      </w:r>
      <w:r>
        <w:rPr/>
        <w:t>recovery</w:t>
      </w:r>
      <w:r>
        <w:rPr>
          <w:spacing w:val="-4"/>
        </w:rPr>
        <w:t> </w:t>
      </w:r>
      <w:r>
        <w:rPr/>
        <w:t>has</w:t>
      </w:r>
      <w:r>
        <w:rPr>
          <w:spacing w:val="-5"/>
        </w:rPr>
        <w:t> </w:t>
      </w:r>
      <w:r>
        <w:rPr/>
        <w:t>so</w:t>
      </w:r>
      <w:r>
        <w:rPr>
          <w:spacing w:val="-4"/>
        </w:rPr>
        <w:t> </w:t>
      </w:r>
      <w:r>
        <w:rPr/>
        <w:t>far</w:t>
      </w:r>
      <w:r>
        <w:rPr>
          <w:spacing w:val="-4"/>
        </w:rPr>
        <w:t> </w:t>
      </w:r>
      <w:r>
        <w:rPr/>
        <w:t>been</w:t>
      </w:r>
      <w:r>
        <w:rPr>
          <w:spacing w:val="-4"/>
        </w:rPr>
        <w:t> </w:t>
      </w:r>
      <w:r>
        <w:rPr/>
        <w:t>implemented only</w:t>
      </w:r>
      <w:r>
        <w:rPr>
          <w:spacing w:val="8"/>
        </w:rPr>
        <w:t> </w:t>
      </w:r>
      <w:r>
        <w:rPr/>
        <w:t>at</w:t>
      </w:r>
      <w:r>
        <w:rPr>
          <w:spacing w:val="8"/>
        </w:rPr>
        <w:t> </w:t>
      </w:r>
      <w:r>
        <w:rPr/>
        <w:t>pilot</w:t>
      </w:r>
      <w:r>
        <w:rPr>
          <w:spacing w:val="9"/>
        </w:rPr>
        <w:t> </w:t>
      </w:r>
      <w:r>
        <w:rPr/>
        <w:t>scale</w:t>
      </w:r>
      <w:r>
        <w:rPr>
          <w:spacing w:val="8"/>
        </w:rPr>
        <w:t> </w:t>
      </w:r>
      <w:r>
        <w:rPr/>
        <w:t>(Gaz</w:t>
      </w:r>
      <w:r>
        <w:rPr>
          <w:spacing w:val="9"/>
        </w:rPr>
        <w:t> </w:t>
      </w:r>
      <w:r>
        <w:rPr/>
        <w:t>de</w:t>
      </w:r>
      <w:r>
        <w:rPr>
          <w:spacing w:val="8"/>
        </w:rPr>
        <w:t> </w:t>
      </w:r>
      <w:r>
        <w:rPr/>
        <w:t>France</w:t>
      </w:r>
      <w:r>
        <w:rPr>
          <w:spacing w:val="9"/>
        </w:rPr>
        <w:t> </w:t>
      </w:r>
      <w:r>
        <w:rPr/>
        <w:t>K12B</w:t>
      </w:r>
      <w:r>
        <w:rPr>
          <w:spacing w:val="8"/>
        </w:rPr>
        <w:t> </w:t>
      </w:r>
      <w:r>
        <w:rPr/>
        <w:t>project,</w:t>
      </w:r>
      <w:r>
        <w:rPr>
          <w:spacing w:val="9"/>
        </w:rPr>
        <w:t> </w:t>
      </w:r>
      <w:r>
        <w:rPr/>
        <w:t>Netherlands,</w:t>
      </w:r>
    </w:p>
    <w:p>
      <w:pPr>
        <w:spacing w:after="0" w:line="240" w:lineRule="exact"/>
        <w:jc w:val="both"/>
        <w:sectPr>
          <w:type w:val="continuous"/>
          <w:pgSz w:w="12240" w:h="15840"/>
          <w:pgMar w:top="400" w:bottom="280" w:left="580" w:right="600"/>
          <w:cols w:num="2" w:equalWidth="0">
            <w:col w:w="5245" w:space="81"/>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25" w:lineRule="auto" w:before="71"/>
        <w:ind w:left="553" w:right="8"/>
        <w:jc w:val="both"/>
      </w:pPr>
      <w:bookmarkStart w:name="5.3.3 Saline formations" w:id="46"/>
      <w:bookmarkEnd w:id="46"/>
      <w:r>
        <w:rPr/>
      </w:r>
      <w:bookmarkStart w:name="5.3.4 Coal seams" w:id="47"/>
      <w:bookmarkEnd w:id="47"/>
      <w:r>
        <w:rPr/>
      </w:r>
      <w:hyperlink w:history="true" w:anchor="_bookmark4">
        <w:r>
          <w:rPr/>
          <w:t>Table 5.1) </w:t>
        </w:r>
      </w:hyperlink>
      <w:r>
        <w:rPr/>
        <w:t>and some authors have suggested that CO</w:t>
      </w:r>
      <w:r>
        <w:rPr>
          <w:position w:val="-6"/>
          <w:sz w:val="11"/>
        </w:rPr>
        <w:t>2 </w:t>
      </w:r>
      <w:r>
        <w:rPr/>
        <w:t>injection might result in lower gas recovery factors, particularly for very heterogeneous fields (Clemens and Wit, 2002).</w:t>
      </w:r>
    </w:p>
    <w:p>
      <w:pPr>
        <w:pStyle w:val="BodyText"/>
        <w:rPr>
          <w:sz w:val="22"/>
        </w:rPr>
      </w:pPr>
    </w:p>
    <w:p>
      <w:pPr>
        <w:pStyle w:val="Heading2"/>
        <w:numPr>
          <w:ilvl w:val="2"/>
          <w:numId w:val="4"/>
        </w:numPr>
        <w:tabs>
          <w:tab w:pos="1373" w:val="left" w:leader="none"/>
          <w:tab w:pos="1374" w:val="left" w:leader="none"/>
        </w:tabs>
        <w:spacing w:line="240" w:lineRule="auto" w:before="0" w:after="0"/>
        <w:ind w:left="1373" w:right="0" w:hanging="821"/>
        <w:jc w:val="left"/>
        <w:rPr>
          <w:i/>
        </w:rPr>
      </w:pPr>
      <w:r>
        <w:rPr>
          <w:i/>
        </w:rPr>
        <w:t>Saline</w:t>
      </w:r>
      <w:r>
        <w:rPr>
          <w:i/>
          <w:spacing w:val="-2"/>
        </w:rPr>
        <w:t> </w:t>
      </w:r>
      <w:r>
        <w:rPr>
          <w:i/>
        </w:rPr>
        <w:t>formations</w:t>
      </w:r>
    </w:p>
    <w:p>
      <w:pPr>
        <w:pStyle w:val="BodyText"/>
        <w:spacing w:before="3"/>
        <w:rPr>
          <w:b/>
          <w:i/>
          <w:sz w:val="21"/>
        </w:rPr>
      </w:pPr>
    </w:p>
    <w:p>
      <w:pPr>
        <w:pStyle w:val="BodyText"/>
        <w:spacing w:line="240" w:lineRule="exact"/>
        <w:ind w:left="553" w:right="8"/>
        <w:jc w:val="both"/>
      </w:pPr>
      <w:r>
        <w:rPr/>
        <w:t>Saline formations are deep sedimentary rocks saturated with formation waters or brines containing high concentrations of dissolved salts. These formations are widespread and contain enormous quantities of </w:t>
      </w:r>
      <w:r>
        <w:rPr>
          <w:spacing w:val="-3"/>
        </w:rPr>
        <w:t>water, </w:t>
      </w:r>
      <w:r>
        <w:rPr/>
        <w:t>but are unsuitable for agriculture or human consumption. Saline brines are used locally by the chemical industry and formation waters of varying salinity are used in health spas and for producing low-enthalpy geothermal </w:t>
      </w:r>
      <w:r>
        <w:rPr>
          <w:spacing w:val="-3"/>
        </w:rPr>
        <w:t>energy. </w:t>
      </w:r>
      <w:r>
        <w:rPr/>
        <w:t>Because the use of geothermal energy is likely </w:t>
      </w:r>
      <w:r>
        <w:rPr>
          <w:spacing w:val="-7"/>
        </w:rPr>
        <w:t>to </w:t>
      </w:r>
      <w:r>
        <w:rPr/>
        <w:t>increase,</w:t>
      </w:r>
      <w:r>
        <w:rPr>
          <w:spacing w:val="-13"/>
        </w:rPr>
        <w:t> </w:t>
      </w:r>
      <w:r>
        <w:rPr/>
        <w:t>potential</w:t>
      </w:r>
      <w:r>
        <w:rPr>
          <w:spacing w:val="-12"/>
        </w:rPr>
        <w:t> </w:t>
      </w:r>
      <w:r>
        <w:rPr/>
        <w:t>geothermal</w:t>
      </w:r>
      <w:r>
        <w:rPr>
          <w:spacing w:val="-13"/>
        </w:rPr>
        <w:t> </w:t>
      </w:r>
      <w:r>
        <w:rPr/>
        <w:t>areas</w:t>
      </w:r>
      <w:r>
        <w:rPr>
          <w:spacing w:val="-12"/>
        </w:rPr>
        <w:t> </w:t>
      </w:r>
      <w:r>
        <w:rPr/>
        <w:t>may</w:t>
      </w:r>
      <w:r>
        <w:rPr>
          <w:spacing w:val="-12"/>
        </w:rPr>
        <w:t> </w:t>
      </w:r>
      <w:r>
        <w:rPr/>
        <w:t>not</w:t>
      </w:r>
      <w:r>
        <w:rPr>
          <w:spacing w:val="-13"/>
        </w:rPr>
        <w:t> </w:t>
      </w:r>
      <w:r>
        <w:rPr/>
        <w:t>be</w:t>
      </w:r>
      <w:r>
        <w:rPr>
          <w:spacing w:val="-12"/>
        </w:rPr>
        <w:t> </w:t>
      </w:r>
      <w:r>
        <w:rPr/>
        <w:t>suitable</w:t>
      </w:r>
      <w:r>
        <w:rPr>
          <w:spacing w:val="-13"/>
        </w:rPr>
        <w:t> </w:t>
      </w:r>
      <w:r>
        <w:rPr/>
        <w:t>for</w:t>
      </w:r>
      <w:r>
        <w:rPr>
          <w:spacing w:val="-12"/>
        </w:rPr>
        <w:t> </w:t>
      </w:r>
      <w:r>
        <w:rPr/>
        <w:t>CO</w:t>
      </w:r>
      <w:r>
        <w:rPr>
          <w:position w:val="-6"/>
          <w:sz w:val="11"/>
        </w:rPr>
        <w:t>2 </w:t>
      </w:r>
      <w:r>
        <w:rPr/>
        <w:t>storage.</w:t>
      </w:r>
      <w:r>
        <w:rPr>
          <w:spacing w:val="-9"/>
        </w:rPr>
        <w:t> </w:t>
      </w:r>
      <w:r>
        <w:rPr/>
        <w:t>It</w:t>
      </w:r>
      <w:r>
        <w:rPr>
          <w:spacing w:val="-8"/>
        </w:rPr>
        <w:t> </w:t>
      </w:r>
      <w:r>
        <w:rPr/>
        <w:t>has</w:t>
      </w:r>
      <w:r>
        <w:rPr>
          <w:spacing w:val="-7"/>
        </w:rPr>
        <w:t> </w:t>
      </w:r>
      <w:r>
        <w:rPr/>
        <w:t>been</w:t>
      </w:r>
      <w:r>
        <w:rPr>
          <w:spacing w:val="-8"/>
        </w:rPr>
        <w:t> </w:t>
      </w:r>
      <w:r>
        <w:rPr/>
        <w:t>suggested</w:t>
      </w:r>
      <w:r>
        <w:rPr>
          <w:spacing w:val="-8"/>
        </w:rPr>
        <w:t> </w:t>
      </w:r>
      <w:r>
        <w:rPr/>
        <w:t>that</w:t>
      </w:r>
      <w:r>
        <w:rPr>
          <w:spacing w:val="-8"/>
        </w:rPr>
        <w:t> </w:t>
      </w:r>
      <w:r>
        <w:rPr/>
        <w:t>combined</w:t>
      </w:r>
      <w:r>
        <w:rPr>
          <w:spacing w:val="-7"/>
        </w:rPr>
        <w:t> </w:t>
      </w:r>
      <w:r>
        <w:rPr/>
        <w:t>geological</w:t>
      </w:r>
      <w:r>
        <w:rPr>
          <w:spacing w:val="-8"/>
        </w:rPr>
        <w:t> </w:t>
      </w:r>
      <w:r>
        <w:rPr/>
        <w:t>storage and geothermal energy may be feasible, but regions with good geothermal energy potential are generally less favourable </w:t>
      </w:r>
      <w:r>
        <w:rPr>
          <w:spacing w:val="-5"/>
        </w:rPr>
        <w:t>for </w:t>
      </w:r>
      <w:r>
        <w:rPr/>
        <w:t>CO</w:t>
      </w:r>
      <w:r>
        <w:rPr>
          <w:position w:val="-6"/>
          <w:sz w:val="11"/>
        </w:rPr>
        <w:t>2 </w:t>
      </w:r>
      <w:r>
        <w:rPr/>
        <w:t>geological storage because of the high degree of faulting and</w:t>
      </w:r>
      <w:r>
        <w:rPr>
          <w:spacing w:val="-10"/>
        </w:rPr>
        <w:t> </w:t>
      </w:r>
      <w:r>
        <w:rPr/>
        <w:t>fracturing</w:t>
      </w:r>
      <w:r>
        <w:rPr>
          <w:spacing w:val="-10"/>
        </w:rPr>
        <w:t> </w:t>
      </w:r>
      <w:r>
        <w:rPr/>
        <w:t>and</w:t>
      </w:r>
      <w:r>
        <w:rPr>
          <w:spacing w:val="-10"/>
        </w:rPr>
        <w:t> </w:t>
      </w:r>
      <w:r>
        <w:rPr/>
        <w:t>the</w:t>
      </w:r>
      <w:r>
        <w:rPr>
          <w:spacing w:val="-9"/>
        </w:rPr>
        <w:t> </w:t>
      </w:r>
      <w:r>
        <w:rPr/>
        <w:t>sharp</w:t>
      </w:r>
      <w:r>
        <w:rPr>
          <w:spacing w:val="-10"/>
        </w:rPr>
        <w:t> </w:t>
      </w:r>
      <w:r>
        <w:rPr/>
        <w:t>increase</w:t>
      </w:r>
      <w:r>
        <w:rPr>
          <w:spacing w:val="-10"/>
        </w:rPr>
        <w:t> </w:t>
      </w:r>
      <w:r>
        <w:rPr/>
        <w:t>of</w:t>
      </w:r>
      <w:r>
        <w:rPr>
          <w:spacing w:val="-10"/>
        </w:rPr>
        <w:t> </w:t>
      </w:r>
      <w:r>
        <w:rPr/>
        <w:t>temperature</w:t>
      </w:r>
      <w:r>
        <w:rPr>
          <w:spacing w:val="-9"/>
        </w:rPr>
        <w:t> </w:t>
      </w:r>
      <w:r>
        <w:rPr/>
        <w:t>with</w:t>
      </w:r>
      <w:r>
        <w:rPr>
          <w:spacing w:val="-10"/>
        </w:rPr>
        <w:t> </w:t>
      </w:r>
      <w:r>
        <w:rPr/>
        <w:t>depth. In very arid regions, deep saline formations may be considered for future water</w:t>
      </w:r>
      <w:r>
        <w:rPr>
          <w:spacing w:val="-2"/>
        </w:rPr>
        <w:t> </w:t>
      </w:r>
      <w:r>
        <w:rPr/>
        <w:t>desalinization.</w:t>
      </w:r>
    </w:p>
    <w:p>
      <w:pPr>
        <w:pStyle w:val="BodyText"/>
        <w:spacing w:line="240" w:lineRule="exact"/>
        <w:ind w:left="553" w:firstLine="283"/>
        <w:jc w:val="both"/>
      </w:pPr>
      <w:r>
        <w:rPr/>
        <w:t>The Sleipner Project in the North Sea is the best available example</w:t>
      </w:r>
      <w:r>
        <w:rPr>
          <w:spacing w:val="-17"/>
        </w:rPr>
        <w:t> </w:t>
      </w:r>
      <w:r>
        <w:rPr/>
        <w:t>of</w:t>
      </w:r>
      <w:r>
        <w:rPr>
          <w:spacing w:val="-17"/>
        </w:rPr>
        <w:t> </w:t>
      </w:r>
      <w:r>
        <w:rPr/>
        <w:t>a</w:t>
      </w:r>
      <w:r>
        <w:rPr>
          <w:spacing w:val="-17"/>
        </w:rPr>
        <w:t> </w:t>
      </w:r>
      <w:r>
        <w:rPr/>
        <w:t>CO</w:t>
      </w:r>
      <w:r>
        <w:rPr>
          <w:position w:val="-6"/>
          <w:sz w:val="11"/>
        </w:rPr>
        <w:t>2</w:t>
      </w:r>
      <w:r>
        <w:rPr>
          <w:spacing w:val="6"/>
          <w:position w:val="-6"/>
          <w:sz w:val="11"/>
        </w:rPr>
        <w:t> </w:t>
      </w:r>
      <w:r>
        <w:rPr/>
        <w:t>storage</w:t>
      </w:r>
      <w:r>
        <w:rPr>
          <w:spacing w:val="-18"/>
        </w:rPr>
        <w:t> </w:t>
      </w:r>
      <w:r>
        <w:rPr/>
        <w:t>project</w:t>
      </w:r>
      <w:r>
        <w:rPr>
          <w:spacing w:val="-17"/>
        </w:rPr>
        <w:t> </w:t>
      </w:r>
      <w:r>
        <w:rPr/>
        <w:t>in</w:t>
      </w:r>
      <w:r>
        <w:rPr>
          <w:spacing w:val="-17"/>
        </w:rPr>
        <w:t> </w:t>
      </w:r>
      <w:r>
        <w:rPr/>
        <w:t>a</w:t>
      </w:r>
      <w:r>
        <w:rPr>
          <w:spacing w:val="-16"/>
        </w:rPr>
        <w:t> </w:t>
      </w:r>
      <w:r>
        <w:rPr/>
        <w:t>saline</w:t>
      </w:r>
      <w:r>
        <w:rPr>
          <w:spacing w:val="-18"/>
        </w:rPr>
        <w:t> </w:t>
      </w:r>
      <w:r>
        <w:rPr/>
        <w:t>formation</w:t>
      </w:r>
      <w:r>
        <w:rPr>
          <w:spacing w:val="-17"/>
        </w:rPr>
        <w:t> </w:t>
      </w:r>
      <w:hyperlink w:history="true" w:anchor="_bookmark5">
        <w:r>
          <w:rPr/>
          <w:t>(Box</w:t>
        </w:r>
        <w:r>
          <w:rPr>
            <w:spacing w:val="-17"/>
          </w:rPr>
          <w:t> </w:t>
        </w:r>
      </w:hyperlink>
      <w:r>
        <w:rPr/>
        <w:t>5.1). It</w:t>
      </w:r>
      <w:r>
        <w:rPr>
          <w:spacing w:val="-11"/>
        </w:rPr>
        <w:t> </w:t>
      </w:r>
      <w:r>
        <w:rPr/>
        <w:t>was</w:t>
      </w:r>
      <w:r>
        <w:rPr>
          <w:spacing w:val="-11"/>
        </w:rPr>
        <w:t> </w:t>
      </w:r>
      <w:r>
        <w:rPr/>
        <w:t>the</w:t>
      </w:r>
      <w:r>
        <w:rPr>
          <w:spacing w:val="-11"/>
        </w:rPr>
        <w:t> </w:t>
      </w:r>
      <w:r>
        <w:rPr/>
        <w:t>first</w:t>
      </w:r>
      <w:r>
        <w:rPr>
          <w:spacing w:val="-11"/>
        </w:rPr>
        <w:t> </w:t>
      </w:r>
      <w:r>
        <w:rPr/>
        <w:t>commercial-scale</w:t>
      </w:r>
      <w:r>
        <w:rPr>
          <w:spacing w:val="-11"/>
        </w:rPr>
        <w:t> </w:t>
      </w:r>
      <w:r>
        <w:rPr/>
        <w:t>project</w:t>
      </w:r>
      <w:r>
        <w:rPr>
          <w:spacing w:val="-11"/>
        </w:rPr>
        <w:t> </w:t>
      </w:r>
      <w:r>
        <w:rPr/>
        <w:t>dedicated</w:t>
      </w:r>
      <w:r>
        <w:rPr>
          <w:spacing w:val="-11"/>
        </w:rPr>
        <w:t> </w:t>
      </w:r>
      <w:r>
        <w:rPr/>
        <w:t>to</w:t>
      </w:r>
      <w:r>
        <w:rPr>
          <w:spacing w:val="-11"/>
        </w:rPr>
        <w:t> </w:t>
      </w:r>
      <w:r>
        <w:rPr/>
        <w:t>geological CO</w:t>
      </w:r>
      <w:r>
        <w:rPr>
          <w:position w:val="-6"/>
          <w:sz w:val="11"/>
        </w:rPr>
        <w:t>2</w:t>
      </w:r>
      <w:r>
        <w:rPr>
          <w:spacing w:val="7"/>
          <w:position w:val="-6"/>
          <w:sz w:val="11"/>
        </w:rPr>
        <w:t> </w:t>
      </w:r>
      <w:r>
        <w:rPr/>
        <w:t>storage.</w:t>
      </w:r>
      <w:r>
        <w:rPr>
          <w:spacing w:val="-25"/>
        </w:rPr>
        <w:t> </w:t>
      </w:r>
      <w:r>
        <w:rPr/>
        <w:t>Approximately</w:t>
      </w:r>
      <w:r>
        <w:rPr>
          <w:spacing w:val="-15"/>
        </w:rPr>
        <w:t> </w:t>
      </w:r>
      <w:r>
        <w:rPr/>
        <w:t>1</w:t>
      </w:r>
      <w:r>
        <w:rPr>
          <w:spacing w:val="-15"/>
        </w:rPr>
        <w:t> </w:t>
      </w:r>
      <w:r>
        <w:rPr/>
        <w:t>MtCO</w:t>
      </w:r>
      <w:r>
        <w:rPr>
          <w:position w:val="-6"/>
          <w:sz w:val="11"/>
        </w:rPr>
        <w:t>2</w:t>
      </w:r>
      <w:r>
        <w:rPr>
          <w:spacing w:val="8"/>
          <w:position w:val="-6"/>
          <w:sz w:val="11"/>
        </w:rPr>
        <w:t> </w:t>
      </w:r>
      <w:r>
        <w:rPr/>
        <w:t>is</w:t>
      </w:r>
      <w:r>
        <w:rPr>
          <w:spacing w:val="-15"/>
        </w:rPr>
        <w:t> </w:t>
      </w:r>
      <w:r>
        <w:rPr/>
        <w:t>removed</w:t>
      </w:r>
      <w:r>
        <w:rPr>
          <w:spacing w:val="-15"/>
        </w:rPr>
        <w:t> </w:t>
      </w:r>
      <w:r>
        <w:rPr/>
        <w:t>annually</w:t>
      </w:r>
      <w:r>
        <w:rPr>
          <w:spacing w:val="-14"/>
        </w:rPr>
        <w:t> </w:t>
      </w:r>
      <w:r>
        <w:rPr/>
        <w:t>from the produced natural gas and injected underground at </w:t>
      </w:r>
      <w:r>
        <w:rPr>
          <w:spacing w:val="-3"/>
        </w:rPr>
        <w:t>Sleipner. </w:t>
      </w:r>
      <w:r>
        <w:rPr/>
        <w:t>The operation started in October 1996 and over the lifetime   of the project a total of 20 MtCO</w:t>
      </w:r>
      <w:r>
        <w:rPr>
          <w:position w:val="-6"/>
          <w:sz w:val="11"/>
        </w:rPr>
        <w:t>2 </w:t>
      </w:r>
      <w:r>
        <w:rPr/>
        <w:t>is expected to be stored. A simplified diagram of the Sleipner scheme is given in </w:t>
      </w:r>
      <w:hyperlink w:history="true" w:anchor="_bookmark7">
        <w:r>
          <w:rPr/>
          <w:t>Figure</w:t>
        </w:r>
      </w:hyperlink>
      <w:r>
        <w:rPr/>
        <w:t> </w:t>
      </w:r>
      <w:hyperlink w:history="true" w:anchor="_bookmark7">
        <w:r>
          <w:rPr/>
          <w:t>5.4.</w:t>
        </w:r>
      </w:hyperlink>
    </w:p>
    <w:p>
      <w:pPr>
        <w:pStyle w:val="BodyText"/>
        <w:spacing w:line="240" w:lineRule="exact"/>
        <w:ind w:left="553" w:right="7" w:firstLine="283"/>
        <w:jc w:val="both"/>
      </w:pPr>
      <w:r>
        <w:rPr/>
        <w:t>The CO</w:t>
      </w:r>
      <w:r>
        <w:rPr>
          <w:position w:val="-6"/>
          <w:sz w:val="11"/>
        </w:rPr>
        <w:t>2 </w:t>
      </w:r>
      <w:r>
        <w:rPr/>
        <w:t>is injected into poorly cemented sands about 800– 1000 m below the sea </w:t>
      </w:r>
      <w:r>
        <w:rPr>
          <w:spacing w:val="-3"/>
        </w:rPr>
        <w:t>floor. </w:t>
      </w:r>
      <w:r>
        <w:rPr/>
        <w:t>The sandstone contains secondary thin</w:t>
      </w:r>
      <w:r>
        <w:rPr>
          <w:spacing w:val="-12"/>
        </w:rPr>
        <w:t> </w:t>
      </w:r>
      <w:r>
        <w:rPr/>
        <w:t>shale</w:t>
      </w:r>
      <w:r>
        <w:rPr>
          <w:spacing w:val="-11"/>
        </w:rPr>
        <w:t> </w:t>
      </w:r>
      <w:r>
        <w:rPr/>
        <w:t>or</w:t>
      </w:r>
      <w:r>
        <w:rPr>
          <w:spacing w:val="-11"/>
        </w:rPr>
        <w:t> </w:t>
      </w:r>
      <w:r>
        <w:rPr/>
        <w:t>clay</w:t>
      </w:r>
      <w:r>
        <w:rPr>
          <w:spacing w:val="-11"/>
        </w:rPr>
        <w:t> </w:t>
      </w:r>
      <w:r>
        <w:rPr/>
        <w:t>layers,</w:t>
      </w:r>
      <w:r>
        <w:rPr>
          <w:spacing w:val="-11"/>
        </w:rPr>
        <w:t> </w:t>
      </w:r>
      <w:r>
        <w:rPr/>
        <w:t>which</w:t>
      </w:r>
      <w:r>
        <w:rPr>
          <w:spacing w:val="-11"/>
        </w:rPr>
        <w:t> </w:t>
      </w:r>
      <w:r>
        <w:rPr/>
        <w:t>influence</w:t>
      </w:r>
      <w:r>
        <w:rPr>
          <w:spacing w:val="-11"/>
        </w:rPr>
        <w:t> </w:t>
      </w:r>
      <w:r>
        <w:rPr/>
        <w:t>the</w:t>
      </w:r>
      <w:r>
        <w:rPr>
          <w:spacing w:val="-11"/>
        </w:rPr>
        <w:t> </w:t>
      </w:r>
      <w:r>
        <w:rPr/>
        <w:t>internal</w:t>
      </w:r>
      <w:r>
        <w:rPr>
          <w:spacing w:val="-11"/>
        </w:rPr>
        <w:t> </w:t>
      </w:r>
      <w:r>
        <w:rPr/>
        <w:t>movement of injected CO</w:t>
      </w:r>
      <w:r>
        <w:rPr>
          <w:position w:val="-6"/>
          <w:sz w:val="11"/>
        </w:rPr>
        <w:t>2</w:t>
      </w:r>
      <w:r>
        <w:rPr/>
        <w:t>. The overlying primary seal is an extensive thick shale or clay layer. The saline formation into which CO</w:t>
      </w:r>
      <w:r>
        <w:rPr>
          <w:position w:val="-6"/>
          <w:sz w:val="11"/>
        </w:rPr>
        <w:t>2 </w:t>
      </w:r>
      <w:r>
        <w:rPr/>
        <w:t>is injected has a very large storage</w:t>
      </w:r>
      <w:r>
        <w:rPr>
          <w:spacing w:val="-6"/>
        </w:rPr>
        <w:t> </w:t>
      </w:r>
      <w:r>
        <w:rPr/>
        <w:t>capacity.</w:t>
      </w:r>
    </w:p>
    <w:p>
      <w:pPr>
        <w:pStyle w:val="BodyText"/>
        <w:spacing w:line="240" w:lineRule="exact"/>
        <w:ind w:left="553" w:right="8" w:firstLine="283"/>
        <w:jc w:val="both"/>
      </w:pPr>
      <w:r>
        <w:rPr/>
        <w:t>The fate and transport of the Sleipner CO</w:t>
      </w:r>
      <w:r>
        <w:rPr>
          <w:position w:val="-6"/>
          <w:sz w:val="11"/>
        </w:rPr>
        <w:t>2 </w:t>
      </w:r>
      <w:r>
        <w:rPr/>
        <w:t>plume has been successfull</w:t>
      </w:r>
      <w:hyperlink w:history="true" w:anchor="_bookmark28">
        <w:r>
          <w:rPr/>
          <w:t>y monitored (Figure 5.16)</w:t>
        </w:r>
      </w:hyperlink>
      <w:r>
        <w:rPr/>
        <w:t> by seismic time-lapse surveys (Section 5.6). These surveys have  helped  improve the conceptual model for the fate and transport of </w:t>
      </w:r>
      <w:hyperlink w:history="true" w:anchor="_bookmark28">
        <w:r>
          <w:rPr/>
          <w:t>stored CO</w:t>
        </w:r>
        <w:r>
          <w:rPr>
            <w:position w:val="-6"/>
            <w:sz w:val="11"/>
          </w:rPr>
          <w:t>2</w:t>
        </w:r>
        <w:r>
          <w:rPr/>
          <w:t>.</w:t>
        </w:r>
      </w:hyperlink>
      <w:r>
        <w:rPr/>
        <w:t> The vertical cross-section of the plume shown in </w:t>
      </w:r>
      <w:hyperlink w:history="true" w:anchor="_bookmark28">
        <w:r>
          <w:rPr/>
          <w:t>Figure 5.16</w:t>
        </w:r>
      </w:hyperlink>
      <w:r>
        <w:rPr/>
        <w:t> indicates both the upward migration of CO</w:t>
      </w:r>
      <w:r>
        <w:rPr>
          <w:position w:val="-6"/>
          <w:sz w:val="11"/>
        </w:rPr>
        <w:t>2 </w:t>
      </w:r>
      <w:r>
        <w:rPr/>
        <w:t>(due to buoyancy forces) and the role of lower permeability strata within the formation, diverting some of the CO</w:t>
      </w:r>
      <w:r>
        <w:rPr>
          <w:position w:val="-6"/>
          <w:sz w:val="11"/>
        </w:rPr>
        <w:t>2 </w:t>
      </w:r>
      <w:r>
        <w:rPr/>
        <w:t>laterally, thus spreading out</w:t>
      </w:r>
      <w:r>
        <w:rPr>
          <w:spacing w:val="-7"/>
        </w:rPr>
        <w:t> </w:t>
      </w:r>
      <w:r>
        <w:rPr/>
        <w:t>the</w:t>
      </w:r>
      <w:r>
        <w:rPr>
          <w:spacing w:val="-6"/>
        </w:rPr>
        <w:t> </w:t>
      </w:r>
      <w:r>
        <w:rPr/>
        <w:t>plume</w:t>
      </w:r>
      <w:r>
        <w:rPr>
          <w:spacing w:val="-6"/>
        </w:rPr>
        <w:t> </w:t>
      </w:r>
      <w:r>
        <w:rPr/>
        <w:t>over</w:t>
      </w:r>
      <w:r>
        <w:rPr>
          <w:spacing w:val="-6"/>
        </w:rPr>
        <w:t> </w:t>
      </w:r>
      <w:r>
        <w:rPr/>
        <w:t>a</w:t>
      </w:r>
      <w:r>
        <w:rPr>
          <w:spacing w:val="-6"/>
        </w:rPr>
        <w:t> </w:t>
      </w:r>
      <w:r>
        <w:rPr/>
        <w:t>larger</w:t>
      </w:r>
      <w:r>
        <w:rPr>
          <w:spacing w:val="-6"/>
        </w:rPr>
        <w:t> </w:t>
      </w:r>
      <w:r>
        <w:rPr/>
        <w:t>area.</w:t>
      </w:r>
      <w:r>
        <w:rPr>
          <w:spacing w:val="-10"/>
        </w:rPr>
        <w:t> </w:t>
      </w:r>
      <w:r>
        <w:rPr/>
        <w:t>The</w:t>
      </w:r>
      <w:r>
        <w:rPr>
          <w:spacing w:val="-6"/>
        </w:rPr>
        <w:t> </w:t>
      </w:r>
      <w:r>
        <w:rPr/>
        <w:t>survey</w:t>
      </w:r>
      <w:r>
        <w:rPr>
          <w:spacing w:val="-6"/>
        </w:rPr>
        <w:t> </w:t>
      </w:r>
      <w:r>
        <w:rPr/>
        <w:t>also</w:t>
      </w:r>
      <w:r>
        <w:rPr>
          <w:spacing w:val="-6"/>
        </w:rPr>
        <w:t> </w:t>
      </w:r>
      <w:r>
        <w:rPr/>
        <w:t>shows</w:t>
      </w:r>
      <w:r>
        <w:rPr>
          <w:spacing w:val="-6"/>
        </w:rPr>
        <w:t> </w:t>
      </w:r>
      <w:r>
        <w:rPr/>
        <w:t>that</w:t>
      </w:r>
      <w:r>
        <w:rPr>
          <w:spacing w:val="-6"/>
        </w:rPr>
        <w:t> </w:t>
      </w:r>
      <w:r>
        <w:rPr/>
        <w:t>the caprock prevents migration out of the storage formation. The seismic</w:t>
      </w:r>
      <w:r>
        <w:rPr>
          <w:spacing w:val="-24"/>
        </w:rPr>
        <w:t> </w:t>
      </w:r>
      <w:r>
        <w:rPr/>
        <w:t>data</w:t>
      </w:r>
      <w:r>
        <w:rPr>
          <w:spacing w:val="-23"/>
        </w:rPr>
        <w:t> </w:t>
      </w:r>
      <w:r>
        <w:rPr/>
        <w:t>shown</w:t>
      </w:r>
      <w:r>
        <w:rPr>
          <w:spacing w:val="-24"/>
        </w:rPr>
        <w:t> </w:t>
      </w:r>
      <w:r>
        <w:rPr/>
        <w:t>in</w:t>
      </w:r>
      <w:r>
        <w:rPr>
          <w:spacing w:val="-23"/>
        </w:rPr>
        <w:t> </w:t>
      </w:r>
      <w:hyperlink w:history="true" w:anchor="_bookmark28">
        <w:r>
          <w:rPr/>
          <w:t>Figure</w:t>
        </w:r>
        <w:r>
          <w:rPr>
            <w:spacing w:val="-23"/>
          </w:rPr>
          <w:t> </w:t>
        </w:r>
        <w:r>
          <w:rPr/>
          <w:t>5.16</w:t>
        </w:r>
        <w:r>
          <w:rPr>
            <w:spacing w:val="-24"/>
          </w:rPr>
          <w:t> </w:t>
        </w:r>
      </w:hyperlink>
      <w:r>
        <w:rPr/>
        <w:t>illustrate</w:t>
      </w:r>
      <w:r>
        <w:rPr>
          <w:spacing w:val="-23"/>
        </w:rPr>
        <w:t> </w:t>
      </w:r>
      <w:r>
        <w:rPr/>
        <w:t>the</w:t>
      </w:r>
      <w:r>
        <w:rPr>
          <w:spacing w:val="-24"/>
        </w:rPr>
        <w:t> </w:t>
      </w:r>
      <w:r>
        <w:rPr/>
        <w:t>gradual</w:t>
      </w:r>
      <w:r>
        <w:rPr>
          <w:spacing w:val="-23"/>
        </w:rPr>
        <w:t> </w:t>
      </w:r>
      <w:r>
        <w:rPr/>
        <w:t>growth</w:t>
      </w:r>
      <w:r>
        <w:rPr>
          <w:spacing w:val="-23"/>
        </w:rPr>
        <w:t> </w:t>
      </w:r>
      <w:r>
        <w:rPr/>
        <w:t>of the</w:t>
      </w:r>
      <w:r>
        <w:rPr>
          <w:spacing w:val="-7"/>
        </w:rPr>
        <w:t> </w:t>
      </w:r>
      <w:r>
        <w:rPr/>
        <w:t>plume.</w:t>
      </w:r>
      <w:r>
        <w:rPr>
          <w:spacing w:val="-10"/>
        </w:rPr>
        <w:t> </w:t>
      </w:r>
      <w:r>
        <w:rPr>
          <w:spacing w:val="-5"/>
        </w:rPr>
        <w:t>Today,</w:t>
      </w:r>
      <w:r>
        <w:rPr>
          <w:spacing w:val="-7"/>
        </w:rPr>
        <w:t> </w:t>
      </w:r>
      <w:r>
        <w:rPr/>
        <w:t>the</w:t>
      </w:r>
      <w:r>
        <w:rPr>
          <w:spacing w:val="-6"/>
        </w:rPr>
        <w:t> </w:t>
      </w:r>
      <w:r>
        <w:rPr/>
        <w:t>footprint</w:t>
      </w:r>
      <w:r>
        <w:rPr>
          <w:spacing w:val="-6"/>
        </w:rPr>
        <w:t> </w:t>
      </w:r>
      <w:r>
        <w:rPr/>
        <w:t>of</w:t>
      </w:r>
      <w:r>
        <w:rPr>
          <w:spacing w:val="-7"/>
        </w:rPr>
        <w:t> </w:t>
      </w:r>
      <w:r>
        <w:rPr/>
        <w:t>the</w:t>
      </w:r>
      <w:r>
        <w:rPr>
          <w:spacing w:val="-6"/>
        </w:rPr>
        <w:t> </w:t>
      </w:r>
      <w:r>
        <w:rPr/>
        <w:t>plume</w:t>
      </w:r>
      <w:r>
        <w:rPr>
          <w:spacing w:val="-7"/>
        </w:rPr>
        <w:t> </w:t>
      </w:r>
      <w:r>
        <w:rPr/>
        <w:t>at</w:t>
      </w:r>
      <w:r>
        <w:rPr>
          <w:spacing w:val="-6"/>
        </w:rPr>
        <w:t> </w:t>
      </w:r>
      <w:r>
        <w:rPr/>
        <w:t>Sleipner</w:t>
      </w:r>
      <w:r>
        <w:rPr>
          <w:spacing w:val="-7"/>
        </w:rPr>
        <w:t> </w:t>
      </w:r>
      <w:r>
        <w:rPr/>
        <w:t>extends over approximately 5 km</w:t>
      </w:r>
      <w:r>
        <w:rPr>
          <w:position w:val="7"/>
          <w:sz w:val="11"/>
        </w:rPr>
        <w:t>2</w:t>
      </w:r>
      <w:r>
        <w:rPr/>
        <w:t>. Reservoir studies and simulations (Section 5.4.2) have shown that the CO</w:t>
      </w:r>
      <w:r>
        <w:rPr>
          <w:position w:val="-6"/>
          <w:sz w:val="11"/>
        </w:rPr>
        <w:t>2</w:t>
      </w:r>
      <w:r>
        <w:rPr/>
        <w:t>-saturated brine will eventually become denser and sink, eliminating the potential for long-term leakage (Lindeberg and Bergmo,</w:t>
      </w:r>
      <w:r>
        <w:rPr>
          <w:spacing w:val="-3"/>
        </w:rPr>
        <w:t> </w:t>
      </w:r>
      <w:r>
        <w:rPr/>
        <w:t>2003).</w:t>
      </w:r>
    </w:p>
    <w:p>
      <w:pPr>
        <w:pStyle w:val="Heading2"/>
        <w:numPr>
          <w:ilvl w:val="2"/>
          <w:numId w:val="4"/>
        </w:numPr>
        <w:tabs>
          <w:tab w:pos="1052" w:val="left" w:leader="none"/>
          <w:tab w:pos="1053" w:val="left" w:leader="none"/>
        </w:tabs>
        <w:spacing w:line="240" w:lineRule="auto" w:before="63" w:after="0"/>
        <w:ind w:left="1052" w:right="0" w:hanging="821"/>
        <w:jc w:val="left"/>
        <w:rPr>
          <w:i/>
        </w:rPr>
      </w:pPr>
      <w:r>
        <w:rPr>
          <w:i/>
        </w:rPr>
        <w:br w:type="column"/>
        <w:t>Coal</w:t>
      </w:r>
      <w:r>
        <w:rPr>
          <w:i/>
          <w:spacing w:val="-1"/>
        </w:rPr>
        <w:t> </w:t>
      </w:r>
      <w:r>
        <w:rPr>
          <w:i/>
        </w:rPr>
        <w:t>seams</w:t>
      </w:r>
    </w:p>
    <w:p>
      <w:pPr>
        <w:pStyle w:val="BodyText"/>
        <w:spacing w:before="3"/>
        <w:rPr>
          <w:b/>
          <w:i/>
          <w:sz w:val="21"/>
        </w:rPr>
      </w:pPr>
    </w:p>
    <w:p>
      <w:pPr>
        <w:pStyle w:val="BodyText"/>
        <w:spacing w:line="240" w:lineRule="exact"/>
        <w:ind w:left="232" w:right="133"/>
        <w:jc w:val="both"/>
      </w:pPr>
      <w:r>
        <w:rPr/>
        <w:t>Coal contains fractures (cleats) that impart some permeability to the system. Between cleats, solid coal has a very large number</w:t>
      </w:r>
      <w:r>
        <w:rPr>
          <w:spacing w:val="-7"/>
        </w:rPr>
        <w:t> </w:t>
      </w:r>
      <w:r>
        <w:rPr/>
        <w:t>of</w:t>
      </w:r>
      <w:r>
        <w:rPr>
          <w:spacing w:val="-6"/>
        </w:rPr>
        <w:t> </w:t>
      </w:r>
      <w:r>
        <w:rPr/>
        <w:t>micropores</w:t>
      </w:r>
      <w:r>
        <w:rPr>
          <w:spacing w:val="-7"/>
        </w:rPr>
        <w:t> </w:t>
      </w:r>
      <w:r>
        <w:rPr/>
        <w:t>into</w:t>
      </w:r>
      <w:r>
        <w:rPr>
          <w:spacing w:val="-6"/>
        </w:rPr>
        <w:t> </w:t>
      </w:r>
      <w:r>
        <w:rPr/>
        <w:t>which</w:t>
      </w:r>
      <w:r>
        <w:rPr>
          <w:spacing w:val="-7"/>
        </w:rPr>
        <w:t> </w:t>
      </w:r>
      <w:r>
        <w:rPr/>
        <w:t>gas</w:t>
      </w:r>
      <w:r>
        <w:rPr>
          <w:spacing w:val="-6"/>
        </w:rPr>
        <w:t> </w:t>
      </w:r>
      <w:r>
        <w:rPr/>
        <w:t>molecules</w:t>
      </w:r>
      <w:r>
        <w:rPr>
          <w:spacing w:val="-7"/>
        </w:rPr>
        <w:t> </w:t>
      </w:r>
      <w:r>
        <w:rPr/>
        <w:t>from</w:t>
      </w:r>
      <w:r>
        <w:rPr>
          <w:spacing w:val="-6"/>
        </w:rPr>
        <w:t> </w:t>
      </w:r>
      <w:r>
        <w:rPr/>
        <w:t>the</w:t>
      </w:r>
      <w:r>
        <w:rPr>
          <w:spacing w:val="-6"/>
        </w:rPr>
        <w:t> </w:t>
      </w:r>
      <w:r>
        <w:rPr/>
        <w:t>cleats can diffuse and be tightly adsorbed. Coal can physically</w:t>
      </w:r>
      <w:r>
        <w:rPr>
          <w:spacing w:val="-31"/>
        </w:rPr>
        <w:t> </w:t>
      </w:r>
      <w:r>
        <w:rPr/>
        <w:t>adsorb many gases and may contain up to 25 normal m</w:t>
      </w:r>
      <w:r>
        <w:rPr>
          <w:position w:val="7"/>
          <w:sz w:val="11"/>
        </w:rPr>
        <w:t>3 </w:t>
      </w:r>
      <w:r>
        <w:rPr/>
        <w:t>(m</w:t>
      </w:r>
      <w:r>
        <w:rPr>
          <w:position w:val="7"/>
          <w:sz w:val="11"/>
        </w:rPr>
        <w:t>3 </w:t>
      </w:r>
      <w:r>
        <w:rPr/>
        <w:t>at 1 atm and</w:t>
      </w:r>
      <w:r>
        <w:rPr>
          <w:spacing w:val="-16"/>
        </w:rPr>
        <w:t> </w:t>
      </w:r>
      <w:r>
        <w:rPr/>
        <w:t>0°C)</w:t>
      </w:r>
      <w:r>
        <w:rPr>
          <w:spacing w:val="-15"/>
        </w:rPr>
        <w:t> </w:t>
      </w:r>
      <w:r>
        <w:rPr/>
        <w:t>methane</w:t>
      </w:r>
      <w:r>
        <w:rPr>
          <w:spacing w:val="-15"/>
        </w:rPr>
        <w:t> </w:t>
      </w:r>
      <w:r>
        <w:rPr/>
        <w:t>per</w:t>
      </w:r>
      <w:r>
        <w:rPr>
          <w:spacing w:val="-15"/>
        </w:rPr>
        <w:t> </w:t>
      </w:r>
      <w:r>
        <w:rPr/>
        <w:t>tonne</w:t>
      </w:r>
      <w:r>
        <w:rPr>
          <w:spacing w:val="-16"/>
        </w:rPr>
        <w:t> </w:t>
      </w:r>
      <w:r>
        <w:rPr/>
        <w:t>of</w:t>
      </w:r>
      <w:r>
        <w:rPr>
          <w:spacing w:val="-15"/>
        </w:rPr>
        <w:t> </w:t>
      </w:r>
      <w:r>
        <w:rPr/>
        <w:t>coal</w:t>
      </w:r>
      <w:r>
        <w:rPr>
          <w:spacing w:val="-15"/>
        </w:rPr>
        <w:t> </w:t>
      </w:r>
      <w:r>
        <w:rPr/>
        <w:t>at</w:t>
      </w:r>
      <w:r>
        <w:rPr>
          <w:spacing w:val="-15"/>
        </w:rPr>
        <w:t> </w:t>
      </w:r>
      <w:r>
        <w:rPr/>
        <w:t>coal</w:t>
      </w:r>
      <w:r>
        <w:rPr>
          <w:spacing w:val="-16"/>
        </w:rPr>
        <w:t> </w:t>
      </w:r>
      <w:r>
        <w:rPr/>
        <w:t>seam</w:t>
      </w:r>
      <w:r>
        <w:rPr>
          <w:spacing w:val="-15"/>
        </w:rPr>
        <w:t> </w:t>
      </w:r>
      <w:r>
        <w:rPr/>
        <w:t>pressures.</w:t>
      </w:r>
      <w:r>
        <w:rPr>
          <w:spacing w:val="-15"/>
        </w:rPr>
        <w:t> </w:t>
      </w:r>
      <w:r>
        <w:rPr/>
        <w:t>It</w:t>
      </w:r>
      <w:r>
        <w:rPr>
          <w:spacing w:val="-15"/>
        </w:rPr>
        <w:t> </w:t>
      </w:r>
      <w:r>
        <w:rPr/>
        <w:t>has a higher affinity to adsorb gaseous CO</w:t>
      </w:r>
      <w:r>
        <w:rPr>
          <w:position w:val="-6"/>
          <w:sz w:val="11"/>
        </w:rPr>
        <w:t>2 </w:t>
      </w:r>
      <w:r>
        <w:rPr/>
        <w:t>than methane </w:t>
      </w:r>
      <w:hyperlink w:history="true" w:anchor="_bookmark29">
        <w:r>
          <w:rPr/>
          <w:t>(Figure</w:t>
        </w:r>
      </w:hyperlink>
      <w:r>
        <w:rPr/>
        <w:t> </w:t>
      </w:r>
      <w:hyperlink w:history="true" w:anchor="_bookmark29">
        <w:r>
          <w:rPr/>
          <w:t>5.17). </w:t>
        </w:r>
      </w:hyperlink>
      <w:r>
        <w:rPr/>
        <w:t>The volumetric ratio of adsorbable CO</w:t>
      </w:r>
      <w:r>
        <w:rPr>
          <w:position w:val="-6"/>
          <w:sz w:val="11"/>
        </w:rPr>
        <w:t>2</w:t>
      </w:r>
      <w:r>
        <w:rPr/>
        <w:t>:CH</w:t>
      </w:r>
      <w:r>
        <w:rPr>
          <w:position w:val="-6"/>
          <w:sz w:val="11"/>
        </w:rPr>
        <w:t>4 </w:t>
      </w:r>
      <w:r>
        <w:rPr/>
        <w:t>ranges</w:t>
      </w:r>
      <w:r>
        <w:rPr>
          <w:spacing w:val="-17"/>
        </w:rPr>
        <w:t> </w:t>
      </w:r>
      <w:r>
        <w:rPr/>
        <w:t>from as low as one for mature coals such as anthracite, to ten or more</w:t>
      </w:r>
      <w:r>
        <w:rPr>
          <w:spacing w:val="-6"/>
        </w:rPr>
        <w:t> </w:t>
      </w:r>
      <w:r>
        <w:rPr/>
        <w:t>for</w:t>
      </w:r>
      <w:r>
        <w:rPr>
          <w:spacing w:val="-6"/>
        </w:rPr>
        <w:t> </w:t>
      </w:r>
      <w:r>
        <w:rPr/>
        <w:t>younger,</w:t>
      </w:r>
      <w:r>
        <w:rPr>
          <w:spacing w:val="-5"/>
        </w:rPr>
        <w:t> </w:t>
      </w:r>
      <w:r>
        <w:rPr/>
        <w:t>immature</w:t>
      </w:r>
      <w:r>
        <w:rPr>
          <w:spacing w:val="-6"/>
        </w:rPr>
        <w:t> </w:t>
      </w:r>
      <w:r>
        <w:rPr/>
        <w:t>coals</w:t>
      </w:r>
      <w:r>
        <w:rPr>
          <w:spacing w:val="-5"/>
        </w:rPr>
        <w:t> </w:t>
      </w:r>
      <w:r>
        <w:rPr/>
        <w:t>such</w:t>
      </w:r>
      <w:r>
        <w:rPr>
          <w:spacing w:val="-6"/>
        </w:rPr>
        <w:t> </w:t>
      </w:r>
      <w:r>
        <w:rPr/>
        <w:t>as</w:t>
      </w:r>
      <w:r>
        <w:rPr>
          <w:spacing w:val="-5"/>
        </w:rPr>
        <w:t> </w:t>
      </w:r>
      <w:r>
        <w:rPr/>
        <w:t>lignite.</w:t>
      </w:r>
      <w:r>
        <w:rPr>
          <w:spacing w:val="-6"/>
        </w:rPr>
        <w:t> </w:t>
      </w:r>
      <w:r>
        <w:rPr/>
        <w:t>Gaseous</w:t>
      </w:r>
      <w:r>
        <w:rPr>
          <w:spacing w:val="-6"/>
        </w:rPr>
        <w:t> </w:t>
      </w:r>
      <w:r>
        <w:rPr/>
        <w:t>CO</w:t>
      </w:r>
      <w:r>
        <w:rPr>
          <w:position w:val="-6"/>
          <w:sz w:val="11"/>
        </w:rPr>
        <w:t>2 </w:t>
      </w:r>
      <w:r>
        <w:rPr/>
        <w:t>injected</w:t>
      </w:r>
      <w:r>
        <w:rPr>
          <w:spacing w:val="-5"/>
        </w:rPr>
        <w:t> </w:t>
      </w:r>
      <w:r>
        <w:rPr/>
        <w:t>through</w:t>
      </w:r>
      <w:r>
        <w:rPr>
          <w:spacing w:val="-4"/>
        </w:rPr>
        <w:t> </w:t>
      </w:r>
      <w:r>
        <w:rPr/>
        <w:t>wells</w:t>
      </w:r>
      <w:r>
        <w:rPr>
          <w:spacing w:val="-5"/>
        </w:rPr>
        <w:t> </w:t>
      </w:r>
      <w:r>
        <w:rPr/>
        <w:t>will</w:t>
      </w:r>
      <w:r>
        <w:rPr>
          <w:spacing w:val="-4"/>
        </w:rPr>
        <w:t> </w:t>
      </w:r>
      <w:r>
        <w:rPr/>
        <w:t>flow</w:t>
      </w:r>
      <w:r>
        <w:rPr>
          <w:spacing w:val="-5"/>
        </w:rPr>
        <w:t> </w:t>
      </w:r>
      <w:r>
        <w:rPr/>
        <w:t>through</w:t>
      </w:r>
      <w:r>
        <w:rPr>
          <w:spacing w:val="-4"/>
        </w:rPr>
        <w:t> </w:t>
      </w:r>
      <w:r>
        <w:rPr/>
        <w:t>the</w:t>
      </w:r>
      <w:r>
        <w:rPr>
          <w:spacing w:val="-5"/>
        </w:rPr>
        <w:t> </w:t>
      </w:r>
      <w:r>
        <w:rPr/>
        <w:t>cleat</w:t>
      </w:r>
      <w:r>
        <w:rPr>
          <w:spacing w:val="-4"/>
        </w:rPr>
        <w:t> </w:t>
      </w:r>
      <w:r>
        <w:rPr/>
        <w:t>system</w:t>
      </w:r>
      <w:r>
        <w:rPr>
          <w:spacing w:val="-5"/>
        </w:rPr>
        <w:t> </w:t>
      </w:r>
      <w:r>
        <w:rPr/>
        <w:t>of</w:t>
      </w:r>
      <w:r>
        <w:rPr>
          <w:spacing w:val="-4"/>
        </w:rPr>
        <w:t> </w:t>
      </w:r>
      <w:r>
        <w:rPr/>
        <w:t>the coal, diffuse into the coal matrix and be adsorbed onto the </w:t>
      </w:r>
      <w:r>
        <w:rPr>
          <w:spacing w:val="-3"/>
        </w:rPr>
        <w:t>coal </w:t>
      </w:r>
      <w:r>
        <w:rPr/>
        <w:t>micropore</w:t>
      </w:r>
      <w:r>
        <w:rPr>
          <w:spacing w:val="-5"/>
        </w:rPr>
        <w:t> </w:t>
      </w:r>
      <w:r>
        <w:rPr/>
        <w:t>surfaces,</w:t>
      </w:r>
      <w:r>
        <w:rPr>
          <w:spacing w:val="-4"/>
        </w:rPr>
        <w:t> </w:t>
      </w:r>
      <w:r>
        <w:rPr/>
        <w:t>freeing</w:t>
      </w:r>
      <w:r>
        <w:rPr>
          <w:spacing w:val="-4"/>
        </w:rPr>
        <w:t> </w:t>
      </w:r>
      <w:r>
        <w:rPr/>
        <w:t>up</w:t>
      </w:r>
      <w:r>
        <w:rPr>
          <w:spacing w:val="-5"/>
        </w:rPr>
        <w:t> </w:t>
      </w:r>
      <w:r>
        <w:rPr/>
        <w:t>gases</w:t>
      </w:r>
      <w:r>
        <w:rPr>
          <w:spacing w:val="-4"/>
        </w:rPr>
        <w:t> </w:t>
      </w:r>
      <w:r>
        <w:rPr/>
        <w:t>with</w:t>
      </w:r>
      <w:r>
        <w:rPr>
          <w:spacing w:val="-4"/>
        </w:rPr>
        <w:t> </w:t>
      </w:r>
      <w:r>
        <w:rPr/>
        <w:t>lower</w:t>
      </w:r>
      <w:r>
        <w:rPr>
          <w:spacing w:val="-5"/>
        </w:rPr>
        <w:t> </w:t>
      </w:r>
      <w:r>
        <w:rPr/>
        <w:t>affinity</w:t>
      </w:r>
      <w:r>
        <w:rPr>
          <w:spacing w:val="-4"/>
        </w:rPr>
        <w:t> </w:t>
      </w:r>
      <w:r>
        <w:rPr/>
        <w:t>to</w:t>
      </w:r>
      <w:r>
        <w:rPr>
          <w:spacing w:val="-4"/>
        </w:rPr>
        <w:t> </w:t>
      </w:r>
      <w:r>
        <w:rPr/>
        <w:t>coal (i.e., methane).</w:t>
      </w:r>
    </w:p>
    <w:p>
      <w:pPr>
        <w:pStyle w:val="BodyText"/>
        <w:spacing w:line="240" w:lineRule="exact"/>
        <w:ind w:left="232" w:right="133" w:firstLine="283"/>
        <w:jc w:val="both"/>
      </w:pPr>
      <w:r>
        <w:rPr/>
        <w:t>The process of CO</w:t>
      </w:r>
      <w:r>
        <w:rPr>
          <w:position w:val="-6"/>
          <w:sz w:val="11"/>
        </w:rPr>
        <w:t>2 </w:t>
      </w:r>
      <w:r>
        <w:rPr/>
        <w:t>trapping in  coals  for  temperatures and pressures above the critical point is not well understood (Larsen,</w:t>
      </w:r>
      <w:r>
        <w:rPr>
          <w:spacing w:val="-13"/>
        </w:rPr>
        <w:t> </w:t>
      </w:r>
      <w:r>
        <w:rPr/>
        <w:t>2003).</w:t>
      </w:r>
      <w:r>
        <w:rPr>
          <w:spacing w:val="-12"/>
        </w:rPr>
        <w:t> </w:t>
      </w:r>
      <w:r>
        <w:rPr/>
        <w:t>It</w:t>
      </w:r>
      <w:r>
        <w:rPr>
          <w:spacing w:val="-13"/>
        </w:rPr>
        <w:t> </w:t>
      </w:r>
      <w:r>
        <w:rPr/>
        <w:t>seems</w:t>
      </w:r>
      <w:r>
        <w:rPr>
          <w:spacing w:val="-12"/>
        </w:rPr>
        <w:t> </w:t>
      </w:r>
      <w:r>
        <w:rPr/>
        <w:t>that</w:t>
      </w:r>
      <w:r>
        <w:rPr>
          <w:spacing w:val="-13"/>
        </w:rPr>
        <w:t> </w:t>
      </w:r>
      <w:r>
        <w:rPr/>
        <w:t>adsorption</w:t>
      </w:r>
      <w:r>
        <w:rPr>
          <w:spacing w:val="-12"/>
        </w:rPr>
        <w:t> </w:t>
      </w:r>
      <w:r>
        <w:rPr/>
        <w:t>is</w:t>
      </w:r>
      <w:r>
        <w:rPr>
          <w:spacing w:val="-13"/>
        </w:rPr>
        <w:t> </w:t>
      </w:r>
      <w:r>
        <w:rPr/>
        <w:t>gradually</w:t>
      </w:r>
      <w:r>
        <w:rPr>
          <w:spacing w:val="-12"/>
        </w:rPr>
        <w:t> </w:t>
      </w:r>
      <w:r>
        <w:rPr/>
        <w:t>replaced</w:t>
      </w:r>
      <w:r>
        <w:rPr>
          <w:spacing w:val="-12"/>
        </w:rPr>
        <w:t> </w:t>
      </w:r>
      <w:r>
        <w:rPr/>
        <w:t>by absorption and the CO</w:t>
      </w:r>
      <w:r>
        <w:rPr>
          <w:position w:val="-6"/>
          <w:sz w:val="11"/>
        </w:rPr>
        <w:t>2 </w:t>
      </w:r>
      <w:r>
        <w:rPr/>
        <w:t>diffuses or ‘dissolves’ in coal. Carbon dioxide is a ‘plasticizer’ for coal, lowering the temperature required to cause the transition from a glassy, brittle structure to a rubbery, plastic structure (coal softening). In one case, the transition</w:t>
      </w:r>
      <w:r>
        <w:rPr>
          <w:spacing w:val="-12"/>
        </w:rPr>
        <w:t> </w:t>
      </w:r>
      <w:r>
        <w:rPr/>
        <w:t>temperature</w:t>
      </w:r>
      <w:r>
        <w:rPr>
          <w:spacing w:val="-13"/>
        </w:rPr>
        <w:t> </w:t>
      </w:r>
      <w:r>
        <w:rPr/>
        <w:t>was</w:t>
      </w:r>
      <w:r>
        <w:rPr>
          <w:spacing w:val="-12"/>
        </w:rPr>
        <w:t> </w:t>
      </w:r>
      <w:r>
        <w:rPr/>
        <w:t>interpreted</w:t>
      </w:r>
      <w:r>
        <w:rPr>
          <w:spacing w:val="-13"/>
        </w:rPr>
        <w:t> </w:t>
      </w:r>
      <w:r>
        <w:rPr/>
        <w:t>to</w:t>
      </w:r>
      <w:r>
        <w:rPr>
          <w:spacing w:val="-12"/>
        </w:rPr>
        <w:t> </w:t>
      </w:r>
      <w:r>
        <w:rPr/>
        <w:t>drop</w:t>
      </w:r>
      <w:r>
        <w:rPr>
          <w:spacing w:val="-11"/>
        </w:rPr>
        <w:t> </w:t>
      </w:r>
      <w:r>
        <w:rPr/>
        <w:t>from</w:t>
      </w:r>
      <w:r>
        <w:rPr>
          <w:spacing w:val="-12"/>
        </w:rPr>
        <w:t> </w:t>
      </w:r>
      <w:r>
        <w:rPr/>
        <w:t>about</w:t>
      </w:r>
      <w:r>
        <w:rPr>
          <w:spacing w:val="-12"/>
        </w:rPr>
        <w:t> </w:t>
      </w:r>
      <w:r>
        <w:rPr>
          <w:spacing w:val="-3"/>
        </w:rPr>
        <w:t>400ºC </w:t>
      </w:r>
      <w:r>
        <w:rPr/>
        <w:t>at</w:t>
      </w:r>
      <w:r>
        <w:rPr>
          <w:spacing w:val="-10"/>
        </w:rPr>
        <w:t> </w:t>
      </w:r>
      <w:r>
        <w:rPr/>
        <w:t>3</w:t>
      </w:r>
      <w:r>
        <w:rPr>
          <w:spacing w:val="-9"/>
        </w:rPr>
        <w:t> </w:t>
      </w:r>
      <w:r>
        <w:rPr/>
        <w:t>MPa</w:t>
      </w:r>
      <w:r>
        <w:rPr>
          <w:spacing w:val="-9"/>
        </w:rPr>
        <w:t> </w:t>
      </w:r>
      <w:r>
        <w:rPr/>
        <w:t>to</w:t>
      </w:r>
      <w:r>
        <w:rPr>
          <w:spacing w:val="-9"/>
        </w:rPr>
        <w:t> </w:t>
      </w:r>
      <w:r>
        <w:rPr/>
        <w:t>&lt;30ºC</w:t>
      </w:r>
      <w:r>
        <w:rPr>
          <w:spacing w:val="-9"/>
        </w:rPr>
        <w:t> </w:t>
      </w:r>
      <w:r>
        <w:rPr/>
        <w:t>at</w:t>
      </w:r>
      <w:r>
        <w:rPr>
          <w:spacing w:val="-9"/>
        </w:rPr>
        <w:t> </w:t>
      </w:r>
      <w:r>
        <w:rPr/>
        <w:t>5.5</w:t>
      </w:r>
      <w:r>
        <w:rPr>
          <w:spacing w:val="-9"/>
        </w:rPr>
        <w:t> </w:t>
      </w:r>
      <w:r>
        <w:rPr/>
        <w:t>MPa</w:t>
      </w:r>
      <w:r>
        <w:rPr>
          <w:spacing w:val="-9"/>
        </w:rPr>
        <w:t> </w:t>
      </w:r>
      <w:r>
        <w:rPr/>
        <w:t>CO</w:t>
      </w:r>
      <w:r>
        <w:rPr>
          <w:position w:val="-6"/>
          <w:sz w:val="11"/>
        </w:rPr>
        <w:t>2</w:t>
      </w:r>
      <w:r>
        <w:rPr>
          <w:spacing w:val="13"/>
          <w:position w:val="-6"/>
          <w:sz w:val="11"/>
        </w:rPr>
        <w:t> </w:t>
      </w:r>
      <w:r>
        <w:rPr/>
        <w:t>pressure</w:t>
      </w:r>
      <w:r>
        <w:rPr>
          <w:spacing w:val="-9"/>
        </w:rPr>
        <w:t> </w:t>
      </w:r>
      <w:r>
        <w:rPr/>
        <w:t>(Larsen,</w:t>
      </w:r>
      <w:r>
        <w:rPr>
          <w:spacing w:val="-9"/>
        </w:rPr>
        <w:t> </w:t>
      </w:r>
      <w:r>
        <w:rPr/>
        <w:t>2003).</w:t>
      </w:r>
      <w:r>
        <w:rPr>
          <w:spacing w:val="-12"/>
        </w:rPr>
        <w:t> </w:t>
      </w:r>
      <w:r>
        <w:rPr/>
        <w:t>The transition temperature is dependent on the maturity of the </w:t>
      </w:r>
      <w:r>
        <w:rPr>
          <w:spacing w:val="-3"/>
        </w:rPr>
        <w:t>coal, </w:t>
      </w:r>
      <w:r>
        <w:rPr/>
        <w:t>the maceral content, the ash content and the confining stress and is not easily extrapolated to the field. Coal plasticization or softening, may adversely affect the permeability  that  would allow CO</w:t>
      </w:r>
      <w:r>
        <w:rPr>
          <w:position w:val="-6"/>
          <w:sz w:val="11"/>
        </w:rPr>
        <w:t>2   </w:t>
      </w:r>
      <w:r>
        <w:rPr/>
        <w:t>injection. Furthermore, coal swells as CO</w:t>
      </w:r>
      <w:r>
        <w:rPr>
          <w:position w:val="-6"/>
          <w:sz w:val="11"/>
        </w:rPr>
        <w:t>2   </w:t>
      </w:r>
      <w:r>
        <w:rPr/>
        <w:t>is adsorbed and/or absorbed, which reduces permeability </w:t>
      </w:r>
      <w:r>
        <w:rPr>
          <w:spacing w:val="-4"/>
        </w:rPr>
        <w:t>and </w:t>
      </w:r>
      <w:r>
        <w:rPr/>
        <w:t>injectivity by orders of magnitude or more (Shi and Durucan, 2005)</w:t>
      </w:r>
      <w:r>
        <w:rPr>
          <w:spacing w:val="-21"/>
        </w:rPr>
        <w:t> </w:t>
      </w:r>
      <w:r>
        <w:rPr/>
        <w:t>and</w:t>
      </w:r>
      <w:r>
        <w:rPr>
          <w:spacing w:val="-20"/>
        </w:rPr>
        <w:t> </w:t>
      </w:r>
      <w:r>
        <w:rPr/>
        <w:t>which</w:t>
      </w:r>
      <w:r>
        <w:rPr>
          <w:spacing w:val="-21"/>
        </w:rPr>
        <w:t> </w:t>
      </w:r>
      <w:r>
        <w:rPr/>
        <w:t>may</w:t>
      </w:r>
      <w:r>
        <w:rPr>
          <w:spacing w:val="-20"/>
        </w:rPr>
        <w:t> </w:t>
      </w:r>
      <w:r>
        <w:rPr/>
        <w:t>be</w:t>
      </w:r>
      <w:r>
        <w:rPr>
          <w:spacing w:val="-21"/>
        </w:rPr>
        <w:t> </w:t>
      </w:r>
      <w:r>
        <w:rPr/>
        <w:t>counteracted</w:t>
      </w:r>
      <w:r>
        <w:rPr>
          <w:spacing w:val="-20"/>
        </w:rPr>
        <w:t> </w:t>
      </w:r>
      <w:r>
        <w:rPr/>
        <w:t>by</w:t>
      </w:r>
      <w:r>
        <w:rPr>
          <w:spacing w:val="-20"/>
        </w:rPr>
        <w:t> </w:t>
      </w:r>
      <w:r>
        <w:rPr/>
        <w:t>increasing</w:t>
      </w:r>
      <w:r>
        <w:rPr>
          <w:spacing w:val="-21"/>
        </w:rPr>
        <w:t> </w:t>
      </w:r>
      <w:r>
        <w:rPr/>
        <w:t>the</w:t>
      </w:r>
      <w:r>
        <w:rPr>
          <w:spacing w:val="-20"/>
        </w:rPr>
        <w:t> </w:t>
      </w:r>
      <w:r>
        <w:rPr/>
        <w:t>injection pressures (Clarkson and Bustin, 1997; Palmer and Mansoori, 1998; Krooss </w:t>
      </w:r>
      <w:r>
        <w:rPr>
          <w:i/>
        </w:rPr>
        <w:t>et al.</w:t>
      </w:r>
      <w:r>
        <w:rPr/>
        <w:t>, 2002; Larsen, 2003). Some studies</w:t>
      </w:r>
      <w:r>
        <w:rPr>
          <w:spacing w:val="-30"/>
        </w:rPr>
        <w:t> </w:t>
      </w:r>
      <w:r>
        <w:rPr/>
        <w:t>suggest that the injected CO</w:t>
      </w:r>
      <w:r>
        <w:rPr>
          <w:position w:val="-6"/>
          <w:sz w:val="11"/>
        </w:rPr>
        <w:t>2 </w:t>
      </w:r>
      <w:r>
        <w:rPr/>
        <w:t>may react with coal (Zhang </w:t>
      </w:r>
      <w:r>
        <w:rPr>
          <w:i/>
        </w:rPr>
        <w:t>et al.</w:t>
      </w:r>
      <w:r>
        <w:rPr/>
        <w:t>, 1993), further highlighting the difficulty in injecting CO</w:t>
      </w:r>
      <w:r>
        <w:rPr>
          <w:position w:val="-6"/>
          <w:sz w:val="11"/>
        </w:rPr>
        <w:t>2 </w:t>
      </w:r>
      <w:r>
        <w:rPr/>
        <w:t>into </w:t>
      </w:r>
      <w:r>
        <w:rPr>
          <w:spacing w:val="-4"/>
        </w:rPr>
        <w:t>low- </w:t>
      </w:r>
      <w:r>
        <w:rPr/>
        <w:t>permeability coal.</w:t>
      </w:r>
    </w:p>
    <w:p>
      <w:pPr>
        <w:pStyle w:val="BodyText"/>
        <w:spacing w:line="240" w:lineRule="exact"/>
        <w:ind w:left="232" w:right="133" w:firstLine="283"/>
        <w:jc w:val="both"/>
      </w:pPr>
      <w:r>
        <w:rPr/>
        <w:t>If CO</w:t>
      </w:r>
      <w:r>
        <w:rPr>
          <w:position w:val="-6"/>
          <w:sz w:val="11"/>
        </w:rPr>
        <w:t>2 </w:t>
      </w:r>
      <w:r>
        <w:rPr/>
        <w:t>is injected into coal seams, it can displace methane, thereby enhancing CBM recovery. Carbon dioxide has </w:t>
      </w:r>
      <w:r>
        <w:rPr>
          <w:spacing w:val="-3"/>
        </w:rPr>
        <w:t>been </w:t>
      </w:r>
      <w:r>
        <w:rPr/>
        <w:t>injected</w:t>
      </w:r>
      <w:r>
        <w:rPr>
          <w:spacing w:val="-4"/>
        </w:rPr>
        <w:t> </w:t>
      </w:r>
      <w:r>
        <w:rPr/>
        <w:t>successfully</w:t>
      </w:r>
      <w:r>
        <w:rPr>
          <w:spacing w:val="-3"/>
        </w:rPr>
        <w:t> </w:t>
      </w:r>
      <w:r>
        <w:rPr/>
        <w:t>at</w:t>
      </w:r>
      <w:r>
        <w:rPr>
          <w:spacing w:val="-3"/>
        </w:rPr>
        <w:t> </w:t>
      </w:r>
      <w:r>
        <w:rPr/>
        <w:t>the</w:t>
      </w:r>
      <w:r>
        <w:rPr>
          <w:spacing w:val="-14"/>
        </w:rPr>
        <w:t> </w:t>
      </w:r>
      <w:r>
        <w:rPr/>
        <w:t>Allison</w:t>
      </w:r>
      <w:r>
        <w:rPr>
          <w:spacing w:val="-3"/>
        </w:rPr>
        <w:t> </w:t>
      </w:r>
      <w:r>
        <w:rPr/>
        <w:t>Project</w:t>
      </w:r>
      <w:r>
        <w:rPr>
          <w:spacing w:val="-3"/>
        </w:rPr>
        <w:t> </w:t>
      </w:r>
      <w:hyperlink w:history="true" w:anchor="_bookmark30">
        <w:r>
          <w:rPr/>
          <w:t>(Box</w:t>
        </w:r>
        <w:r>
          <w:rPr>
            <w:spacing w:val="-3"/>
          </w:rPr>
          <w:t> </w:t>
        </w:r>
        <w:r>
          <w:rPr/>
          <w:t>5.7)</w:t>
        </w:r>
        <w:r>
          <w:rPr>
            <w:spacing w:val="-4"/>
          </w:rPr>
          <w:t> </w:t>
        </w:r>
      </w:hyperlink>
      <w:r>
        <w:rPr/>
        <w:t>and</w:t>
      </w:r>
      <w:r>
        <w:rPr>
          <w:spacing w:val="-3"/>
        </w:rPr>
        <w:t> </w:t>
      </w:r>
      <w:r>
        <w:rPr/>
        <w:t>in</w:t>
      </w:r>
      <w:r>
        <w:rPr>
          <w:spacing w:val="-3"/>
        </w:rPr>
        <w:t> </w:t>
      </w:r>
      <w:r>
        <w:rPr/>
        <w:t>the Alberta Basin, Canada (Gunter </w:t>
      </w:r>
      <w:r>
        <w:rPr>
          <w:i/>
        </w:rPr>
        <w:t>et al.</w:t>
      </w:r>
      <w:r>
        <w:rPr/>
        <w:t>, 2005), at depths greater than</w:t>
      </w:r>
      <w:r>
        <w:rPr>
          <w:spacing w:val="-23"/>
        </w:rPr>
        <w:t> </w:t>
      </w:r>
      <w:r>
        <w:rPr/>
        <w:t>that</w:t>
      </w:r>
      <w:r>
        <w:rPr>
          <w:spacing w:val="-23"/>
        </w:rPr>
        <w:t> </w:t>
      </w:r>
      <w:r>
        <w:rPr/>
        <w:t>corresponding</w:t>
      </w:r>
      <w:r>
        <w:rPr>
          <w:spacing w:val="-23"/>
        </w:rPr>
        <w:t> </w:t>
      </w:r>
      <w:r>
        <w:rPr/>
        <w:t>to</w:t>
      </w:r>
      <w:r>
        <w:rPr>
          <w:spacing w:val="-23"/>
        </w:rPr>
        <w:t> </w:t>
      </w:r>
      <w:r>
        <w:rPr/>
        <w:t>the</w:t>
      </w:r>
      <w:r>
        <w:rPr>
          <w:spacing w:val="-23"/>
        </w:rPr>
        <w:t> </w:t>
      </w:r>
      <w:r>
        <w:rPr/>
        <w:t>CO</w:t>
      </w:r>
      <w:r>
        <w:rPr>
          <w:position w:val="-6"/>
          <w:sz w:val="11"/>
        </w:rPr>
        <w:t>2</w:t>
      </w:r>
      <w:r>
        <w:rPr>
          <w:spacing w:val="-1"/>
          <w:position w:val="-6"/>
          <w:sz w:val="11"/>
        </w:rPr>
        <w:t> </w:t>
      </w:r>
      <w:r>
        <w:rPr/>
        <w:t>critical</w:t>
      </w:r>
      <w:r>
        <w:rPr>
          <w:spacing w:val="-23"/>
        </w:rPr>
        <w:t> </w:t>
      </w:r>
      <w:r>
        <w:rPr/>
        <w:t>point.</w:t>
      </w:r>
      <w:r>
        <w:rPr>
          <w:spacing w:val="-22"/>
        </w:rPr>
        <w:t> </w:t>
      </w:r>
      <w:r>
        <w:rPr/>
        <w:t>Carbon</w:t>
      </w:r>
      <w:r>
        <w:rPr>
          <w:spacing w:val="-23"/>
        </w:rPr>
        <w:t> </w:t>
      </w:r>
      <w:r>
        <w:rPr/>
        <w:t>dioxide- ECBM has the potential to increase the amount of produced methane to nearly 90% of the gas, compared to </w:t>
      </w:r>
      <w:r>
        <w:rPr>
          <w:spacing w:val="-2"/>
        </w:rPr>
        <w:t>conventional </w:t>
      </w:r>
      <w:r>
        <w:rPr/>
        <w:t>recovery of only 50% by reservoir-pressure depletion </w:t>
      </w:r>
      <w:r>
        <w:rPr>
          <w:spacing w:val="-3"/>
        </w:rPr>
        <w:t>alone  </w:t>
      </w:r>
      <w:r>
        <w:rPr/>
        <w:t>(Stevens </w:t>
      </w:r>
      <w:r>
        <w:rPr>
          <w:i/>
        </w:rPr>
        <w:t>et al.</w:t>
      </w:r>
      <w:r>
        <w:rPr/>
        <w:t>,</w:t>
      </w:r>
      <w:r>
        <w:rPr>
          <w:spacing w:val="-1"/>
        </w:rPr>
        <w:t> </w:t>
      </w:r>
      <w:r>
        <w:rPr/>
        <w:t>1996).</w:t>
      </w:r>
    </w:p>
    <w:p>
      <w:pPr>
        <w:pStyle w:val="BodyText"/>
        <w:spacing w:line="249" w:lineRule="auto" w:before="6"/>
        <w:ind w:left="232" w:right="134" w:firstLine="283"/>
        <w:jc w:val="both"/>
      </w:pPr>
      <w:r>
        <w:rPr/>
        <w:t>Coal permeability is one of several determining factors in selection of a storage site. Coal permeability varies widely and generally decreases with increasing depth as a result of cleat closure with increasing effective stress. Most CBM-producing wells in the world are less than 1000 m deep.</w:t>
      </w:r>
    </w:p>
    <w:p>
      <w:pPr>
        <w:spacing w:after="0" w:line="249" w:lineRule="auto"/>
        <w:jc w:val="both"/>
        <w:sectPr>
          <w:type w:val="continuous"/>
          <w:pgSz w:w="12240" w:h="15840"/>
          <w:pgMar w:top="400" w:bottom="280" w:left="580" w:right="600"/>
          <w:cols w:num="2" w:equalWidth="0">
            <w:col w:w="5608" w:space="40"/>
            <w:col w:w="5412"/>
          </w:cols>
        </w:sectPr>
      </w:pPr>
    </w:p>
    <w:p>
      <w:pPr>
        <w:pStyle w:val="BodyText"/>
      </w:pPr>
    </w:p>
    <w:p>
      <w:pPr>
        <w:pStyle w:val="BodyText"/>
        <w:spacing w:before="8"/>
        <w:rPr>
          <w:sz w:val="23"/>
        </w:rPr>
      </w:pPr>
    </w:p>
    <w:p>
      <w:pPr>
        <w:pStyle w:val="BodyText"/>
        <w:ind w:left="157"/>
      </w:pPr>
      <w:r>
        <w:rPr/>
        <w:pict>
          <v:group style="width:518.5pt;height:372.75pt;mso-position-horizontal-relative:char;mso-position-vertical-relative:line" coordorigin="0,0" coordsize="10370,7455">
            <v:shape style="position:absolute;left:41;top:125;width:10217;height:7214" type="#_x0000_t75" stroked="false">
              <v:imagedata r:id="rId133" o:title=""/>
            </v:shape>
            <v:rect style="position:absolute;left:5;top:5;width:10360;height:7445" filled="false" stroked="true" strokeweight=".5pt" strokecolor="#000000">
              <v:stroke dashstyle="solid"/>
            </v:rect>
          </v:group>
        </w:pict>
      </w:r>
      <w:r>
        <w:rPr/>
      </w:r>
    </w:p>
    <w:p>
      <w:pPr>
        <w:spacing w:line="211" w:lineRule="auto" w:before="90"/>
        <w:ind w:left="170" w:right="530" w:firstLine="0"/>
        <w:jc w:val="both"/>
        <w:rPr>
          <w:sz w:val="18"/>
        </w:rPr>
      </w:pPr>
      <w:bookmarkStart w:name="_bookmark28" w:id="48"/>
      <w:bookmarkEnd w:id="48"/>
      <w:r>
        <w:rPr/>
      </w:r>
      <w:r>
        <w:rPr>
          <w:b/>
          <w:sz w:val="18"/>
        </w:rPr>
        <w:t>Figure</w:t>
      </w:r>
      <w:r>
        <w:rPr>
          <w:b/>
          <w:spacing w:val="-6"/>
          <w:sz w:val="18"/>
        </w:rPr>
        <w:t> </w:t>
      </w:r>
      <w:r>
        <w:rPr>
          <w:b/>
          <w:sz w:val="18"/>
        </w:rPr>
        <w:t>5.16</w:t>
      </w:r>
      <w:r>
        <w:rPr>
          <w:b/>
          <w:spacing w:val="-5"/>
          <w:sz w:val="18"/>
        </w:rPr>
        <w:t> </w:t>
      </w:r>
      <w:r>
        <w:rPr>
          <w:sz w:val="18"/>
        </w:rPr>
        <w:t>(a)</w:t>
      </w:r>
      <w:r>
        <w:rPr>
          <w:spacing w:val="-8"/>
          <w:sz w:val="18"/>
        </w:rPr>
        <w:t> </w:t>
      </w:r>
      <w:r>
        <w:rPr>
          <w:spacing w:val="-3"/>
          <w:sz w:val="18"/>
        </w:rPr>
        <w:t>Vertical</w:t>
      </w:r>
      <w:r>
        <w:rPr>
          <w:spacing w:val="-5"/>
          <w:sz w:val="18"/>
        </w:rPr>
        <w:t> </w:t>
      </w:r>
      <w:r>
        <w:rPr>
          <w:sz w:val="18"/>
        </w:rPr>
        <w:t>seismic</w:t>
      </w:r>
      <w:r>
        <w:rPr>
          <w:spacing w:val="-5"/>
          <w:sz w:val="18"/>
        </w:rPr>
        <w:t> </w:t>
      </w:r>
      <w:r>
        <w:rPr>
          <w:sz w:val="18"/>
        </w:rPr>
        <w:t>sections</w:t>
      </w:r>
      <w:r>
        <w:rPr>
          <w:spacing w:val="-6"/>
          <w:sz w:val="18"/>
        </w:rPr>
        <w:t> </w:t>
      </w:r>
      <w:r>
        <w:rPr>
          <w:sz w:val="18"/>
        </w:rPr>
        <w:t>through</w:t>
      </w:r>
      <w:r>
        <w:rPr>
          <w:spacing w:val="-5"/>
          <w:sz w:val="18"/>
        </w:rPr>
        <w:t> </w:t>
      </w:r>
      <w:r>
        <w:rPr>
          <w:sz w:val="18"/>
        </w:rPr>
        <w:t>the</w:t>
      </w:r>
      <w:r>
        <w:rPr>
          <w:spacing w:val="-5"/>
          <w:sz w:val="18"/>
        </w:rPr>
        <w:t> </w:t>
      </w:r>
      <w:r>
        <w:rPr>
          <w:sz w:val="18"/>
        </w:rPr>
        <w:t>CO</w:t>
      </w:r>
      <w:r>
        <w:rPr>
          <w:position w:val="-5"/>
          <w:sz w:val="10"/>
        </w:rPr>
        <w:t>2</w:t>
      </w:r>
      <w:r>
        <w:rPr>
          <w:spacing w:val="15"/>
          <w:position w:val="-5"/>
          <w:sz w:val="10"/>
        </w:rPr>
        <w:t> </w:t>
      </w:r>
      <w:r>
        <w:rPr>
          <w:sz w:val="18"/>
        </w:rPr>
        <w:t>plume</w:t>
      </w:r>
      <w:r>
        <w:rPr>
          <w:spacing w:val="-6"/>
          <w:sz w:val="18"/>
        </w:rPr>
        <w:t> </w:t>
      </w:r>
      <w:r>
        <w:rPr>
          <w:sz w:val="18"/>
        </w:rPr>
        <w:t>in</w:t>
      </w:r>
      <w:r>
        <w:rPr>
          <w:spacing w:val="-5"/>
          <w:sz w:val="18"/>
        </w:rPr>
        <w:t> </w:t>
      </w:r>
      <w:r>
        <w:rPr>
          <w:sz w:val="18"/>
        </w:rPr>
        <w:t>the</w:t>
      </w:r>
      <w:r>
        <w:rPr>
          <w:spacing w:val="-5"/>
          <w:sz w:val="18"/>
        </w:rPr>
        <w:t> </w:t>
      </w:r>
      <w:r>
        <w:rPr>
          <w:sz w:val="18"/>
        </w:rPr>
        <w:t>Utsira</w:t>
      </w:r>
      <w:r>
        <w:rPr>
          <w:spacing w:val="-5"/>
          <w:sz w:val="18"/>
        </w:rPr>
        <w:t> </w:t>
      </w:r>
      <w:r>
        <w:rPr>
          <w:sz w:val="18"/>
        </w:rPr>
        <w:t>Sand</w:t>
      </w:r>
      <w:r>
        <w:rPr>
          <w:spacing w:val="-6"/>
          <w:sz w:val="18"/>
        </w:rPr>
        <w:t> </w:t>
      </w:r>
      <w:r>
        <w:rPr>
          <w:sz w:val="18"/>
        </w:rPr>
        <w:t>at</w:t>
      </w:r>
      <w:r>
        <w:rPr>
          <w:spacing w:val="-5"/>
          <w:sz w:val="18"/>
        </w:rPr>
        <w:t> </w:t>
      </w:r>
      <w:r>
        <w:rPr>
          <w:sz w:val="18"/>
        </w:rPr>
        <w:t>the</w:t>
      </w:r>
      <w:r>
        <w:rPr>
          <w:spacing w:val="-5"/>
          <w:sz w:val="18"/>
        </w:rPr>
        <w:t> </w:t>
      </w:r>
      <w:r>
        <w:rPr>
          <w:sz w:val="18"/>
        </w:rPr>
        <w:t>Sleipner</w:t>
      </w:r>
      <w:r>
        <w:rPr>
          <w:spacing w:val="-5"/>
          <w:sz w:val="18"/>
        </w:rPr>
        <w:t> </w:t>
      </w:r>
      <w:r>
        <w:rPr>
          <w:sz w:val="18"/>
        </w:rPr>
        <w:t>gas</w:t>
      </w:r>
      <w:r>
        <w:rPr>
          <w:spacing w:val="-5"/>
          <w:sz w:val="18"/>
        </w:rPr>
        <w:t> </w:t>
      </w:r>
      <w:r>
        <w:rPr>
          <w:sz w:val="18"/>
        </w:rPr>
        <w:t>field,</w:t>
      </w:r>
      <w:r>
        <w:rPr>
          <w:spacing w:val="-6"/>
          <w:sz w:val="18"/>
        </w:rPr>
        <w:t> </w:t>
      </w:r>
      <w:r>
        <w:rPr>
          <w:sz w:val="18"/>
        </w:rPr>
        <w:t>North</w:t>
      </w:r>
      <w:r>
        <w:rPr>
          <w:spacing w:val="-5"/>
          <w:sz w:val="18"/>
        </w:rPr>
        <w:t> </w:t>
      </w:r>
      <w:r>
        <w:rPr>
          <w:sz w:val="18"/>
        </w:rPr>
        <w:t>Sea,</w:t>
      </w:r>
      <w:r>
        <w:rPr>
          <w:spacing w:val="-5"/>
          <w:sz w:val="18"/>
        </w:rPr>
        <w:t> </w:t>
      </w:r>
      <w:r>
        <w:rPr>
          <w:sz w:val="18"/>
        </w:rPr>
        <w:t>showing</w:t>
      </w:r>
      <w:r>
        <w:rPr>
          <w:spacing w:val="-5"/>
          <w:sz w:val="18"/>
        </w:rPr>
        <w:t> </w:t>
      </w:r>
      <w:r>
        <w:rPr>
          <w:sz w:val="18"/>
        </w:rPr>
        <w:t>its</w:t>
      </w:r>
      <w:r>
        <w:rPr>
          <w:spacing w:val="-6"/>
          <w:sz w:val="18"/>
        </w:rPr>
        <w:t> </w:t>
      </w:r>
      <w:r>
        <w:rPr>
          <w:sz w:val="18"/>
        </w:rPr>
        <w:t>development over</w:t>
      </w:r>
      <w:r>
        <w:rPr>
          <w:spacing w:val="-3"/>
          <w:sz w:val="18"/>
        </w:rPr>
        <w:t> </w:t>
      </w:r>
      <w:r>
        <w:rPr>
          <w:sz w:val="18"/>
        </w:rPr>
        <w:t>time.</w:t>
      </w:r>
      <w:r>
        <w:rPr>
          <w:spacing w:val="-2"/>
          <w:sz w:val="18"/>
        </w:rPr>
        <w:t> </w:t>
      </w:r>
      <w:r>
        <w:rPr>
          <w:sz w:val="18"/>
        </w:rPr>
        <w:t>Note</w:t>
      </w:r>
      <w:r>
        <w:rPr>
          <w:spacing w:val="-4"/>
          <w:sz w:val="18"/>
        </w:rPr>
        <w:t> </w:t>
      </w:r>
      <w:r>
        <w:rPr>
          <w:sz w:val="18"/>
        </w:rPr>
        <w:t>the</w:t>
      </w:r>
      <w:r>
        <w:rPr>
          <w:spacing w:val="-2"/>
          <w:sz w:val="18"/>
        </w:rPr>
        <w:t> </w:t>
      </w:r>
      <w:r>
        <w:rPr>
          <w:sz w:val="18"/>
        </w:rPr>
        <w:t>chimney</w:t>
      </w:r>
      <w:r>
        <w:rPr>
          <w:spacing w:val="-3"/>
          <w:sz w:val="18"/>
        </w:rPr>
        <w:t> </w:t>
      </w:r>
      <w:r>
        <w:rPr>
          <w:sz w:val="18"/>
        </w:rPr>
        <w:t>of</w:t>
      </w:r>
      <w:r>
        <w:rPr>
          <w:spacing w:val="-2"/>
          <w:sz w:val="18"/>
        </w:rPr>
        <w:t> </w:t>
      </w:r>
      <w:r>
        <w:rPr>
          <w:sz w:val="18"/>
        </w:rPr>
        <w:t>high</w:t>
      </w:r>
      <w:r>
        <w:rPr>
          <w:spacing w:val="-3"/>
          <w:sz w:val="18"/>
        </w:rPr>
        <w:t> </w:t>
      </w:r>
      <w:r>
        <w:rPr>
          <w:sz w:val="18"/>
        </w:rPr>
        <w:t>CO</w:t>
      </w:r>
      <w:r>
        <w:rPr>
          <w:position w:val="-5"/>
          <w:sz w:val="10"/>
        </w:rPr>
        <w:t>2</w:t>
      </w:r>
      <w:r>
        <w:rPr>
          <w:spacing w:val="18"/>
          <w:position w:val="-5"/>
          <w:sz w:val="10"/>
        </w:rPr>
        <w:t> </w:t>
      </w:r>
      <w:r>
        <w:rPr>
          <w:sz w:val="18"/>
        </w:rPr>
        <w:t>saturation</w:t>
      </w:r>
      <w:r>
        <w:rPr>
          <w:spacing w:val="-4"/>
          <w:sz w:val="18"/>
        </w:rPr>
        <w:t> </w:t>
      </w:r>
      <w:r>
        <w:rPr>
          <w:sz w:val="18"/>
        </w:rPr>
        <w:t>(c)</w:t>
      </w:r>
      <w:r>
        <w:rPr>
          <w:spacing w:val="-2"/>
          <w:sz w:val="18"/>
        </w:rPr>
        <w:t> </w:t>
      </w:r>
      <w:r>
        <w:rPr>
          <w:sz w:val="18"/>
        </w:rPr>
        <w:t>above</w:t>
      </w:r>
      <w:r>
        <w:rPr>
          <w:spacing w:val="-2"/>
          <w:sz w:val="18"/>
        </w:rPr>
        <w:t> </w:t>
      </w:r>
      <w:r>
        <w:rPr>
          <w:sz w:val="18"/>
        </w:rPr>
        <w:t>the</w:t>
      </w:r>
      <w:r>
        <w:rPr>
          <w:spacing w:val="-3"/>
          <w:sz w:val="18"/>
        </w:rPr>
        <w:t> </w:t>
      </w:r>
      <w:r>
        <w:rPr>
          <w:sz w:val="18"/>
        </w:rPr>
        <w:t>injection</w:t>
      </w:r>
      <w:r>
        <w:rPr>
          <w:spacing w:val="-3"/>
          <w:sz w:val="18"/>
        </w:rPr>
        <w:t> </w:t>
      </w:r>
      <w:r>
        <w:rPr>
          <w:sz w:val="18"/>
        </w:rPr>
        <w:t>point</w:t>
      </w:r>
      <w:r>
        <w:rPr>
          <w:spacing w:val="-3"/>
          <w:sz w:val="18"/>
        </w:rPr>
        <w:t> </w:t>
      </w:r>
      <w:r>
        <w:rPr>
          <w:sz w:val="18"/>
        </w:rPr>
        <w:t>(black</w:t>
      </w:r>
      <w:r>
        <w:rPr>
          <w:spacing w:val="-2"/>
          <w:sz w:val="18"/>
        </w:rPr>
        <w:t> </w:t>
      </w:r>
      <w:r>
        <w:rPr>
          <w:sz w:val="18"/>
        </w:rPr>
        <w:t>dot)</w:t>
      </w:r>
      <w:r>
        <w:rPr>
          <w:spacing w:val="-3"/>
          <w:sz w:val="18"/>
        </w:rPr>
        <w:t> </w:t>
      </w:r>
      <w:r>
        <w:rPr>
          <w:sz w:val="18"/>
        </w:rPr>
        <w:t>and</w:t>
      </w:r>
      <w:r>
        <w:rPr>
          <w:spacing w:val="-2"/>
          <w:sz w:val="18"/>
        </w:rPr>
        <w:t> </w:t>
      </w:r>
      <w:r>
        <w:rPr>
          <w:sz w:val="18"/>
        </w:rPr>
        <w:t>the</w:t>
      </w:r>
      <w:r>
        <w:rPr>
          <w:spacing w:val="-3"/>
          <w:sz w:val="18"/>
        </w:rPr>
        <w:t> </w:t>
      </w:r>
      <w:r>
        <w:rPr>
          <w:sz w:val="18"/>
        </w:rPr>
        <w:t>bright</w:t>
      </w:r>
      <w:r>
        <w:rPr>
          <w:spacing w:val="-2"/>
          <w:sz w:val="18"/>
        </w:rPr>
        <w:t> </w:t>
      </w:r>
      <w:r>
        <w:rPr>
          <w:sz w:val="18"/>
        </w:rPr>
        <w:t>layers</w:t>
      </w:r>
      <w:r>
        <w:rPr>
          <w:spacing w:val="-2"/>
          <w:sz w:val="18"/>
        </w:rPr>
        <w:t> </w:t>
      </w:r>
      <w:r>
        <w:rPr>
          <w:sz w:val="18"/>
        </w:rPr>
        <w:t>corresponding</w:t>
      </w:r>
      <w:r>
        <w:rPr>
          <w:spacing w:val="-3"/>
          <w:sz w:val="18"/>
        </w:rPr>
        <w:t> </w:t>
      </w:r>
      <w:r>
        <w:rPr>
          <w:sz w:val="18"/>
        </w:rPr>
        <w:t>to</w:t>
      </w:r>
      <w:r>
        <w:rPr>
          <w:spacing w:val="-2"/>
          <w:sz w:val="18"/>
        </w:rPr>
        <w:t> </w:t>
      </w:r>
      <w:r>
        <w:rPr>
          <w:sz w:val="18"/>
        </w:rPr>
        <w:t>high</w:t>
      </w:r>
      <w:r>
        <w:rPr>
          <w:spacing w:val="-3"/>
          <w:sz w:val="18"/>
        </w:rPr>
        <w:t> </w:t>
      </w:r>
      <w:r>
        <w:rPr>
          <w:sz w:val="18"/>
        </w:rPr>
        <w:t>acoustic response</w:t>
      </w:r>
      <w:r>
        <w:rPr>
          <w:spacing w:val="-8"/>
          <w:sz w:val="18"/>
        </w:rPr>
        <w:t> </w:t>
      </w:r>
      <w:r>
        <w:rPr>
          <w:sz w:val="18"/>
        </w:rPr>
        <w:t>due</w:t>
      </w:r>
      <w:r>
        <w:rPr>
          <w:spacing w:val="-8"/>
          <w:sz w:val="18"/>
        </w:rPr>
        <w:t> </w:t>
      </w:r>
      <w:r>
        <w:rPr>
          <w:sz w:val="18"/>
        </w:rPr>
        <w:t>to</w:t>
      </w:r>
      <w:r>
        <w:rPr>
          <w:spacing w:val="-8"/>
          <w:sz w:val="18"/>
        </w:rPr>
        <w:t> </w:t>
      </w:r>
      <w:r>
        <w:rPr>
          <w:sz w:val="18"/>
        </w:rPr>
        <w:t>CO</w:t>
      </w:r>
      <w:r>
        <w:rPr>
          <w:position w:val="-5"/>
          <w:sz w:val="10"/>
        </w:rPr>
        <w:t>2</w:t>
      </w:r>
      <w:r>
        <w:rPr>
          <w:spacing w:val="13"/>
          <w:position w:val="-5"/>
          <w:sz w:val="10"/>
        </w:rPr>
        <w:t> </w:t>
      </w:r>
      <w:r>
        <w:rPr>
          <w:sz w:val="18"/>
        </w:rPr>
        <w:t>in</w:t>
      </w:r>
      <w:r>
        <w:rPr>
          <w:spacing w:val="-8"/>
          <w:sz w:val="18"/>
        </w:rPr>
        <w:t> </w:t>
      </w:r>
      <w:r>
        <w:rPr>
          <w:sz w:val="18"/>
        </w:rPr>
        <w:t>a</w:t>
      </w:r>
      <w:r>
        <w:rPr>
          <w:spacing w:val="-8"/>
          <w:sz w:val="18"/>
        </w:rPr>
        <w:t> </w:t>
      </w:r>
      <w:r>
        <w:rPr>
          <w:sz w:val="18"/>
        </w:rPr>
        <w:t>gas</w:t>
      </w:r>
      <w:r>
        <w:rPr>
          <w:spacing w:val="-7"/>
          <w:sz w:val="18"/>
        </w:rPr>
        <w:t> </w:t>
      </w:r>
      <w:r>
        <w:rPr>
          <w:sz w:val="18"/>
        </w:rPr>
        <w:t>form</w:t>
      </w:r>
      <w:r>
        <w:rPr>
          <w:spacing w:val="-8"/>
          <w:sz w:val="18"/>
        </w:rPr>
        <w:t> </w:t>
      </w:r>
      <w:r>
        <w:rPr>
          <w:sz w:val="18"/>
        </w:rPr>
        <w:t>being</w:t>
      </w:r>
      <w:r>
        <w:rPr>
          <w:spacing w:val="-8"/>
          <w:sz w:val="18"/>
        </w:rPr>
        <w:t> </w:t>
      </w:r>
      <w:r>
        <w:rPr>
          <w:sz w:val="18"/>
        </w:rPr>
        <w:t>resident</w:t>
      </w:r>
      <w:r>
        <w:rPr>
          <w:spacing w:val="-8"/>
          <w:sz w:val="18"/>
        </w:rPr>
        <w:t> </w:t>
      </w:r>
      <w:r>
        <w:rPr>
          <w:sz w:val="18"/>
        </w:rPr>
        <w:t>in</w:t>
      </w:r>
      <w:r>
        <w:rPr>
          <w:spacing w:val="-7"/>
          <w:sz w:val="18"/>
        </w:rPr>
        <w:t> </w:t>
      </w:r>
      <w:r>
        <w:rPr>
          <w:sz w:val="18"/>
        </w:rPr>
        <w:t>sandstone</w:t>
      </w:r>
      <w:r>
        <w:rPr>
          <w:spacing w:val="-8"/>
          <w:sz w:val="18"/>
        </w:rPr>
        <w:t> </w:t>
      </w:r>
      <w:r>
        <w:rPr>
          <w:sz w:val="18"/>
        </w:rPr>
        <w:t>beneath</w:t>
      </w:r>
      <w:r>
        <w:rPr>
          <w:spacing w:val="-9"/>
          <w:sz w:val="18"/>
        </w:rPr>
        <w:t> </w:t>
      </w:r>
      <w:r>
        <w:rPr>
          <w:sz w:val="18"/>
        </w:rPr>
        <w:t>thin</w:t>
      </w:r>
      <w:r>
        <w:rPr>
          <w:spacing w:val="-7"/>
          <w:sz w:val="18"/>
        </w:rPr>
        <w:t> </w:t>
      </w:r>
      <w:r>
        <w:rPr>
          <w:sz w:val="18"/>
        </w:rPr>
        <w:t>low-permeability</w:t>
      </w:r>
      <w:r>
        <w:rPr>
          <w:spacing w:val="-9"/>
          <w:sz w:val="18"/>
        </w:rPr>
        <w:t> </w:t>
      </w:r>
      <w:r>
        <w:rPr>
          <w:sz w:val="18"/>
        </w:rPr>
        <w:t>horizons</w:t>
      </w:r>
      <w:r>
        <w:rPr>
          <w:spacing w:val="-8"/>
          <w:sz w:val="18"/>
        </w:rPr>
        <w:t> </w:t>
      </w:r>
      <w:r>
        <w:rPr>
          <w:sz w:val="18"/>
        </w:rPr>
        <w:t>within</w:t>
      </w:r>
      <w:r>
        <w:rPr>
          <w:spacing w:val="-8"/>
          <w:sz w:val="18"/>
        </w:rPr>
        <w:t> </w:t>
      </w:r>
      <w:r>
        <w:rPr>
          <w:sz w:val="18"/>
        </w:rPr>
        <w:t>the</w:t>
      </w:r>
      <w:r>
        <w:rPr>
          <w:spacing w:val="-7"/>
          <w:sz w:val="18"/>
        </w:rPr>
        <w:t> </w:t>
      </w:r>
      <w:r>
        <w:rPr>
          <w:sz w:val="18"/>
        </w:rPr>
        <w:t>reservoir.</w:t>
      </w:r>
      <w:r>
        <w:rPr>
          <w:spacing w:val="-8"/>
          <w:sz w:val="18"/>
        </w:rPr>
        <w:t> </w:t>
      </w:r>
      <w:r>
        <w:rPr>
          <w:sz w:val="18"/>
        </w:rPr>
        <w:t>(b)</w:t>
      </w:r>
      <w:r>
        <w:rPr>
          <w:spacing w:val="-8"/>
          <w:sz w:val="18"/>
        </w:rPr>
        <w:t> </w:t>
      </w:r>
      <w:r>
        <w:rPr>
          <w:sz w:val="18"/>
        </w:rPr>
        <w:t>Horizontal</w:t>
      </w:r>
      <w:r>
        <w:rPr>
          <w:spacing w:val="-8"/>
          <w:sz w:val="18"/>
        </w:rPr>
        <w:t> </w:t>
      </w:r>
      <w:r>
        <w:rPr>
          <w:sz w:val="18"/>
        </w:rPr>
        <w:t>seismic sections through the developing CO</w:t>
      </w:r>
      <w:r>
        <w:rPr>
          <w:position w:val="-5"/>
          <w:sz w:val="10"/>
        </w:rPr>
        <w:t>2 </w:t>
      </w:r>
      <w:r>
        <w:rPr>
          <w:sz w:val="18"/>
        </w:rPr>
        <w:t>plume at Sleipner showing its growth over time. The CO</w:t>
      </w:r>
      <w:r>
        <w:rPr>
          <w:position w:val="-5"/>
          <w:sz w:val="10"/>
        </w:rPr>
        <w:t>2 </w:t>
      </w:r>
      <w:r>
        <w:rPr>
          <w:sz w:val="18"/>
        </w:rPr>
        <w:t>plume-specific monitoring was completed in 2001; therefore data for 2002 was not available (courtesy of Andy Chadwick and the CO2STORE</w:t>
      </w:r>
      <w:r>
        <w:rPr>
          <w:spacing w:val="-17"/>
          <w:sz w:val="18"/>
        </w:rPr>
        <w:t> </w:t>
      </w:r>
      <w:r>
        <w:rPr>
          <w:sz w:val="18"/>
        </w:rPr>
        <w:t>project).</w:t>
      </w:r>
    </w:p>
    <w:p>
      <w:pPr>
        <w:pStyle w:val="BodyText"/>
      </w:pPr>
    </w:p>
    <w:p>
      <w:pPr>
        <w:pStyle w:val="BodyText"/>
        <w:spacing w:line="290" w:lineRule="atLeast" w:before="162"/>
        <w:ind w:left="5483" w:right="432"/>
      </w:pPr>
      <w:r>
        <w:rPr/>
        <w:pict>
          <v:group style="position:absolute;margin-left:37.308998pt;margin-top:27.367914pt;width:252.65pt;height:170.85pt;mso-position-horizontal-relative:page;mso-position-vertical-relative:paragraph;z-index:251702272" coordorigin="746,547" coordsize="5053,3417">
            <v:line style="position:absolute" from="5705,3551" to="5705,3519" stroked="true" strokeweight=".264pt" strokecolor="#000000">
              <v:stroke dashstyle="solid"/>
            </v:line>
            <v:line style="position:absolute" from="1309,3535" to="5707,3535" stroked="true" strokeweight="1.848pt" strokecolor="#000000">
              <v:stroke dashstyle="solid"/>
            </v:line>
            <v:shape style="position:absolute;left:1280;top:710;width:32;height:2809" coordorigin="1280,710" coordsize="32,2809" path="m1280,3519l1312,3519m1312,710l1312,3519e" filled="false" stroked="true" strokeweight=".264pt" strokecolor="#000000">
              <v:path arrowok="t"/>
              <v:stroke dashstyle="solid"/>
            </v:shape>
            <v:rect style="position:absolute;left:1311;top:710;width:4393;height:2809" filled="false" stroked="true" strokeweight=".528pt" strokecolor="#93989b">
              <v:stroke dashstyle="solid"/>
            </v:rect>
            <v:line style="position:absolute" from="1312,710" to="5705,710" stroked="true" strokeweight=".264pt" strokecolor="#000000">
              <v:stroke dashstyle="solid"/>
            </v:line>
            <v:shape style="position:absolute;left:1269;top:1272;width:4433;height:1684" coordorigin="1269,1272" coordsize="4433,1684" path="m1269,1272l5702,1272m1269,1834l5702,1834m1269,2956l5702,2956m1269,2395l5702,2395e" filled="false" stroked="true" strokeweight=".44pt" strokecolor="#7b8082">
              <v:path arrowok="t"/>
              <v:stroke dashstyle="solid"/>
            </v:shape>
            <v:shape style="position:absolute;left:1311;top:2890;width:4393;height:629" coordorigin="1312,2891" coordsize="4393,629" path="m1312,3519l1534,3445,1750,3398,1972,3350,2188,3308,2410,3271,2632,3239,2848,3202,3070,3171,3287,3144,3508,3113,3730,3086,3947,3065,4168,3039,4390,3018,4607,2991,5050,2949,5267,2928,5488,2912,5705,2891e" filled="false" stroked="true" strokeweight="1.32pt" strokecolor="#008a62">
              <v:path arrowok="t"/>
              <v:stroke dashstyle="shortdot"/>
            </v:shape>
            <v:shape style="position:absolute;left:1088;top:1173;width:4630;height:2665" type="#_x0000_t75" stroked="false">
              <v:imagedata r:id="rId134" o:title=""/>
            </v:shape>
            <v:shape style="position:absolute;left:1125;top:665;width:119;height:84" coordorigin="1126,666" coordsize="119,84" path="m1180,738l1140,738,1141,736,1143,733,1153,725,1159,720,1160,719,1177,705,1180,697,1180,678,1177,674,1173,666,1148,666,1135,667,1128,684,1128,689,1138,691,1138,674,1152,674,1163,674,1170,680,1170,692,1169,697,1159,707,1155,711,1139,724,1126,735,1126,748,1180,748,1180,738m1244,708l1244,697,1241,683,1235,674,1234,672,1234,722,1233,741,1203,741,1201,722,1201,691,1204,674,1233,674,1234,691,1234,722,1234,672,1233,671,1218,666,1202,671,1194,683,1192,697,1191,708,1192,718,1194,732,1202,744,1218,749,1233,744,1235,741,1241,732,1244,718,1244,708e" filled="true" fillcolor="#000000" stroked="false">
              <v:path arrowok="t"/>
              <v:fill type="solid"/>
            </v:shape>
            <v:shape style="position:absolute;left:822;top:1325;width:111;height:1579" type="#_x0000_t75" stroked="false">
              <v:imagedata r:id="rId135" o:title=""/>
            </v:shape>
            <v:rect style="position:absolute;left:751;top:552;width:5043;height:3407" filled="false" stroked="true" strokeweight=".5pt" strokecolor="#000000">
              <v:stroke dashstyle="solid"/>
            </v:rect>
            <w10:wrap type="none"/>
          </v:group>
        </w:pict>
      </w:r>
      <w:bookmarkStart w:name="_bookmark29" w:id="49"/>
      <w:bookmarkEnd w:id="49"/>
      <w:r>
        <w:rPr/>
      </w:r>
      <w:r>
        <w:rPr/>
        <w:t>Original screening criteria proposed in selecting favourable areas for CO</w:t>
      </w:r>
      <w:r>
        <w:rPr>
          <w:position w:val="-6"/>
          <w:sz w:val="11"/>
        </w:rPr>
        <w:t>2 </w:t>
      </w:r>
      <w:r>
        <w:rPr/>
        <w:t>ECBM (IEA-GHG, 1998) include:</w:t>
      </w:r>
    </w:p>
    <w:p>
      <w:pPr>
        <w:pStyle w:val="ListParagraph"/>
        <w:numPr>
          <w:ilvl w:val="0"/>
          <w:numId w:val="5"/>
        </w:numPr>
        <w:tabs>
          <w:tab w:pos="5767" w:val="left" w:leader="none"/>
        </w:tabs>
        <w:spacing w:line="191" w:lineRule="exact" w:before="0" w:after="0"/>
        <w:ind w:left="5766" w:right="0" w:hanging="284"/>
        <w:jc w:val="left"/>
        <w:rPr>
          <w:sz w:val="20"/>
        </w:rPr>
      </w:pPr>
      <w:r>
        <w:rPr>
          <w:sz w:val="20"/>
        </w:rPr>
        <w:t>Adequate permeability (minimum values have not yet</w:t>
      </w:r>
      <w:r>
        <w:rPr>
          <w:spacing w:val="16"/>
          <w:sz w:val="20"/>
        </w:rPr>
        <w:t> </w:t>
      </w:r>
      <w:r>
        <w:rPr>
          <w:sz w:val="20"/>
        </w:rPr>
        <w:t>been</w:t>
      </w:r>
    </w:p>
    <w:p>
      <w:pPr>
        <w:pStyle w:val="BodyText"/>
        <w:spacing w:line="228" w:lineRule="exact" w:before="9"/>
        <w:ind w:left="5766"/>
      </w:pPr>
      <w:r>
        <w:rPr/>
        <w:t>determined);</w:t>
      </w:r>
    </w:p>
    <w:p>
      <w:pPr>
        <w:pStyle w:val="ListParagraph"/>
        <w:numPr>
          <w:ilvl w:val="0"/>
          <w:numId w:val="5"/>
        </w:numPr>
        <w:tabs>
          <w:tab w:pos="5767" w:val="left" w:leader="none"/>
        </w:tabs>
        <w:spacing w:line="243" w:lineRule="exact" w:before="0" w:after="0"/>
        <w:ind w:left="5766" w:right="0" w:hanging="284"/>
        <w:jc w:val="left"/>
        <w:rPr>
          <w:sz w:val="20"/>
        </w:rPr>
      </w:pPr>
      <w:r>
        <w:rPr>
          <w:sz w:val="20"/>
        </w:rPr>
        <w:t>Suitable coal geometry (a </w:t>
      </w:r>
      <w:r>
        <w:rPr>
          <w:spacing w:val="-4"/>
          <w:sz w:val="20"/>
        </w:rPr>
        <w:t>few, </w:t>
      </w:r>
      <w:r>
        <w:rPr>
          <w:sz w:val="20"/>
        </w:rPr>
        <w:t>thick seams rather</w:t>
      </w:r>
      <w:r>
        <w:rPr>
          <w:spacing w:val="23"/>
          <w:sz w:val="20"/>
        </w:rPr>
        <w:t> </w:t>
      </w:r>
      <w:r>
        <w:rPr>
          <w:sz w:val="20"/>
        </w:rPr>
        <w:t>than</w:t>
      </w:r>
    </w:p>
    <w:p>
      <w:pPr>
        <w:pStyle w:val="BodyText"/>
        <w:spacing w:line="228" w:lineRule="exact" w:before="9"/>
        <w:ind w:left="5766"/>
      </w:pPr>
      <w:r>
        <w:rPr/>
        <w:t>multiple, thin seams);</w:t>
      </w:r>
    </w:p>
    <w:p>
      <w:pPr>
        <w:pStyle w:val="ListParagraph"/>
        <w:numPr>
          <w:ilvl w:val="0"/>
          <w:numId w:val="5"/>
        </w:numPr>
        <w:tabs>
          <w:tab w:pos="5767" w:val="left" w:leader="none"/>
        </w:tabs>
        <w:spacing w:line="240" w:lineRule="exact" w:before="0" w:after="0"/>
        <w:ind w:left="5766" w:right="0" w:hanging="284"/>
        <w:jc w:val="left"/>
        <w:rPr>
          <w:sz w:val="20"/>
        </w:rPr>
      </w:pPr>
      <w:r>
        <w:rPr>
          <w:sz w:val="20"/>
        </w:rPr>
        <w:t>Simple structure (minimal faulting and</w:t>
      </w:r>
      <w:r>
        <w:rPr>
          <w:spacing w:val="-4"/>
          <w:sz w:val="20"/>
        </w:rPr>
        <w:t> </w:t>
      </w:r>
      <w:r>
        <w:rPr>
          <w:sz w:val="20"/>
        </w:rPr>
        <w:t>folding);</w:t>
      </w:r>
    </w:p>
    <w:p>
      <w:pPr>
        <w:pStyle w:val="ListParagraph"/>
        <w:numPr>
          <w:ilvl w:val="0"/>
          <w:numId w:val="5"/>
        </w:numPr>
        <w:tabs>
          <w:tab w:pos="5767" w:val="left" w:leader="none"/>
        </w:tabs>
        <w:spacing w:line="249" w:lineRule="auto" w:before="0" w:after="0"/>
        <w:ind w:left="5766" w:right="531" w:hanging="284"/>
        <w:jc w:val="left"/>
        <w:rPr>
          <w:sz w:val="20"/>
        </w:rPr>
      </w:pPr>
      <w:r>
        <w:rPr>
          <w:sz w:val="20"/>
        </w:rPr>
        <w:t>Homogeneous and confined coal seam(s) that are laterally continuous and vertically isolated;</w:t>
      </w:r>
    </w:p>
    <w:p>
      <w:pPr>
        <w:pStyle w:val="ListParagraph"/>
        <w:numPr>
          <w:ilvl w:val="0"/>
          <w:numId w:val="5"/>
        </w:numPr>
        <w:tabs>
          <w:tab w:pos="5767" w:val="left" w:leader="none"/>
        </w:tabs>
        <w:spacing w:line="231" w:lineRule="exact" w:before="0" w:after="0"/>
        <w:ind w:left="5766" w:right="0" w:hanging="284"/>
        <w:jc w:val="left"/>
        <w:rPr>
          <w:sz w:val="20"/>
        </w:rPr>
      </w:pPr>
      <w:r>
        <w:rPr>
          <w:sz w:val="20"/>
        </w:rPr>
        <w:t>Adequate</w:t>
      </w:r>
      <w:r>
        <w:rPr>
          <w:spacing w:val="11"/>
          <w:sz w:val="20"/>
        </w:rPr>
        <w:t> </w:t>
      </w:r>
      <w:r>
        <w:rPr>
          <w:sz w:val="20"/>
        </w:rPr>
        <w:t>depth</w:t>
      </w:r>
      <w:r>
        <w:rPr>
          <w:spacing w:val="12"/>
          <w:sz w:val="20"/>
        </w:rPr>
        <w:t> </w:t>
      </w:r>
      <w:r>
        <w:rPr>
          <w:sz w:val="20"/>
        </w:rPr>
        <w:t>(down</w:t>
      </w:r>
      <w:r>
        <w:rPr>
          <w:spacing w:val="12"/>
          <w:sz w:val="20"/>
        </w:rPr>
        <w:t> </w:t>
      </w:r>
      <w:r>
        <w:rPr>
          <w:sz w:val="20"/>
        </w:rPr>
        <w:t>to</w:t>
      </w:r>
      <w:r>
        <w:rPr>
          <w:spacing w:val="12"/>
          <w:sz w:val="20"/>
        </w:rPr>
        <w:t> </w:t>
      </w:r>
      <w:r>
        <w:rPr>
          <w:sz w:val="20"/>
        </w:rPr>
        <w:t>1500</w:t>
      </w:r>
      <w:r>
        <w:rPr>
          <w:spacing w:val="12"/>
          <w:sz w:val="20"/>
        </w:rPr>
        <w:t> </w:t>
      </w:r>
      <w:r>
        <w:rPr>
          <w:sz w:val="20"/>
        </w:rPr>
        <w:t>m,</w:t>
      </w:r>
      <w:r>
        <w:rPr>
          <w:spacing w:val="11"/>
          <w:sz w:val="20"/>
        </w:rPr>
        <w:t> </w:t>
      </w:r>
      <w:r>
        <w:rPr>
          <w:sz w:val="20"/>
        </w:rPr>
        <w:t>greater</w:t>
      </w:r>
      <w:r>
        <w:rPr>
          <w:spacing w:val="12"/>
          <w:sz w:val="20"/>
        </w:rPr>
        <w:t> </w:t>
      </w:r>
      <w:r>
        <w:rPr>
          <w:sz w:val="20"/>
        </w:rPr>
        <w:t>depths</w:t>
      </w:r>
      <w:r>
        <w:rPr>
          <w:spacing w:val="12"/>
          <w:sz w:val="20"/>
        </w:rPr>
        <w:t> </w:t>
      </w:r>
      <w:r>
        <w:rPr>
          <w:sz w:val="20"/>
        </w:rPr>
        <w:t>have</w:t>
      </w:r>
      <w:r>
        <w:rPr>
          <w:spacing w:val="11"/>
          <w:sz w:val="20"/>
        </w:rPr>
        <w:t> </w:t>
      </w:r>
      <w:r>
        <w:rPr>
          <w:sz w:val="20"/>
        </w:rPr>
        <w:t>not</w:t>
      </w:r>
    </w:p>
    <w:p>
      <w:pPr>
        <w:pStyle w:val="BodyText"/>
        <w:spacing w:line="228" w:lineRule="exact" w:before="7"/>
        <w:ind w:left="5766"/>
      </w:pPr>
      <w:r>
        <w:rPr/>
        <w:t>yet been studied);</w:t>
      </w:r>
    </w:p>
    <w:p>
      <w:pPr>
        <w:pStyle w:val="ListParagraph"/>
        <w:numPr>
          <w:ilvl w:val="0"/>
          <w:numId w:val="5"/>
        </w:numPr>
        <w:tabs>
          <w:tab w:pos="5767" w:val="left" w:leader="none"/>
        </w:tabs>
        <w:spacing w:line="243" w:lineRule="exact" w:before="0" w:after="0"/>
        <w:ind w:left="5766" w:right="0" w:hanging="284"/>
        <w:jc w:val="left"/>
        <w:rPr>
          <w:sz w:val="20"/>
        </w:rPr>
      </w:pPr>
      <w:r>
        <w:rPr>
          <w:sz w:val="20"/>
        </w:rPr>
        <w:t>Suitable</w:t>
      </w:r>
      <w:r>
        <w:rPr>
          <w:spacing w:val="19"/>
          <w:sz w:val="20"/>
        </w:rPr>
        <w:t> </w:t>
      </w:r>
      <w:r>
        <w:rPr>
          <w:sz w:val="20"/>
        </w:rPr>
        <w:t>gas</w:t>
      </w:r>
      <w:r>
        <w:rPr>
          <w:spacing w:val="20"/>
          <w:sz w:val="20"/>
        </w:rPr>
        <w:t> </w:t>
      </w:r>
      <w:r>
        <w:rPr>
          <w:sz w:val="20"/>
        </w:rPr>
        <w:t>saturation</w:t>
      </w:r>
      <w:r>
        <w:rPr>
          <w:spacing w:val="20"/>
          <w:sz w:val="20"/>
        </w:rPr>
        <w:t> </w:t>
      </w:r>
      <w:r>
        <w:rPr>
          <w:sz w:val="20"/>
        </w:rPr>
        <w:t>conditions</w:t>
      </w:r>
      <w:r>
        <w:rPr>
          <w:spacing w:val="20"/>
          <w:sz w:val="20"/>
        </w:rPr>
        <w:t> </w:t>
      </w:r>
      <w:r>
        <w:rPr>
          <w:sz w:val="20"/>
        </w:rPr>
        <w:t>(high</w:t>
      </w:r>
      <w:r>
        <w:rPr>
          <w:spacing w:val="20"/>
          <w:sz w:val="20"/>
        </w:rPr>
        <w:t> </w:t>
      </w:r>
      <w:r>
        <w:rPr>
          <w:sz w:val="20"/>
        </w:rPr>
        <w:t>gas</w:t>
      </w:r>
      <w:r>
        <w:rPr>
          <w:spacing w:val="21"/>
          <w:sz w:val="20"/>
        </w:rPr>
        <w:t> </w:t>
      </w:r>
      <w:r>
        <w:rPr>
          <w:sz w:val="20"/>
        </w:rPr>
        <w:t>saturation</w:t>
      </w:r>
      <w:r>
        <w:rPr>
          <w:spacing w:val="19"/>
          <w:sz w:val="20"/>
        </w:rPr>
        <w:t> </w:t>
      </w:r>
      <w:r>
        <w:rPr>
          <w:sz w:val="20"/>
        </w:rPr>
        <w:t>for</w:t>
      </w:r>
    </w:p>
    <w:p>
      <w:pPr>
        <w:pStyle w:val="BodyText"/>
        <w:spacing w:line="228" w:lineRule="exact" w:before="9"/>
        <w:ind w:left="5766"/>
      </w:pPr>
      <w:r>
        <w:rPr/>
        <w:t>ECBM);</w:t>
      </w:r>
    </w:p>
    <w:p>
      <w:pPr>
        <w:pStyle w:val="ListParagraph"/>
        <w:numPr>
          <w:ilvl w:val="0"/>
          <w:numId w:val="5"/>
        </w:numPr>
        <w:tabs>
          <w:tab w:pos="5767" w:val="left" w:leader="none"/>
        </w:tabs>
        <w:spacing w:line="243" w:lineRule="exact" w:before="0" w:after="0"/>
        <w:ind w:left="5766" w:right="0" w:hanging="284"/>
        <w:jc w:val="left"/>
        <w:rPr>
          <w:sz w:val="20"/>
        </w:rPr>
      </w:pPr>
      <w:r>
        <w:rPr>
          <w:sz w:val="20"/>
        </w:rPr>
        <w:t>Ability to dewater the</w:t>
      </w:r>
      <w:r>
        <w:rPr>
          <w:spacing w:val="-2"/>
          <w:sz w:val="20"/>
        </w:rPr>
        <w:t> </w:t>
      </w:r>
      <w:r>
        <w:rPr>
          <w:sz w:val="20"/>
        </w:rPr>
        <w:t>formation.</w:t>
      </w:r>
    </w:p>
    <w:p>
      <w:pPr>
        <w:pStyle w:val="BodyText"/>
        <w:spacing w:before="2"/>
        <w:rPr>
          <w:sz w:val="16"/>
        </w:rPr>
      </w:pPr>
    </w:p>
    <w:p>
      <w:pPr>
        <w:spacing w:after="0"/>
        <w:rPr>
          <w:sz w:val="16"/>
        </w:rPr>
        <w:sectPr>
          <w:pgSz w:w="12240" w:h="15840"/>
          <w:pgMar w:header="567" w:footer="0" w:top="760" w:bottom="280" w:left="580" w:right="600"/>
        </w:sectPr>
      </w:pPr>
    </w:p>
    <w:p>
      <w:pPr>
        <w:pStyle w:val="BodyText"/>
        <w:rPr>
          <w:sz w:val="16"/>
        </w:rPr>
      </w:pPr>
    </w:p>
    <w:p>
      <w:pPr>
        <w:spacing w:line="261" w:lineRule="auto" w:before="108"/>
        <w:ind w:left="157" w:right="45" w:firstLine="0"/>
        <w:jc w:val="left"/>
        <w:rPr>
          <w:sz w:val="16"/>
        </w:rPr>
      </w:pPr>
      <w:r>
        <w:rPr>
          <w:b/>
          <w:sz w:val="16"/>
        </w:rPr>
        <w:t>Figure 5.17 </w:t>
      </w:r>
      <w:r>
        <w:rPr>
          <w:sz w:val="16"/>
        </w:rPr>
        <w:t>Pure gas absolute adsorption in standard cubic feet per tonne (SCF per tonne) on Tiffany Coals at 55ºC (after Gasem et al.,</w:t>
      </w:r>
      <w:r>
        <w:rPr>
          <w:spacing w:val="-10"/>
          <w:sz w:val="16"/>
        </w:rPr>
        <w:t> </w:t>
      </w:r>
      <w:r>
        <w:rPr>
          <w:sz w:val="16"/>
        </w:rPr>
        <w:t>2002).</w:t>
      </w:r>
    </w:p>
    <w:p>
      <w:pPr>
        <w:pStyle w:val="BodyText"/>
        <w:spacing w:line="249" w:lineRule="auto" w:before="64"/>
        <w:ind w:left="157" w:right="530"/>
        <w:jc w:val="both"/>
      </w:pPr>
      <w:r>
        <w:rPr/>
        <w:br w:type="column"/>
      </w:r>
      <w:r>
        <w:rPr/>
        <w:t>However,</w:t>
      </w:r>
      <w:r>
        <w:rPr>
          <w:spacing w:val="-12"/>
        </w:rPr>
        <w:t> </w:t>
      </w:r>
      <w:r>
        <w:rPr/>
        <w:t>more</w:t>
      </w:r>
      <w:r>
        <w:rPr>
          <w:spacing w:val="-11"/>
        </w:rPr>
        <w:t> </w:t>
      </w:r>
      <w:r>
        <w:rPr/>
        <w:t>recent</w:t>
      </w:r>
      <w:r>
        <w:rPr>
          <w:spacing w:val="-11"/>
        </w:rPr>
        <w:t> </w:t>
      </w:r>
      <w:r>
        <w:rPr/>
        <w:t>studies</w:t>
      </w:r>
      <w:r>
        <w:rPr>
          <w:spacing w:val="-12"/>
        </w:rPr>
        <w:t> </w:t>
      </w:r>
      <w:r>
        <w:rPr/>
        <w:t>have</w:t>
      </w:r>
      <w:r>
        <w:rPr>
          <w:spacing w:val="-12"/>
        </w:rPr>
        <w:t> </w:t>
      </w:r>
      <w:r>
        <w:rPr/>
        <w:t>indicated</w:t>
      </w:r>
      <w:r>
        <w:rPr>
          <w:spacing w:val="-12"/>
        </w:rPr>
        <w:t> </w:t>
      </w:r>
      <w:r>
        <w:rPr/>
        <w:t>that</w:t>
      </w:r>
      <w:r>
        <w:rPr>
          <w:spacing w:val="-11"/>
        </w:rPr>
        <w:t> </w:t>
      </w:r>
      <w:r>
        <w:rPr/>
        <w:t>coal</w:t>
      </w:r>
      <w:r>
        <w:rPr>
          <w:spacing w:val="-11"/>
        </w:rPr>
        <w:t> </w:t>
      </w:r>
      <w:r>
        <w:rPr/>
        <w:t>rank</w:t>
      </w:r>
      <w:r>
        <w:rPr>
          <w:spacing w:val="-11"/>
        </w:rPr>
        <w:t> </w:t>
      </w:r>
      <w:r>
        <w:rPr/>
        <w:t>may play a more significant role than previously thought, owing to the</w:t>
      </w:r>
      <w:r>
        <w:rPr>
          <w:spacing w:val="-15"/>
        </w:rPr>
        <w:t> </w:t>
      </w:r>
      <w:r>
        <w:rPr/>
        <w:t>dependence</w:t>
      </w:r>
      <w:r>
        <w:rPr>
          <w:spacing w:val="-15"/>
        </w:rPr>
        <w:t> </w:t>
      </w:r>
      <w:r>
        <w:rPr/>
        <w:t>on</w:t>
      </w:r>
      <w:r>
        <w:rPr>
          <w:spacing w:val="-14"/>
        </w:rPr>
        <w:t> </w:t>
      </w:r>
      <w:r>
        <w:rPr/>
        <w:t>coal</w:t>
      </w:r>
      <w:r>
        <w:rPr>
          <w:spacing w:val="-15"/>
        </w:rPr>
        <w:t> </w:t>
      </w:r>
      <w:r>
        <w:rPr/>
        <w:t>rank</w:t>
      </w:r>
      <w:r>
        <w:rPr>
          <w:spacing w:val="-14"/>
        </w:rPr>
        <w:t> </w:t>
      </w:r>
      <w:r>
        <w:rPr/>
        <w:t>of</w:t>
      </w:r>
      <w:r>
        <w:rPr>
          <w:spacing w:val="-15"/>
        </w:rPr>
        <w:t> </w:t>
      </w:r>
      <w:r>
        <w:rPr/>
        <w:t>the</w:t>
      </w:r>
      <w:r>
        <w:rPr>
          <w:spacing w:val="-14"/>
        </w:rPr>
        <w:t> </w:t>
      </w:r>
      <w:r>
        <w:rPr/>
        <w:t>relative</w:t>
      </w:r>
      <w:r>
        <w:rPr>
          <w:spacing w:val="-15"/>
        </w:rPr>
        <w:t> </w:t>
      </w:r>
      <w:r>
        <w:rPr/>
        <w:t>adsorptive</w:t>
      </w:r>
      <w:r>
        <w:rPr>
          <w:spacing w:val="-15"/>
        </w:rPr>
        <w:t> </w:t>
      </w:r>
      <w:r>
        <w:rPr/>
        <w:t>capacities</w:t>
      </w:r>
    </w:p>
    <w:p>
      <w:pPr>
        <w:spacing w:after="0" w:line="249" w:lineRule="auto"/>
        <w:jc w:val="both"/>
        <w:sectPr>
          <w:type w:val="continuous"/>
          <w:pgSz w:w="12240" w:h="15840"/>
          <w:pgMar w:top="400" w:bottom="280" w:left="580" w:right="600"/>
          <w:cols w:num="2" w:equalWidth="0">
            <w:col w:w="5241" w:space="85"/>
            <w:col w:w="5734"/>
          </w:cols>
        </w:sectPr>
      </w:pPr>
    </w:p>
    <w:p>
      <w:pPr>
        <w:pStyle w:val="BodyText"/>
      </w:pPr>
    </w:p>
    <w:p>
      <w:pPr>
        <w:pStyle w:val="BodyText"/>
        <w:spacing w:before="9"/>
      </w:pPr>
    </w:p>
    <w:p>
      <w:pPr>
        <w:spacing w:before="1"/>
        <w:ind w:left="553" w:right="0" w:firstLine="0"/>
        <w:jc w:val="left"/>
        <w:rPr>
          <w:sz w:val="18"/>
        </w:rPr>
      </w:pPr>
      <w:r>
        <w:rPr/>
        <w:pict>
          <v:rect style="position:absolute;margin-left:56.693001pt;margin-top:18.710251pt;width:518.457pt;height:390.931pt;mso-position-horizontal-relative:page;mso-position-vertical-relative:paragraph;z-index:-258855936" filled="false" stroked="true" strokeweight=".5pt" strokecolor="#000000">
            <v:stroke dashstyle="solid"/>
            <w10:wrap type="none"/>
          </v:rect>
        </w:pict>
      </w:r>
      <w:bookmarkStart w:name="_bookmark30" w:id="50"/>
      <w:bookmarkEnd w:id="50"/>
      <w:r>
        <w:rPr/>
      </w:r>
      <w:r>
        <w:rPr>
          <w:b/>
          <w:sz w:val="18"/>
        </w:rPr>
        <w:t>Box 5.7 </w:t>
      </w:r>
      <w:r>
        <w:rPr>
          <w:sz w:val="18"/>
        </w:rPr>
        <w:t>The Allison Unit CO</w:t>
      </w:r>
      <w:r>
        <w:rPr>
          <w:position w:val="-5"/>
          <w:sz w:val="10"/>
        </w:rPr>
        <w:t>2</w:t>
      </w:r>
      <w:r>
        <w:rPr>
          <w:sz w:val="18"/>
        </w:rPr>
        <w:t>-ECBM Pilot.</w:t>
      </w:r>
    </w:p>
    <w:p>
      <w:pPr>
        <w:pStyle w:val="BodyText"/>
        <w:spacing w:before="11"/>
      </w:pPr>
    </w:p>
    <w:p>
      <w:pPr>
        <w:pStyle w:val="BodyText"/>
        <w:spacing w:line="240" w:lineRule="exact"/>
        <w:ind w:left="723" w:right="304"/>
        <w:jc w:val="both"/>
      </w:pPr>
      <w:r>
        <w:rPr/>
        <w:t>The Allison Unit CO</w:t>
      </w:r>
      <w:r>
        <w:rPr>
          <w:position w:val="-6"/>
          <w:sz w:val="11"/>
        </w:rPr>
        <w:t>2</w:t>
      </w:r>
      <w:r>
        <w:rPr/>
        <w:t>-ECBM Recovery Pilot Project, located in the northern New Mexico portion of the San Juan Basin,</w:t>
      </w:r>
      <w:bookmarkStart w:name="5.3.5 Other geological media" w:id="51"/>
      <w:bookmarkEnd w:id="51"/>
      <w:r>
        <w:rPr/>
      </w:r>
      <w:r>
        <w:rPr/>
        <w:t> USA,</w:t>
      </w:r>
      <w:r>
        <w:rPr>
          <w:spacing w:val="-7"/>
        </w:rPr>
        <w:t> </w:t>
      </w:r>
      <w:r>
        <w:rPr/>
        <w:t>is</w:t>
      </w:r>
      <w:r>
        <w:rPr>
          <w:spacing w:val="-7"/>
        </w:rPr>
        <w:t> </w:t>
      </w:r>
      <w:r>
        <w:rPr/>
        <w:t>owned</w:t>
      </w:r>
      <w:r>
        <w:rPr>
          <w:spacing w:val="-6"/>
        </w:rPr>
        <w:t> </w:t>
      </w:r>
      <w:r>
        <w:rPr/>
        <w:t>and</w:t>
      </w:r>
      <w:r>
        <w:rPr>
          <w:spacing w:val="-7"/>
        </w:rPr>
        <w:t> </w:t>
      </w:r>
      <w:r>
        <w:rPr/>
        <w:t>operated</w:t>
      </w:r>
      <w:r>
        <w:rPr>
          <w:spacing w:val="-6"/>
        </w:rPr>
        <w:t> </w:t>
      </w:r>
      <w:r>
        <w:rPr/>
        <w:t>by</w:t>
      </w:r>
      <w:r>
        <w:rPr>
          <w:spacing w:val="-7"/>
        </w:rPr>
        <w:t> </w:t>
      </w:r>
      <w:r>
        <w:rPr/>
        <w:t>Burlington</w:t>
      </w:r>
      <w:r>
        <w:rPr>
          <w:spacing w:val="-6"/>
        </w:rPr>
        <w:t> </w:t>
      </w:r>
      <w:r>
        <w:rPr/>
        <w:t>Resources.</w:t>
      </w:r>
      <w:r>
        <w:rPr>
          <w:spacing w:val="-7"/>
        </w:rPr>
        <w:t> </w:t>
      </w:r>
      <w:r>
        <w:rPr/>
        <w:t>Production</w:t>
      </w:r>
      <w:r>
        <w:rPr>
          <w:spacing w:val="-7"/>
        </w:rPr>
        <w:t> </w:t>
      </w:r>
      <w:r>
        <w:rPr/>
        <w:t>from</w:t>
      </w:r>
      <w:r>
        <w:rPr>
          <w:spacing w:val="-6"/>
        </w:rPr>
        <w:t> </w:t>
      </w:r>
      <w:r>
        <w:rPr/>
        <w:t>the</w:t>
      </w:r>
      <w:r>
        <w:rPr>
          <w:spacing w:val="-17"/>
        </w:rPr>
        <w:t> </w:t>
      </w:r>
      <w:r>
        <w:rPr/>
        <w:t>Allison</w:t>
      </w:r>
      <w:r>
        <w:rPr>
          <w:spacing w:val="-7"/>
        </w:rPr>
        <w:t> </w:t>
      </w:r>
      <w:r>
        <w:rPr/>
        <w:t>field</w:t>
      </w:r>
      <w:r>
        <w:rPr>
          <w:spacing w:val="-7"/>
        </w:rPr>
        <w:t> </w:t>
      </w:r>
      <w:r>
        <w:rPr/>
        <w:t>began</w:t>
      </w:r>
      <w:r>
        <w:rPr>
          <w:spacing w:val="-6"/>
        </w:rPr>
        <w:t> </w:t>
      </w:r>
      <w:r>
        <w:rPr/>
        <w:t>in</w:t>
      </w:r>
      <w:r>
        <w:rPr>
          <w:spacing w:val="-7"/>
        </w:rPr>
        <w:t> </w:t>
      </w:r>
      <w:r>
        <w:rPr/>
        <w:t>July</w:t>
      </w:r>
      <w:r>
        <w:rPr>
          <w:spacing w:val="-6"/>
        </w:rPr>
        <w:t> </w:t>
      </w:r>
      <w:r>
        <w:rPr/>
        <w:t>1989</w:t>
      </w:r>
      <w:r>
        <w:rPr>
          <w:spacing w:val="-7"/>
        </w:rPr>
        <w:t> </w:t>
      </w:r>
      <w:r>
        <w:rPr/>
        <w:t>and</w:t>
      </w:r>
      <w:r>
        <w:rPr>
          <w:spacing w:val="-6"/>
        </w:rPr>
        <w:t> </w:t>
      </w:r>
      <w:r>
        <w:rPr/>
        <w:t>CO</w:t>
      </w:r>
      <w:r>
        <w:rPr>
          <w:position w:val="-6"/>
          <w:sz w:val="11"/>
        </w:rPr>
        <w:t>2</w:t>
      </w:r>
      <w:r>
        <w:rPr>
          <w:spacing w:val="16"/>
          <w:position w:val="-6"/>
          <w:sz w:val="11"/>
        </w:rPr>
        <w:t> </w:t>
      </w:r>
      <w:r>
        <w:rPr/>
        <w:t>injection operations</w:t>
      </w:r>
      <w:r>
        <w:rPr>
          <w:spacing w:val="-9"/>
        </w:rPr>
        <w:t> </w:t>
      </w:r>
      <w:r>
        <w:rPr/>
        <w:t>for</w:t>
      </w:r>
      <w:r>
        <w:rPr>
          <w:spacing w:val="-8"/>
        </w:rPr>
        <w:t> </w:t>
      </w:r>
      <w:r>
        <w:rPr/>
        <w:t>ECBM</w:t>
      </w:r>
      <w:r>
        <w:rPr>
          <w:spacing w:val="-8"/>
        </w:rPr>
        <w:t> </w:t>
      </w:r>
      <w:r>
        <w:rPr/>
        <w:t>recovery</w:t>
      </w:r>
      <w:r>
        <w:rPr>
          <w:spacing w:val="-8"/>
        </w:rPr>
        <w:t> </w:t>
      </w:r>
      <w:r>
        <w:rPr/>
        <w:t>commenced</w:t>
      </w:r>
      <w:r>
        <w:rPr>
          <w:spacing w:val="-8"/>
        </w:rPr>
        <w:t> </w:t>
      </w:r>
      <w:r>
        <w:rPr/>
        <w:t>in</w:t>
      </w:r>
      <w:r>
        <w:rPr>
          <w:spacing w:val="-19"/>
        </w:rPr>
        <w:t> </w:t>
      </w:r>
      <w:r>
        <w:rPr/>
        <w:t>April</w:t>
      </w:r>
      <w:r>
        <w:rPr>
          <w:spacing w:val="-8"/>
        </w:rPr>
        <w:t> </w:t>
      </w:r>
      <w:r>
        <w:rPr/>
        <w:t>1995.</w:t>
      </w:r>
      <w:r>
        <w:rPr>
          <w:spacing w:val="-8"/>
        </w:rPr>
        <w:t> </w:t>
      </w:r>
      <w:r>
        <w:rPr/>
        <w:t>Carbon</w:t>
      </w:r>
      <w:r>
        <w:rPr>
          <w:spacing w:val="-8"/>
        </w:rPr>
        <w:t> </w:t>
      </w:r>
      <w:r>
        <w:rPr/>
        <w:t>dioxide</w:t>
      </w:r>
      <w:r>
        <w:rPr>
          <w:spacing w:val="-8"/>
        </w:rPr>
        <w:t> </w:t>
      </w:r>
      <w:r>
        <w:rPr/>
        <w:t>injection</w:t>
      </w:r>
      <w:r>
        <w:rPr>
          <w:spacing w:val="-8"/>
        </w:rPr>
        <w:t> </w:t>
      </w:r>
      <w:r>
        <w:rPr/>
        <w:t>was</w:t>
      </w:r>
      <w:r>
        <w:rPr>
          <w:spacing w:val="-8"/>
        </w:rPr>
        <w:t> </w:t>
      </w:r>
      <w:r>
        <w:rPr/>
        <w:t>suspended</w:t>
      </w:r>
      <w:r>
        <w:rPr>
          <w:spacing w:val="-9"/>
        </w:rPr>
        <w:t> </w:t>
      </w:r>
      <w:r>
        <w:rPr/>
        <w:t>in</w:t>
      </w:r>
      <w:r>
        <w:rPr>
          <w:spacing w:val="-18"/>
        </w:rPr>
        <w:t> </w:t>
      </w:r>
      <w:r>
        <w:rPr/>
        <w:t>August</w:t>
      </w:r>
      <w:r>
        <w:rPr>
          <w:spacing w:val="-9"/>
        </w:rPr>
        <w:t> </w:t>
      </w:r>
      <w:r>
        <w:rPr/>
        <w:t>2001</w:t>
      </w:r>
      <w:r>
        <w:rPr>
          <w:spacing w:val="-8"/>
        </w:rPr>
        <w:t> </w:t>
      </w:r>
      <w:r>
        <w:rPr/>
        <w:t>to</w:t>
      </w:r>
      <w:r>
        <w:rPr>
          <w:spacing w:val="-8"/>
        </w:rPr>
        <w:t> </w:t>
      </w:r>
      <w:r>
        <w:rPr/>
        <w:t>evaluate the results of the pilot. Since this pilot was undertaken purely for the purposes of ECBM production, no CO</w:t>
      </w:r>
      <w:r>
        <w:rPr>
          <w:position w:val="-6"/>
          <w:sz w:val="11"/>
        </w:rPr>
        <w:t>2 </w:t>
      </w:r>
      <w:r>
        <w:rPr/>
        <w:t>monitoring programme was</w:t>
      </w:r>
      <w:r>
        <w:rPr>
          <w:spacing w:val="-2"/>
        </w:rPr>
        <w:t> </w:t>
      </w:r>
      <w:r>
        <w:rPr/>
        <w:t>implemented.</w:t>
      </w:r>
    </w:p>
    <w:p>
      <w:pPr>
        <w:pStyle w:val="BodyText"/>
        <w:spacing w:line="273" w:lineRule="exact" w:before="5"/>
        <w:ind w:left="1273"/>
        <w:jc w:val="both"/>
      </w:pPr>
      <w:r>
        <w:rPr/>
        <w:t>The CO</w:t>
      </w:r>
      <w:r>
        <w:rPr>
          <w:position w:val="-6"/>
          <w:sz w:val="11"/>
        </w:rPr>
        <w:t>2 </w:t>
      </w:r>
      <w:r>
        <w:rPr/>
        <w:t>was sourced from the McElmo Dome in Colorado and delivered to the site through a (then) Shell (now Kinder-</w:t>
      </w:r>
    </w:p>
    <w:p>
      <w:pPr>
        <w:spacing w:after="0" w:line="273" w:lineRule="exact"/>
        <w:jc w:val="both"/>
        <w:sectPr>
          <w:pgSz w:w="12240" w:h="15840"/>
          <w:pgMar w:header="567" w:footer="0" w:top="760" w:bottom="280" w:left="580" w:right="600"/>
        </w:sectPr>
      </w:pPr>
    </w:p>
    <w:p>
      <w:pPr>
        <w:pStyle w:val="BodyText"/>
        <w:spacing w:line="196" w:lineRule="auto"/>
        <w:ind w:left="723"/>
        <w:rPr>
          <w:sz w:val="11"/>
        </w:rPr>
      </w:pPr>
      <w:r>
        <w:rPr/>
        <w:t>Morgan) CO</w:t>
      </w:r>
      <w:r>
        <w:rPr>
          <w:position w:val="-6"/>
          <w:sz w:val="11"/>
        </w:rPr>
        <w:t>2</w:t>
      </w:r>
    </w:p>
    <w:p>
      <w:pPr>
        <w:pStyle w:val="BodyText"/>
        <w:spacing w:line="198" w:lineRule="exact"/>
        <w:ind w:left="17"/>
      </w:pPr>
      <w:r>
        <w:rPr/>
        <w:br w:type="column"/>
      </w:r>
      <w:r>
        <w:rPr/>
        <w:t>pipeline. The Allison Unit has a CBM resource of 242 million m</w:t>
      </w:r>
      <w:r>
        <w:rPr>
          <w:position w:val="7"/>
          <w:sz w:val="11"/>
        </w:rPr>
        <w:t>3 </w:t>
      </w:r>
      <w:r>
        <w:rPr/>
        <w:t>km</w:t>
      </w:r>
      <w:r>
        <w:rPr>
          <w:position w:val="7"/>
          <w:sz w:val="11"/>
        </w:rPr>
        <w:t>–2</w:t>
      </w:r>
      <w:r>
        <w:rPr/>
        <w:t>. A total of 181 million m</w:t>
      </w:r>
      <w:r>
        <w:rPr>
          <w:position w:val="7"/>
          <w:sz w:val="11"/>
        </w:rPr>
        <w:t>3 </w:t>
      </w:r>
      <w:r>
        <w:rPr/>
        <w:t>(6.4 Bcf) of</w:t>
      </w:r>
    </w:p>
    <w:p>
      <w:pPr>
        <w:spacing w:after="0" w:line="198" w:lineRule="exact"/>
        <w:sectPr>
          <w:type w:val="continuous"/>
          <w:pgSz w:w="12240" w:h="15840"/>
          <w:pgMar w:top="400" w:bottom="280" w:left="580" w:right="600"/>
          <w:cols w:num="2" w:equalWidth="0">
            <w:col w:w="1815" w:space="40"/>
            <w:col w:w="9205"/>
          </w:cols>
        </w:sectPr>
      </w:pPr>
    </w:p>
    <w:p>
      <w:pPr>
        <w:pStyle w:val="BodyText"/>
        <w:spacing w:line="197" w:lineRule="exact"/>
        <w:ind w:left="723"/>
        <w:jc w:val="both"/>
      </w:pPr>
      <w:r>
        <w:rPr/>
        <w:pict>
          <v:shape style="position:absolute;margin-left:108.8563pt;margin-top:6.625905pt;width:2.95pt;height:5.85pt;mso-position-horizontal-relative:page;mso-position-vertical-relative:paragraph;z-index:-25885491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natural CO was injected into the reservoir over six years, of which 45 million m</w:t>
      </w:r>
      <w:r>
        <w:rPr>
          <w:position w:val="7"/>
          <w:sz w:val="11"/>
        </w:rPr>
        <w:t>3 </w:t>
      </w:r>
      <w:r>
        <w:rPr/>
        <w:t>(1.6 Bcf) is forecast to be ultimately produced</w:t>
      </w:r>
    </w:p>
    <w:p>
      <w:pPr>
        <w:pStyle w:val="BodyText"/>
        <w:spacing w:line="225" w:lineRule="auto" w:before="18"/>
        <w:ind w:left="723" w:right="304"/>
        <w:jc w:val="both"/>
      </w:pPr>
      <w:r>
        <w:rPr/>
        <w:t>back, resulting in a net storage volume of 277,000 tCO</w:t>
      </w:r>
      <w:r>
        <w:rPr>
          <w:position w:val="-6"/>
          <w:sz w:val="11"/>
        </w:rPr>
        <w:t>2</w:t>
      </w:r>
      <w:r>
        <w:rPr/>
        <w:t>. The pilot consists of 16 methane production wells, 4 CO</w:t>
      </w:r>
      <w:r>
        <w:rPr>
          <w:position w:val="-6"/>
          <w:sz w:val="11"/>
        </w:rPr>
        <w:t>2 </w:t>
      </w:r>
      <w:r>
        <w:rPr/>
        <w:t>injection wells</w:t>
      </w:r>
      <w:r>
        <w:rPr>
          <w:spacing w:val="-3"/>
        </w:rPr>
        <w:t> </w:t>
      </w:r>
      <w:r>
        <w:rPr/>
        <w:t>and</w:t>
      </w:r>
      <w:r>
        <w:rPr>
          <w:spacing w:val="-3"/>
        </w:rPr>
        <w:t> </w:t>
      </w:r>
      <w:r>
        <w:rPr/>
        <w:t>1</w:t>
      </w:r>
      <w:r>
        <w:rPr>
          <w:spacing w:val="-3"/>
        </w:rPr>
        <w:t> </w:t>
      </w:r>
      <w:r>
        <w:rPr/>
        <w:t>pressure</w:t>
      </w:r>
      <w:r>
        <w:rPr>
          <w:spacing w:val="-3"/>
        </w:rPr>
        <w:t> </w:t>
      </w:r>
      <w:r>
        <w:rPr/>
        <w:t>observation</w:t>
      </w:r>
      <w:r>
        <w:rPr>
          <w:spacing w:val="-3"/>
        </w:rPr>
        <w:t> </w:t>
      </w:r>
      <w:r>
        <w:rPr/>
        <w:t>well.</w:t>
      </w:r>
      <w:r>
        <w:rPr>
          <w:spacing w:val="-6"/>
        </w:rPr>
        <w:t> </w:t>
      </w:r>
      <w:r>
        <w:rPr/>
        <w:t>The</w:t>
      </w:r>
      <w:r>
        <w:rPr>
          <w:spacing w:val="-3"/>
        </w:rPr>
        <w:t> </w:t>
      </w:r>
      <w:r>
        <w:rPr/>
        <w:t>injection</w:t>
      </w:r>
      <w:r>
        <w:rPr>
          <w:spacing w:val="-3"/>
        </w:rPr>
        <w:t> </w:t>
      </w:r>
      <w:r>
        <w:rPr/>
        <w:t>operations</w:t>
      </w:r>
      <w:r>
        <w:rPr>
          <w:spacing w:val="-3"/>
        </w:rPr>
        <w:t> </w:t>
      </w:r>
      <w:r>
        <w:rPr/>
        <w:t>were</w:t>
      </w:r>
      <w:r>
        <w:rPr>
          <w:spacing w:val="-3"/>
        </w:rPr>
        <w:t> </w:t>
      </w:r>
      <w:r>
        <w:rPr/>
        <w:t>undertaken</w:t>
      </w:r>
      <w:r>
        <w:rPr>
          <w:spacing w:val="-3"/>
        </w:rPr>
        <w:t> </w:t>
      </w:r>
      <w:r>
        <w:rPr/>
        <w:t>at</w:t>
      </w:r>
      <w:r>
        <w:rPr>
          <w:spacing w:val="-3"/>
        </w:rPr>
        <w:t> </w:t>
      </w:r>
      <w:r>
        <w:rPr/>
        <w:t>constant</w:t>
      </w:r>
      <w:r>
        <w:rPr>
          <w:spacing w:val="-3"/>
        </w:rPr>
        <w:t> </w:t>
      </w:r>
      <w:r>
        <w:rPr/>
        <w:t>surface</w:t>
      </w:r>
      <w:r>
        <w:rPr>
          <w:spacing w:val="-3"/>
        </w:rPr>
        <w:t> </w:t>
      </w:r>
      <w:r>
        <w:rPr/>
        <w:t>injection</w:t>
      </w:r>
      <w:r>
        <w:rPr>
          <w:spacing w:val="-3"/>
        </w:rPr>
        <w:t> </w:t>
      </w:r>
      <w:r>
        <w:rPr/>
        <w:t>pressures</w:t>
      </w:r>
      <w:r>
        <w:rPr>
          <w:spacing w:val="-3"/>
        </w:rPr>
        <w:t> </w:t>
      </w:r>
      <w:r>
        <w:rPr/>
        <w:t>on</w:t>
      </w:r>
      <w:r>
        <w:rPr>
          <w:spacing w:val="-3"/>
        </w:rPr>
        <w:t> </w:t>
      </w:r>
      <w:r>
        <w:rPr/>
        <w:t>the order of 10.4</w:t>
      </w:r>
      <w:r>
        <w:rPr>
          <w:spacing w:val="-1"/>
        </w:rPr>
        <w:t> </w:t>
      </w:r>
      <w:r>
        <w:rPr/>
        <w:t>MPa.</w:t>
      </w:r>
    </w:p>
    <w:p>
      <w:pPr>
        <w:pStyle w:val="BodyText"/>
        <w:spacing w:line="249" w:lineRule="auto" w:before="13"/>
        <w:ind w:left="723" w:right="304" w:firstLine="550"/>
        <w:jc w:val="both"/>
      </w:pPr>
      <w:r>
        <w:rPr/>
        <w:t>The wells were completed in the Fruitland coal, which is capped by shale. The reservoir has a thickness of 13 m, is located</w:t>
      </w:r>
      <w:r>
        <w:rPr>
          <w:spacing w:val="-11"/>
        </w:rPr>
        <w:t> </w:t>
      </w:r>
      <w:r>
        <w:rPr/>
        <w:t>at</w:t>
      </w:r>
      <w:r>
        <w:rPr>
          <w:spacing w:val="-11"/>
        </w:rPr>
        <w:t> </w:t>
      </w:r>
      <w:r>
        <w:rPr/>
        <w:t>a</w:t>
      </w:r>
      <w:r>
        <w:rPr>
          <w:spacing w:val="-11"/>
        </w:rPr>
        <w:t> </w:t>
      </w:r>
      <w:r>
        <w:rPr/>
        <w:t>depth</w:t>
      </w:r>
      <w:r>
        <w:rPr>
          <w:spacing w:val="-11"/>
        </w:rPr>
        <w:t> </w:t>
      </w:r>
      <w:r>
        <w:rPr/>
        <w:t>of</w:t>
      </w:r>
      <w:r>
        <w:rPr>
          <w:spacing w:val="-11"/>
        </w:rPr>
        <w:t> </w:t>
      </w:r>
      <w:r>
        <w:rPr/>
        <w:t>950</w:t>
      </w:r>
      <w:r>
        <w:rPr>
          <w:spacing w:val="-11"/>
        </w:rPr>
        <w:t> </w:t>
      </w:r>
      <w:r>
        <w:rPr/>
        <w:t>m</w:t>
      </w:r>
      <w:r>
        <w:rPr>
          <w:spacing w:val="-11"/>
        </w:rPr>
        <w:t> </w:t>
      </w:r>
      <w:r>
        <w:rPr/>
        <w:t>and</w:t>
      </w:r>
      <w:r>
        <w:rPr>
          <w:spacing w:val="-11"/>
        </w:rPr>
        <w:t> </w:t>
      </w:r>
      <w:r>
        <w:rPr/>
        <w:t>had</w:t>
      </w:r>
      <w:r>
        <w:rPr>
          <w:spacing w:val="-11"/>
        </w:rPr>
        <w:t> </w:t>
      </w:r>
      <w:r>
        <w:rPr/>
        <w:t>an</w:t>
      </w:r>
      <w:r>
        <w:rPr>
          <w:spacing w:val="-11"/>
        </w:rPr>
        <w:t> </w:t>
      </w:r>
      <w:r>
        <w:rPr/>
        <w:t>original</w:t>
      </w:r>
      <w:r>
        <w:rPr>
          <w:spacing w:val="-11"/>
        </w:rPr>
        <w:t> </w:t>
      </w:r>
      <w:r>
        <w:rPr/>
        <w:t>reservoir</w:t>
      </w:r>
      <w:r>
        <w:rPr>
          <w:spacing w:val="-11"/>
        </w:rPr>
        <w:t> </w:t>
      </w:r>
      <w:r>
        <w:rPr/>
        <w:t>pressure</w:t>
      </w:r>
      <w:r>
        <w:rPr>
          <w:spacing w:val="-11"/>
        </w:rPr>
        <w:t> </w:t>
      </w:r>
      <w:r>
        <w:rPr/>
        <w:t>of</w:t>
      </w:r>
      <w:r>
        <w:rPr>
          <w:spacing w:val="-11"/>
        </w:rPr>
        <w:t> </w:t>
      </w:r>
      <w:r>
        <w:rPr/>
        <w:t>11.5</w:t>
      </w:r>
      <w:r>
        <w:rPr>
          <w:spacing w:val="-10"/>
        </w:rPr>
        <w:t> </w:t>
      </w:r>
      <w:r>
        <w:rPr/>
        <w:t>MPa.</w:t>
      </w:r>
      <w:r>
        <w:rPr>
          <w:spacing w:val="-11"/>
        </w:rPr>
        <w:t> </w:t>
      </w:r>
      <w:r>
        <w:rPr/>
        <w:t>In</w:t>
      </w:r>
      <w:r>
        <w:rPr>
          <w:spacing w:val="-11"/>
        </w:rPr>
        <w:t> </w:t>
      </w:r>
      <w:r>
        <w:rPr/>
        <w:t>a</w:t>
      </w:r>
      <w:r>
        <w:rPr>
          <w:spacing w:val="-11"/>
        </w:rPr>
        <w:t> </w:t>
      </w:r>
      <w:r>
        <w:rPr/>
        <w:t>study</w:t>
      </w:r>
      <w:r>
        <w:rPr>
          <w:spacing w:val="-11"/>
        </w:rPr>
        <w:t> </w:t>
      </w:r>
      <w:r>
        <w:rPr/>
        <w:t>conducted</w:t>
      </w:r>
      <w:r>
        <w:rPr>
          <w:spacing w:val="-11"/>
        </w:rPr>
        <w:t> </w:t>
      </w:r>
      <w:r>
        <w:rPr/>
        <w:t>under</w:t>
      </w:r>
      <w:r>
        <w:rPr>
          <w:spacing w:val="-11"/>
        </w:rPr>
        <w:t> </w:t>
      </w:r>
      <w:r>
        <w:rPr/>
        <w:t>the</w:t>
      </w:r>
      <w:r>
        <w:rPr>
          <w:spacing w:val="-11"/>
        </w:rPr>
        <w:t> </w:t>
      </w:r>
      <w:r>
        <w:rPr/>
        <w:t>Coal-Seq</w:t>
      </w:r>
      <w:r>
        <w:rPr>
          <w:spacing w:val="-11"/>
        </w:rPr>
        <w:t> </w:t>
      </w:r>
      <w:r>
        <w:rPr/>
        <w:t>Project performed for the US Department of Energy (www.coal-seq.com), a detailed reservoir characterization and modelling of the pilot</w:t>
      </w:r>
      <w:r>
        <w:rPr>
          <w:spacing w:val="-3"/>
        </w:rPr>
        <w:t> </w:t>
      </w:r>
      <w:r>
        <w:rPr/>
        <w:t>was</w:t>
      </w:r>
      <w:r>
        <w:rPr>
          <w:spacing w:val="-3"/>
        </w:rPr>
        <w:t> </w:t>
      </w:r>
      <w:r>
        <w:rPr/>
        <w:t>developed</w:t>
      </w:r>
      <w:r>
        <w:rPr>
          <w:spacing w:val="-3"/>
        </w:rPr>
        <w:t> </w:t>
      </w:r>
      <w:r>
        <w:rPr/>
        <w:t>with</w:t>
      </w:r>
      <w:r>
        <w:rPr>
          <w:spacing w:val="-3"/>
        </w:rPr>
        <w:t> </w:t>
      </w:r>
      <w:r>
        <w:rPr/>
        <w:t>the</w:t>
      </w:r>
      <w:r>
        <w:rPr>
          <w:spacing w:val="-3"/>
        </w:rPr>
        <w:t> </w:t>
      </w:r>
      <w:r>
        <w:rPr/>
        <w:t>COMET2</w:t>
      </w:r>
      <w:r>
        <w:rPr>
          <w:spacing w:val="-2"/>
        </w:rPr>
        <w:t> </w:t>
      </w:r>
      <w:r>
        <w:rPr/>
        <w:t>reservoir</w:t>
      </w:r>
      <w:r>
        <w:rPr>
          <w:spacing w:val="-3"/>
        </w:rPr>
        <w:t> </w:t>
      </w:r>
      <w:r>
        <w:rPr/>
        <w:t>simulator</w:t>
      </w:r>
      <w:r>
        <w:rPr>
          <w:spacing w:val="-4"/>
        </w:rPr>
        <w:t> </w:t>
      </w:r>
      <w:r>
        <w:rPr/>
        <w:t>and</w:t>
      </w:r>
      <w:r>
        <w:rPr>
          <w:spacing w:val="-3"/>
        </w:rPr>
        <w:t> </w:t>
      </w:r>
      <w:r>
        <w:rPr/>
        <w:t>future</w:t>
      </w:r>
      <w:r>
        <w:rPr>
          <w:spacing w:val="-3"/>
        </w:rPr>
        <w:t> </w:t>
      </w:r>
      <w:r>
        <w:rPr/>
        <w:t>field</w:t>
      </w:r>
      <w:r>
        <w:rPr>
          <w:spacing w:val="-2"/>
        </w:rPr>
        <w:t> </w:t>
      </w:r>
      <w:r>
        <w:rPr/>
        <w:t>performance</w:t>
      </w:r>
      <w:r>
        <w:rPr>
          <w:spacing w:val="-3"/>
        </w:rPr>
        <w:t> </w:t>
      </w:r>
      <w:r>
        <w:rPr/>
        <w:t>was</w:t>
      </w:r>
      <w:r>
        <w:rPr>
          <w:spacing w:val="-3"/>
        </w:rPr>
        <w:t> </w:t>
      </w:r>
      <w:r>
        <w:rPr/>
        <w:t>forecast</w:t>
      </w:r>
      <w:r>
        <w:rPr>
          <w:spacing w:val="-3"/>
        </w:rPr>
        <w:t> </w:t>
      </w:r>
      <w:r>
        <w:rPr/>
        <w:t>under</w:t>
      </w:r>
      <w:r>
        <w:rPr>
          <w:spacing w:val="-3"/>
        </w:rPr>
        <w:t> </w:t>
      </w:r>
      <w:r>
        <w:rPr/>
        <w:t>various</w:t>
      </w:r>
      <w:r>
        <w:rPr>
          <w:spacing w:val="-2"/>
        </w:rPr>
        <w:t> </w:t>
      </w:r>
      <w:r>
        <w:rPr/>
        <w:t>operating conditions.</w:t>
      </w:r>
    </w:p>
    <w:p>
      <w:pPr>
        <w:pStyle w:val="BodyText"/>
        <w:spacing w:line="225" w:lineRule="auto" w:before="12"/>
        <w:ind w:left="723" w:right="302" w:firstLine="550"/>
        <w:jc w:val="both"/>
        <w:rPr>
          <w:sz w:val="11"/>
        </w:rPr>
      </w:pPr>
      <w:r>
        <w:rPr/>
        <w:t>This</w:t>
      </w:r>
      <w:r>
        <w:rPr>
          <w:spacing w:val="-9"/>
        </w:rPr>
        <w:t> </w:t>
      </w:r>
      <w:r>
        <w:rPr/>
        <w:t>study</w:t>
      </w:r>
      <w:r>
        <w:rPr>
          <w:spacing w:val="-9"/>
        </w:rPr>
        <w:t> </w:t>
      </w:r>
      <w:r>
        <w:rPr/>
        <w:t>provides</w:t>
      </w:r>
      <w:r>
        <w:rPr>
          <w:spacing w:val="-9"/>
        </w:rPr>
        <w:t> </w:t>
      </w:r>
      <w:r>
        <w:rPr/>
        <w:t>evidence</w:t>
      </w:r>
      <w:r>
        <w:rPr>
          <w:spacing w:val="-9"/>
        </w:rPr>
        <w:t> </w:t>
      </w:r>
      <w:r>
        <w:rPr/>
        <w:t>of</w:t>
      </w:r>
      <w:r>
        <w:rPr>
          <w:spacing w:val="-9"/>
        </w:rPr>
        <w:t> </w:t>
      </w:r>
      <w:r>
        <w:rPr/>
        <w:t>significant</w:t>
      </w:r>
      <w:r>
        <w:rPr>
          <w:spacing w:val="-8"/>
        </w:rPr>
        <w:t> </w:t>
      </w:r>
      <w:r>
        <w:rPr/>
        <w:t>coal-permeability</w:t>
      </w:r>
      <w:r>
        <w:rPr>
          <w:spacing w:val="-9"/>
        </w:rPr>
        <w:t> </w:t>
      </w:r>
      <w:r>
        <w:rPr/>
        <w:t>reduction</w:t>
      </w:r>
      <w:r>
        <w:rPr>
          <w:spacing w:val="-9"/>
        </w:rPr>
        <w:t> </w:t>
      </w:r>
      <w:r>
        <w:rPr/>
        <w:t>with</w:t>
      </w:r>
      <w:r>
        <w:rPr>
          <w:spacing w:val="-9"/>
        </w:rPr>
        <w:t> </w:t>
      </w:r>
      <w:r>
        <w:rPr/>
        <w:t>CO</w:t>
      </w:r>
      <w:r>
        <w:rPr>
          <w:position w:val="-6"/>
          <w:sz w:val="11"/>
        </w:rPr>
        <w:t>2</w:t>
      </w:r>
      <w:r>
        <w:rPr>
          <w:spacing w:val="14"/>
          <w:position w:val="-6"/>
          <w:sz w:val="11"/>
        </w:rPr>
        <w:t> </w:t>
      </w:r>
      <w:r>
        <w:rPr/>
        <w:t>injection.</w:t>
      </w:r>
      <w:r>
        <w:rPr>
          <w:spacing w:val="-13"/>
        </w:rPr>
        <w:t> </w:t>
      </w:r>
      <w:r>
        <w:rPr/>
        <w:t>This</w:t>
      </w:r>
      <w:r>
        <w:rPr>
          <w:spacing w:val="-9"/>
        </w:rPr>
        <w:t> </w:t>
      </w:r>
      <w:r>
        <w:rPr/>
        <w:t>permeability</w:t>
      </w:r>
      <w:r>
        <w:rPr>
          <w:spacing w:val="-8"/>
        </w:rPr>
        <w:t> </w:t>
      </w:r>
      <w:r>
        <w:rPr/>
        <w:t>reduction resulted in a two-fold reduction in injectivity.</w:t>
      </w:r>
      <w:r>
        <w:rPr>
          <w:spacing w:val="-36"/>
        </w:rPr>
        <w:t> </w:t>
      </w:r>
      <w:r>
        <w:rPr/>
        <w:t>This effect compromised incremental methane recovery and project economics. Finding</w:t>
      </w:r>
      <w:r>
        <w:rPr>
          <w:spacing w:val="3"/>
        </w:rPr>
        <w:t> </w:t>
      </w:r>
      <w:r>
        <w:rPr/>
        <w:t>ways</w:t>
      </w:r>
      <w:r>
        <w:rPr>
          <w:spacing w:val="3"/>
        </w:rPr>
        <w:t> </w:t>
      </w:r>
      <w:r>
        <w:rPr/>
        <w:t>to</w:t>
      </w:r>
      <w:r>
        <w:rPr>
          <w:spacing w:val="4"/>
        </w:rPr>
        <w:t> </w:t>
      </w:r>
      <w:r>
        <w:rPr/>
        <w:t>overcome</w:t>
      </w:r>
      <w:r>
        <w:rPr>
          <w:spacing w:val="3"/>
        </w:rPr>
        <w:t> </w:t>
      </w:r>
      <w:r>
        <w:rPr/>
        <w:t>and/or</w:t>
      </w:r>
      <w:r>
        <w:rPr>
          <w:spacing w:val="4"/>
        </w:rPr>
        <w:t> </w:t>
      </w:r>
      <w:r>
        <w:rPr/>
        <w:t>prevent</w:t>
      </w:r>
      <w:r>
        <w:rPr>
          <w:spacing w:val="3"/>
        </w:rPr>
        <w:t> </w:t>
      </w:r>
      <w:r>
        <w:rPr/>
        <w:t>this</w:t>
      </w:r>
      <w:r>
        <w:rPr>
          <w:spacing w:val="4"/>
        </w:rPr>
        <w:t> </w:t>
      </w:r>
      <w:r>
        <w:rPr/>
        <w:t>effect</w:t>
      </w:r>
      <w:r>
        <w:rPr>
          <w:spacing w:val="3"/>
        </w:rPr>
        <w:t> </w:t>
      </w:r>
      <w:r>
        <w:rPr/>
        <w:t>is</w:t>
      </w:r>
      <w:r>
        <w:rPr>
          <w:spacing w:val="3"/>
        </w:rPr>
        <w:t> </w:t>
      </w:r>
      <w:r>
        <w:rPr/>
        <w:t>therefore</w:t>
      </w:r>
      <w:r>
        <w:rPr>
          <w:spacing w:val="4"/>
        </w:rPr>
        <w:t> </w:t>
      </w:r>
      <w:r>
        <w:rPr/>
        <w:t>an</w:t>
      </w:r>
      <w:r>
        <w:rPr>
          <w:spacing w:val="3"/>
        </w:rPr>
        <w:t> </w:t>
      </w:r>
      <w:r>
        <w:rPr/>
        <w:t>important</w:t>
      </w:r>
      <w:r>
        <w:rPr>
          <w:spacing w:val="4"/>
        </w:rPr>
        <w:t> </w:t>
      </w:r>
      <w:r>
        <w:rPr/>
        <w:t>topic</w:t>
      </w:r>
      <w:r>
        <w:rPr>
          <w:spacing w:val="3"/>
        </w:rPr>
        <w:t> </w:t>
      </w:r>
      <w:r>
        <w:rPr/>
        <w:t>for</w:t>
      </w:r>
      <w:r>
        <w:rPr>
          <w:spacing w:val="4"/>
        </w:rPr>
        <w:t> </w:t>
      </w:r>
      <w:r>
        <w:rPr/>
        <w:t>future</w:t>
      </w:r>
      <w:r>
        <w:rPr>
          <w:spacing w:val="3"/>
        </w:rPr>
        <w:t> </w:t>
      </w:r>
      <w:r>
        <w:rPr/>
        <w:t>research.</w:t>
      </w:r>
      <w:r>
        <w:rPr>
          <w:spacing w:val="1"/>
        </w:rPr>
        <w:t> </w:t>
      </w:r>
      <w:r>
        <w:rPr/>
        <w:t>The</w:t>
      </w:r>
      <w:r>
        <w:rPr>
          <w:spacing w:val="3"/>
        </w:rPr>
        <w:t> </w:t>
      </w:r>
      <w:r>
        <w:rPr/>
        <w:t>injection</w:t>
      </w:r>
      <w:r>
        <w:rPr>
          <w:spacing w:val="3"/>
        </w:rPr>
        <w:t> </w:t>
      </w:r>
      <w:r>
        <w:rPr/>
        <w:t>of</w:t>
      </w:r>
      <w:r>
        <w:rPr>
          <w:spacing w:val="4"/>
        </w:rPr>
        <w:t> </w:t>
      </w:r>
      <w:r>
        <w:rPr/>
        <w:t>CO</w:t>
      </w:r>
      <w:r>
        <w:rPr>
          <w:position w:val="-6"/>
          <w:sz w:val="11"/>
        </w:rPr>
        <w:t>2</w:t>
      </w:r>
    </w:p>
    <w:p>
      <w:pPr>
        <w:pStyle w:val="BodyText"/>
        <w:spacing w:line="192" w:lineRule="exact"/>
        <w:ind w:left="723"/>
        <w:jc w:val="both"/>
      </w:pPr>
      <w:r>
        <w:rPr/>
        <w:t>at the </w:t>
      </w:r>
      <w:r>
        <w:rPr>
          <w:spacing w:val="17"/>
        </w:rPr>
        <w:t> </w:t>
      </w:r>
      <w:r>
        <w:rPr/>
        <w:t>Allison Unit has resulted in an increase in methane recovery from an estimated 77% of original gas in place to 95% of</w:t>
      </w:r>
    </w:p>
    <w:p>
      <w:pPr>
        <w:pStyle w:val="BodyText"/>
        <w:spacing w:line="249" w:lineRule="auto" w:before="10"/>
        <w:ind w:left="723" w:right="305"/>
        <w:jc w:val="both"/>
      </w:pPr>
      <w:r>
        <w:rPr/>
        <w:t>the</w:t>
      </w:r>
      <w:r>
        <w:rPr>
          <w:spacing w:val="-4"/>
        </w:rPr>
        <w:t> </w:t>
      </w:r>
      <w:r>
        <w:rPr/>
        <w:t>original</w:t>
      </w:r>
      <w:r>
        <w:rPr>
          <w:spacing w:val="-3"/>
        </w:rPr>
        <w:t> </w:t>
      </w:r>
      <w:r>
        <w:rPr/>
        <w:t>gas</w:t>
      </w:r>
      <w:r>
        <w:rPr>
          <w:spacing w:val="-3"/>
        </w:rPr>
        <w:t> </w:t>
      </w:r>
      <w:r>
        <w:rPr/>
        <w:t>in</w:t>
      </w:r>
      <w:r>
        <w:rPr>
          <w:spacing w:val="-4"/>
        </w:rPr>
        <w:t> </w:t>
      </w:r>
      <w:r>
        <w:rPr/>
        <w:t>place</w:t>
      </w:r>
      <w:r>
        <w:rPr>
          <w:spacing w:val="-3"/>
        </w:rPr>
        <w:t> </w:t>
      </w:r>
      <w:r>
        <w:rPr/>
        <w:t>within</w:t>
      </w:r>
      <w:r>
        <w:rPr>
          <w:spacing w:val="-3"/>
        </w:rPr>
        <w:t> </w:t>
      </w:r>
      <w:r>
        <w:rPr/>
        <w:t>the</w:t>
      </w:r>
      <w:r>
        <w:rPr>
          <w:spacing w:val="-4"/>
        </w:rPr>
        <w:t> </w:t>
      </w:r>
      <w:r>
        <w:rPr/>
        <w:t>project</w:t>
      </w:r>
      <w:r>
        <w:rPr>
          <w:spacing w:val="-3"/>
        </w:rPr>
        <w:t> </w:t>
      </w:r>
      <w:r>
        <w:rPr/>
        <w:t>area.</w:t>
      </w:r>
      <w:r>
        <w:rPr>
          <w:spacing w:val="-7"/>
        </w:rPr>
        <w:t> </w:t>
      </w:r>
      <w:r>
        <w:rPr/>
        <w:t>The</w:t>
      </w:r>
      <w:r>
        <w:rPr>
          <w:spacing w:val="-4"/>
        </w:rPr>
        <w:t> </w:t>
      </w:r>
      <w:r>
        <w:rPr/>
        <w:t>recovery</w:t>
      </w:r>
      <w:r>
        <w:rPr>
          <w:spacing w:val="-3"/>
        </w:rPr>
        <w:t> </w:t>
      </w:r>
      <w:r>
        <w:rPr/>
        <w:t>of</w:t>
      </w:r>
      <w:r>
        <w:rPr>
          <w:spacing w:val="-3"/>
        </w:rPr>
        <w:t> </w:t>
      </w:r>
      <w:r>
        <w:rPr/>
        <w:t>methane</w:t>
      </w:r>
      <w:r>
        <w:rPr>
          <w:spacing w:val="-4"/>
        </w:rPr>
        <w:t> </w:t>
      </w:r>
      <w:r>
        <w:rPr/>
        <w:t>was</w:t>
      </w:r>
      <w:r>
        <w:rPr>
          <w:spacing w:val="-3"/>
        </w:rPr>
        <w:t> </w:t>
      </w:r>
      <w:r>
        <w:rPr/>
        <w:t>in</w:t>
      </w:r>
      <w:r>
        <w:rPr>
          <w:spacing w:val="-3"/>
        </w:rPr>
        <w:t> </w:t>
      </w:r>
      <w:r>
        <w:rPr/>
        <w:t>a</w:t>
      </w:r>
      <w:r>
        <w:rPr>
          <w:spacing w:val="-4"/>
        </w:rPr>
        <w:t> </w:t>
      </w:r>
      <w:r>
        <w:rPr/>
        <w:t>proportion</w:t>
      </w:r>
      <w:r>
        <w:rPr>
          <w:spacing w:val="-3"/>
        </w:rPr>
        <w:t> </w:t>
      </w:r>
      <w:r>
        <w:rPr/>
        <w:t>of</w:t>
      </w:r>
      <w:r>
        <w:rPr>
          <w:spacing w:val="-3"/>
        </w:rPr>
        <w:t> </w:t>
      </w:r>
      <w:r>
        <w:rPr/>
        <w:t>approximately</w:t>
      </w:r>
      <w:r>
        <w:rPr>
          <w:spacing w:val="-4"/>
        </w:rPr>
        <w:t> </w:t>
      </w:r>
      <w:r>
        <w:rPr/>
        <w:t>one</w:t>
      </w:r>
      <w:r>
        <w:rPr>
          <w:spacing w:val="-3"/>
        </w:rPr>
        <w:t> </w:t>
      </w:r>
      <w:r>
        <w:rPr/>
        <w:t>volume</w:t>
      </w:r>
      <w:r>
        <w:rPr>
          <w:spacing w:val="-3"/>
        </w:rPr>
        <w:t> </w:t>
      </w:r>
      <w:r>
        <w:rPr/>
        <w:t>of methane for every three volumes of CO</w:t>
      </w:r>
      <w:r>
        <w:rPr>
          <w:position w:val="-6"/>
          <w:sz w:val="11"/>
        </w:rPr>
        <w:t>2 </w:t>
      </w:r>
      <w:r>
        <w:rPr/>
        <w:t>injected (Reeves </w:t>
      </w:r>
      <w:r>
        <w:rPr>
          <w:i/>
        </w:rPr>
        <w:t>et al.</w:t>
      </w:r>
      <w:r>
        <w:rPr/>
        <w:t>,</w:t>
      </w:r>
      <w:r>
        <w:rPr>
          <w:spacing w:val="-6"/>
        </w:rPr>
        <w:t> </w:t>
      </w:r>
      <w:r>
        <w:rPr/>
        <w:t>2004).</w:t>
      </w:r>
    </w:p>
    <w:p>
      <w:pPr>
        <w:pStyle w:val="BodyText"/>
        <w:spacing w:line="181" w:lineRule="exact"/>
        <w:ind w:left="1273"/>
        <w:jc w:val="both"/>
      </w:pPr>
      <w:r>
        <w:rPr/>
        <w:t>An</w:t>
      </w:r>
      <w:r>
        <w:rPr>
          <w:spacing w:val="17"/>
        </w:rPr>
        <w:t> </w:t>
      </w:r>
      <w:r>
        <w:rPr/>
        <w:t>economic</w:t>
      </w:r>
      <w:r>
        <w:rPr>
          <w:spacing w:val="18"/>
        </w:rPr>
        <w:t> </w:t>
      </w:r>
      <w:r>
        <w:rPr/>
        <w:t>analysis</w:t>
      </w:r>
      <w:r>
        <w:rPr>
          <w:spacing w:val="18"/>
        </w:rPr>
        <w:t> </w:t>
      </w:r>
      <w:r>
        <w:rPr/>
        <w:t>of</w:t>
      </w:r>
      <w:r>
        <w:rPr>
          <w:spacing w:val="18"/>
        </w:rPr>
        <w:t> </w:t>
      </w:r>
      <w:r>
        <w:rPr/>
        <w:t>the</w:t>
      </w:r>
      <w:r>
        <w:rPr>
          <w:spacing w:val="18"/>
        </w:rPr>
        <w:t> </w:t>
      </w:r>
      <w:r>
        <w:rPr/>
        <w:t>pilot</w:t>
      </w:r>
      <w:r>
        <w:rPr>
          <w:spacing w:val="18"/>
        </w:rPr>
        <w:t> </w:t>
      </w:r>
      <w:r>
        <w:rPr/>
        <w:t>indicated</w:t>
      </w:r>
      <w:r>
        <w:rPr>
          <w:spacing w:val="17"/>
        </w:rPr>
        <w:t> </w:t>
      </w:r>
      <w:r>
        <w:rPr/>
        <w:t>a</w:t>
      </w:r>
      <w:r>
        <w:rPr>
          <w:spacing w:val="18"/>
        </w:rPr>
        <w:t> </w:t>
      </w:r>
      <w:r>
        <w:rPr/>
        <w:t>net</w:t>
      </w:r>
      <w:r>
        <w:rPr>
          <w:spacing w:val="18"/>
        </w:rPr>
        <w:t> </w:t>
      </w:r>
      <w:r>
        <w:rPr/>
        <w:t>present</w:t>
      </w:r>
      <w:r>
        <w:rPr>
          <w:spacing w:val="18"/>
        </w:rPr>
        <w:t> </w:t>
      </w:r>
      <w:r>
        <w:rPr/>
        <w:t>value</w:t>
      </w:r>
      <w:r>
        <w:rPr>
          <w:spacing w:val="18"/>
        </w:rPr>
        <w:t> </w:t>
      </w:r>
      <w:r>
        <w:rPr/>
        <w:t>of</w:t>
      </w:r>
      <w:r>
        <w:rPr>
          <w:spacing w:val="18"/>
        </w:rPr>
        <w:t> </w:t>
      </w:r>
      <w:r>
        <w:rPr/>
        <w:t>negative</w:t>
      </w:r>
      <w:r>
        <w:rPr>
          <w:spacing w:val="17"/>
        </w:rPr>
        <w:t> </w:t>
      </w:r>
      <w:r>
        <w:rPr/>
        <w:t>US$</w:t>
      </w:r>
      <w:r>
        <w:rPr>
          <w:spacing w:val="18"/>
        </w:rPr>
        <w:t> </w:t>
      </w:r>
      <w:r>
        <w:rPr/>
        <w:t>627,000,</w:t>
      </w:r>
      <w:r>
        <w:rPr>
          <w:spacing w:val="18"/>
        </w:rPr>
        <w:t> </w:t>
      </w:r>
      <w:r>
        <w:rPr/>
        <w:t>assuming</w:t>
      </w:r>
      <w:r>
        <w:rPr>
          <w:spacing w:val="18"/>
        </w:rPr>
        <w:t> </w:t>
      </w:r>
      <w:r>
        <w:rPr/>
        <w:t>a</w:t>
      </w:r>
      <w:r>
        <w:rPr>
          <w:spacing w:val="18"/>
        </w:rPr>
        <w:t> </w:t>
      </w:r>
      <w:r>
        <w:rPr/>
        <w:t>discount</w:t>
      </w:r>
      <w:r>
        <w:rPr>
          <w:spacing w:val="18"/>
        </w:rPr>
        <w:t> </w:t>
      </w:r>
      <w:r>
        <w:rPr/>
        <w:t>rate</w:t>
      </w:r>
    </w:p>
    <w:p>
      <w:pPr>
        <w:pStyle w:val="BodyText"/>
        <w:spacing w:before="10"/>
        <w:ind w:left="723"/>
        <w:jc w:val="both"/>
      </w:pPr>
      <w:r>
        <w:rPr/>
        <w:t>of</w:t>
      </w:r>
      <w:r>
        <w:rPr>
          <w:spacing w:val="14"/>
        </w:rPr>
        <w:t> </w:t>
      </w:r>
      <w:r>
        <w:rPr/>
        <w:t>12%</w:t>
      </w:r>
      <w:r>
        <w:rPr>
          <w:spacing w:val="14"/>
        </w:rPr>
        <w:t> </w:t>
      </w:r>
      <w:r>
        <w:rPr/>
        <w:t>and</w:t>
      </w:r>
      <w:r>
        <w:rPr>
          <w:spacing w:val="15"/>
        </w:rPr>
        <w:t> </w:t>
      </w:r>
      <w:r>
        <w:rPr/>
        <w:t>an</w:t>
      </w:r>
      <w:r>
        <w:rPr>
          <w:spacing w:val="14"/>
        </w:rPr>
        <w:t> </w:t>
      </w:r>
      <w:r>
        <w:rPr/>
        <w:t>initial</w:t>
      </w:r>
      <w:r>
        <w:rPr>
          <w:spacing w:val="14"/>
        </w:rPr>
        <w:t> </w:t>
      </w:r>
      <w:r>
        <w:rPr/>
        <w:t>capital</w:t>
      </w:r>
      <w:r>
        <w:rPr>
          <w:spacing w:val="15"/>
        </w:rPr>
        <w:t> </w:t>
      </w:r>
      <w:r>
        <w:rPr/>
        <w:t>expenditure</w:t>
      </w:r>
      <w:r>
        <w:rPr>
          <w:spacing w:val="14"/>
        </w:rPr>
        <w:t> </w:t>
      </w:r>
      <w:r>
        <w:rPr/>
        <w:t>of</w:t>
      </w:r>
      <w:r>
        <w:rPr>
          <w:spacing w:val="15"/>
        </w:rPr>
        <w:t> </w:t>
      </w:r>
      <w:r>
        <w:rPr/>
        <w:t>US$</w:t>
      </w:r>
      <w:r>
        <w:rPr>
          <w:spacing w:val="14"/>
        </w:rPr>
        <w:t> </w:t>
      </w:r>
      <w:r>
        <w:rPr/>
        <w:t>2.6</w:t>
      </w:r>
      <w:r>
        <w:rPr>
          <w:spacing w:val="14"/>
        </w:rPr>
        <w:t> </w:t>
      </w:r>
      <w:r>
        <w:rPr/>
        <w:t>million,</w:t>
      </w:r>
      <w:r>
        <w:rPr>
          <w:spacing w:val="15"/>
        </w:rPr>
        <w:t> </w:t>
      </w:r>
      <w:r>
        <w:rPr/>
        <w:t>but</w:t>
      </w:r>
      <w:r>
        <w:rPr>
          <w:spacing w:val="14"/>
        </w:rPr>
        <w:t> </w:t>
      </w:r>
      <w:r>
        <w:rPr/>
        <w:t>not</w:t>
      </w:r>
      <w:r>
        <w:rPr>
          <w:spacing w:val="15"/>
        </w:rPr>
        <w:t> </w:t>
      </w:r>
      <w:r>
        <w:rPr/>
        <w:t>including</w:t>
      </w:r>
      <w:r>
        <w:rPr>
          <w:spacing w:val="14"/>
        </w:rPr>
        <w:t> </w:t>
      </w:r>
      <w:r>
        <w:rPr/>
        <w:t>the</w:t>
      </w:r>
      <w:r>
        <w:rPr>
          <w:spacing w:val="14"/>
        </w:rPr>
        <w:t> </w:t>
      </w:r>
      <w:r>
        <w:rPr/>
        <w:t>beneficial</w:t>
      </w:r>
      <w:r>
        <w:rPr>
          <w:spacing w:val="15"/>
        </w:rPr>
        <w:t> </w:t>
      </w:r>
      <w:r>
        <w:rPr/>
        <w:t>impact</w:t>
      </w:r>
      <w:r>
        <w:rPr>
          <w:spacing w:val="14"/>
        </w:rPr>
        <w:t> </w:t>
      </w:r>
      <w:r>
        <w:rPr/>
        <w:t>of</w:t>
      </w:r>
      <w:r>
        <w:rPr>
          <w:spacing w:val="14"/>
        </w:rPr>
        <w:t> </w:t>
      </w:r>
      <w:r>
        <w:rPr/>
        <w:t>any</w:t>
      </w:r>
      <w:r>
        <w:rPr>
          <w:spacing w:val="15"/>
        </w:rPr>
        <w:t> </w:t>
      </w:r>
      <w:r>
        <w:rPr/>
        <w:t>tax</w:t>
      </w:r>
      <w:r>
        <w:rPr>
          <w:spacing w:val="14"/>
        </w:rPr>
        <w:t> </w:t>
      </w:r>
      <w:r>
        <w:rPr/>
        <w:t>credits</w:t>
      </w:r>
      <w:r>
        <w:rPr>
          <w:spacing w:val="15"/>
        </w:rPr>
        <w:t> </w:t>
      </w:r>
      <w:r>
        <w:rPr/>
        <w:t>for</w:t>
      </w:r>
    </w:p>
    <w:p>
      <w:pPr>
        <w:pStyle w:val="BodyText"/>
        <w:spacing w:before="10"/>
        <w:ind w:left="723"/>
        <w:jc w:val="both"/>
      </w:pPr>
      <w:r>
        <w:rPr/>
        <w:t>production</w:t>
      </w:r>
      <w:r>
        <w:rPr>
          <w:spacing w:val="-5"/>
        </w:rPr>
        <w:t> </w:t>
      </w:r>
      <w:r>
        <w:rPr/>
        <w:t>from</w:t>
      </w:r>
      <w:r>
        <w:rPr>
          <w:spacing w:val="-4"/>
        </w:rPr>
        <w:t> </w:t>
      </w:r>
      <w:r>
        <w:rPr/>
        <w:t>non-conventional</w:t>
      </w:r>
      <w:r>
        <w:rPr>
          <w:spacing w:val="-5"/>
        </w:rPr>
        <w:t> </w:t>
      </w:r>
      <w:r>
        <w:rPr/>
        <w:t>reservoirs.</w:t>
      </w:r>
      <w:r>
        <w:rPr>
          <w:spacing w:val="-7"/>
        </w:rPr>
        <w:t> </w:t>
      </w:r>
      <w:r>
        <w:rPr/>
        <w:t>This</w:t>
      </w:r>
      <w:r>
        <w:rPr>
          <w:spacing w:val="-4"/>
        </w:rPr>
        <w:t> </w:t>
      </w:r>
      <w:r>
        <w:rPr/>
        <w:t>was</w:t>
      </w:r>
      <w:r>
        <w:rPr>
          <w:spacing w:val="-5"/>
        </w:rPr>
        <w:t> </w:t>
      </w:r>
      <w:r>
        <w:rPr/>
        <w:t>based</w:t>
      </w:r>
      <w:r>
        <w:rPr>
          <w:spacing w:val="-4"/>
        </w:rPr>
        <w:t> </w:t>
      </w:r>
      <w:r>
        <w:rPr/>
        <w:t>on</w:t>
      </w:r>
      <w:r>
        <w:rPr>
          <w:spacing w:val="-5"/>
        </w:rPr>
        <w:t> </w:t>
      </w:r>
      <w:r>
        <w:rPr/>
        <w:t>a</w:t>
      </w:r>
      <w:r>
        <w:rPr>
          <w:spacing w:val="-4"/>
        </w:rPr>
        <w:t> </w:t>
      </w:r>
      <w:r>
        <w:rPr/>
        <w:t>gas</w:t>
      </w:r>
      <w:r>
        <w:rPr>
          <w:spacing w:val="-4"/>
        </w:rPr>
        <w:t> </w:t>
      </w:r>
      <w:r>
        <w:rPr/>
        <w:t>price</w:t>
      </w:r>
      <w:r>
        <w:rPr>
          <w:spacing w:val="-5"/>
        </w:rPr>
        <w:t> </w:t>
      </w:r>
      <w:r>
        <w:rPr/>
        <w:t>of</w:t>
      </w:r>
      <w:r>
        <w:rPr>
          <w:spacing w:val="-4"/>
        </w:rPr>
        <w:t> </w:t>
      </w:r>
      <w:r>
        <w:rPr/>
        <w:t>2.09</w:t>
      </w:r>
      <w:r>
        <w:rPr>
          <w:spacing w:val="-5"/>
        </w:rPr>
        <w:t> </w:t>
      </w:r>
      <w:r>
        <w:rPr/>
        <w:t>US$</w:t>
      </w:r>
      <w:r>
        <w:rPr>
          <w:spacing w:val="-4"/>
        </w:rPr>
        <w:t> </w:t>
      </w:r>
      <w:r>
        <w:rPr/>
        <w:t>GJ</w:t>
      </w:r>
      <w:r>
        <w:rPr>
          <w:position w:val="7"/>
          <w:sz w:val="11"/>
        </w:rPr>
        <w:t>-1</w:t>
      </w:r>
      <w:r>
        <w:rPr>
          <w:spacing w:val="18"/>
          <w:position w:val="7"/>
          <w:sz w:val="11"/>
        </w:rPr>
        <w:t> </w:t>
      </w:r>
      <w:r>
        <w:rPr/>
        <w:t>(2.20</w:t>
      </w:r>
      <w:r>
        <w:rPr>
          <w:spacing w:val="-4"/>
        </w:rPr>
        <w:t> </w:t>
      </w:r>
      <w:r>
        <w:rPr/>
        <w:t>US$/MMbtu)</w:t>
      </w:r>
      <w:r>
        <w:rPr>
          <w:spacing w:val="-5"/>
        </w:rPr>
        <w:t> </w:t>
      </w:r>
      <w:r>
        <w:rPr/>
        <w:t>(at</w:t>
      </w:r>
      <w:r>
        <w:rPr>
          <w:spacing w:val="-4"/>
        </w:rPr>
        <w:t> </w:t>
      </w:r>
      <w:r>
        <w:rPr/>
        <w:t>the</w:t>
      </w:r>
      <w:r>
        <w:rPr>
          <w:spacing w:val="-4"/>
        </w:rPr>
        <w:t> </w:t>
      </w:r>
      <w:r>
        <w:rPr/>
        <w:t>time)</w:t>
      </w:r>
    </w:p>
    <w:p>
      <w:pPr>
        <w:spacing w:after="0"/>
        <w:jc w:val="both"/>
        <w:sectPr>
          <w:type w:val="continuous"/>
          <w:pgSz w:w="12240" w:h="15840"/>
          <w:pgMar w:top="400" w:bottom="280" w:left="580" w:right="600"/>
        </w:sectPr>
      </w:pPr>
    </w:p>
    <w:p>
      <w:pPr>
        <w:pStyle w:val="BodyText"/>
        <w:spacing w:line="277" w:lineRule="exact" w:before="10"/>
        <w:ind w:left="723"/>
        <w:rPr>
          <w:sz w:val="11"/>
        </w:rPr>
      </w:pPr>
      <w:r>
        <w:rPr/>
        <w:t>and a CO</w:t>
      </w:r>
      <w:r>
        <w:rPr>
          <w:position w:val="-6"/>
          <w:sz w:val="11"/>
        </w:rPr>
        <w:t>2</w:t>
      </w:r>
    </w:p>
    <w:p>
      <w:pPr>
        <w:pStyle w:val="BodyText"/>
        <w:spacing w:before="10"/>
        <w:ind w:left="8"/>
      </w:pPr>
      <w:r>
        <w:rPr/>
        <w:br w:type="column"/>
      </w:r>
      <w:r>
        <w:rPr/>
        <w:t>price of 5.19 US$ t</w:t>
      </w:r>
      <w:r>
        <w:rPr>
          <w:position w:val="7"/>
          <w:sz w:val="11"/>
        </w:rPr>
        <w:t>–1 </w:t>
      </w:r>
      <w:r>
        <w:rPr/>
        <w:t>(0.30 US$/Mcf). The results of the financial analysis will change, depending on the cost of oil</w:t>
      </w:r>
    </w:p>
    <w:p>
      <w:pPr>
        <w:spacing w:after="0"/>
        <w:sectPr>
          <w:type w:val="continuous"/>
          <w:pgSz w:w="12240" w:h="15840"/>
          <w:pgMar w:top="400" w:bottom="280" w:left="580" w:right="600"/>
          <w:cols w:num="2" w:equalWidth="0">
            <w:col w:w="1535" w:space="40"/>
            <w:col w:w="9485"/>
          </w:cols>
        </w:sectPr>
      </w:pPr>
    </w:p>
    <w:p>
      <w:pPr>
        <w:pStyle w:val="BodyText"/>
        <w:spacing w:line="194" w:lineRule="exact"/>
        <w:ind w:left="723"/>
        <w:jc w:val="both"/>
      </w:pPr>
      <w:r>
        <w:rPr/>
        <w:t>and gas (the analysis indicated that the pilot would have yielded a positive net present value of US$2.6 million at today’s gas</w:t>
      </w:r>
    </w:p>
    <w:p>
      <w:pPr>
        <w:pStyle w:val="BodyText"/>
        <w:spacing w:line="240" w:lineRule="exact" w:before="4"/>
        <w:ind w:left="723" w:right="304"/>
        <w:jc w:val="both"/>
      </w:pPr>
      <w:r>
        <w:rPr/>
        <w:t>prices) and the cost of CO</w:t>
      </w:r>
      <w:r>
        <w:rPr>
          <w:position w:val="-6"/>
          <w:sz w:val="11"/>
        </w:rPr>
        <w:t>2</w:t>
      </w:r>
      <w:r>
        <w:rPr/>
        <w:t>. It was also estimated that if injectivity had been improved by a factor of four (but still using 2.09 US$</w:t>
      </w:r>
      <w:r>
        <w:rPr>
          <w:spacing w:val="-10"/>
        </w:rPr>
        <w:t> </w:t>
      </w:r>
      <w:r>
        <w:rPr/>
        <w:t>GJ</w:t>
      </w:r>
      <w:r>
        <w:rPr>
          <w:position w:val="7"/>
          <w:sz w:val="11"/>
        </w:rPr>
        <w:t>-1</w:t>
      </w:r>
      <w:r>
        <w:rPr>
          <w:spacing w:val="13"/>
          <w:position w:val="7"/>
          <w:sz w:val="11"/>
        </w:rPr>
        <w:t> </w:t>
      </w:r>
      <w:r>
        <w:rPr/>
        <w:t>(2.20</w:t>
      </w:r>
      <w:r>
        <w:rPr>
          <w:spacing w:val="-9"/>
        </w:rPr>
        <w:t> </w:t>
      </w:r>
      <w:r>
        <w:rPr/>
        <w:t>US$/MMbtu)),</w:t>
      </w:r>
      <w:r>
        <w:rPr>
          <w:spacing w:val="-9"/>
        </w:rPr>
        <w:t> </w:t>
      </w:r>
      <w:r>
        <w:rPr/>
        <w:t>the</w:t>
      </w:r>
      <w:r>
        <w:rPr>
          <w:spacing w:val="-10"/>
        </w:rPr>
        <w:t> </w:t>
      </w:r>
      <w:r>
        <w:rPr/>
        <w:t>net</w:t>
      </w:r>
      <w:r>
        <w:rPr>
          <w:spacing w:val="-9"/>
        </w:rPr>
        <w:t> </w:t>
      </w:r>
      <w:r>
        <w:rPr/>
        <w:t>present</w:t>
      </w:r>
      <w:r>
        <w:rPr>
          <w:spacing w:val="-9"/>
        </w:rPr>
        <w:t> </w:t>
      </w:r>
      <w:r>
        <w:rPr/>
        <w:t>value</w:t>
      </w:r>
      <w:r>
        <w:rPr>
          <w:spacing w:val="-10"/>
        </w:rPr>
        <w:t> </w:t>
      </w:r>
      <w:r>
        <w:rPr/>
        <w:t>would</w:t>
      </w:r>
      <w:r>
        <w:rPr>
          <w:spacing w:val="-9"/>
        </w:rPr>
        <w:t> </w:t>
      </w:r>
      <w:r>
        <w:rPr/>
        <w:t>have</w:t>
      </w:r>
      <w:r>
        <w:rPr>
          <w:spacing w:val="-10"/>
        </w:rPr>
        <w:t> </w:t>
      </w:r>
      <w:r>
        <w:rPr/>
        <w:t>increased</w:t>
      </w:r>
      <w:r>
        <w:rPr>
          <w:spacing w:val="-9"/>
        </w:rPr>
        <w:t> </w:t>
      </w:r>
      <w:r>
        <w:rPr/>
        <w:t>to</w:t>
      </w:r>
      <w:r>
        <w:rPr>
          <w:spacing w:val="-9"/>
        </w:rPr>
        <w:t> </w:t>
      </w:r>
      <w:r>
        <w:rPr/>
        <w:t>US$</w:t>
      </w:r>
      <w:r>
        <w:rPr>
          <w:spacing w:val="-10"/>
        </w:rPr>
        <w:t> </w:t>
      </w:r>
      <w:r>
        <w:rPr/>
        <w:t>3.6</w:t>
      </w:r>
      <w:r>
        <w:rPr>
          <w:spacing w:val="-9"/>
        </w:rPr>
        <w:t> </w:t>
      </w:r>
      <w:r>
        <w:rPr/>
        <w:t>million.</w:t>
      </w:r>
      <w:r>
        <w:rPr>
          <w:spacing w:val="-9"/>
        </w:rPr>
        <w:t> </w:t>
      </w:r>
      <w:r>
        <w:rPr/>
        <w:t>Increased</w:t>
      </w:r>
      <w:r>
        <w:rPr>
          <w:spacing w:val="-10"/>
        </w:rPr>
        <w:t> </w:t>
      </w:r>
      <w:r>
        <w:rPr/>
        <w:t>injectivity</w:t>
      </w:r>
      <w:r>
        <w:rPr>
          <w:spacing w:val="-9"/>
        </w:rPr>
        <w:t> </w:t>
      </w:r>
      <w:r>
        <w:rPr/>
        <w:t>and</w:t>
      </w:r>
      <w:r>
        <w:rPr>
          <w:spacing w:val="-9"/>
        </w:rPr>
        <w:t> </w:t>
      </w:r>
      <w:r>
        <w:rPr/>
        <w:t>today’s gas</w:t>
      </w:r>
      <w:r>
        <w:rPr>
          <w:spacing w:val="-6"/>
        </w:rPr>
        <w:t> </w:t>
      </w:r>
      <w:r>
        <w:rPr/>
        <w:t>prices</w:t>
      </w:r>
      <w:r>
        <w:rPr>
          <w:spacing w:val="-6"/>
        </w:rPr>
        <w:t> </w:t>
      </w:r>
      <w:r>
        <w:rPr/>
        <w:t>combined</w:t>
      </w:r>
      <w:r>
        <w:rPr>
          <w:spacing w:val="-6"/>
        </w:rPr>
        <w:t> </w:t>
      </w:r>
      <w:r>
        <w:rPr/>
        <w:t>would</w:t>
      </w:r>
      <w:r>
        <w:rPr>
          <w:spacing w:val="-6"/>
        </w:rPr>
        <w:t> </w:t>
      </w:r>
      <w:r>
        <w:rPr/>
        <w:t>have</w:t>
      </w:r>
      <w:r>
        <w:rPr>
          <w:spacing w:val="-6"/>
        </w:rPr>
        <w:t> </w:t>
      </w:r>
      <w:r>
        <w:rPr/>
        <w:t>yielded</w:t>
      </w:r>
      <w:r>
        <w:rPr>
          <w:spacing w:val="-6"/>
        </w:rPr>
        <w:t> </w:t>
      </w:r>
      <w:r>
        <w:rPr/>
        <w:t>a</w:t>
      </w:r>
      <w:r>
        <w:rPr>
          <w:spacing w:val="-5"/>
        </w:rPr>
        <w:t> </w:t>
      </w:r>
      <w:r>
        <w:rPr/>
        <w:t>net</w:t>
      </w:r>
      <w:r>
        <w:rPr>
          <w:spacing w:val="-6"/>
        </w:rPr>
        <w:t> </w:t>
      </w:r>
      <w:r>
        <w:rPr/>
        <w:t>present</w:t>
      </w:r>
      <w:r>
        <w:rPr>
          <w:spacing w:val="-6"/>
        </w:rPr>
        <w:t> </w:t>
      </w:r>
      <w:r>
        <w:rPr/>
        <w:t>value</w:t>
      </w:r>
      <w:r>
        <w:rPr>
          <w:spacing w:val="-6"/>
        </w:rPr>
        <w:t> </w:t>
      </w:r>
      <w:r>
        <w:rPr/>
        <w:t>for</w:t>
      </w:r>
      <w:r>
        <w:rPr>
          <w:spacing w:val="-6"/>
        </w:rPr>
        <w:t> </w:t>
      </w:r>
      <w:r>
        <w:rPr/>
        <w:t>the</w:t>
      </w:r>
      <w:r>
        <w:rPr>
          <w:spacing w:val="-6"/>
        </w:rPr>
        <w:t> </w:t>
      </w:r>
      <w:r>
        <w:rPr/>
        <w:t>pilot</w:t>
      </w:r>
      <w:r>
        <w:rPr>
          <w:spacing w:val="-5"/>
        </w:rPr>
        <w:t> </w:t>
      </w:r>
      <w:r>
        <w:rPr/>
        <w:t>of</w:t>
      </w:r>
      <w:r>
        <w:rPr>
          <w:spacing w:val="-6"/>
        </w:rPr>
        <w:t> </w:t>
      </w:r>
      <w:r>
        <w:rPr/>
        <w:t>US$</w:t>
      </w:r>
      <w:r>
        <w:rPr>
          <w:spacing w:val="-6"/>
        </w:rPr>
        <w:t> </w:t>
      </w:r>
      <w:r>
        <w:rPr/>
        <w:t>15</w:t>
      </w:r>
      <w:r>
        <w:rPr>
          <w:spacing w:val="-6"/>
        </w:rPr>
        <w:t> </w:t>
      </w:r>
      <w:r>
        <w:rPr/>
        <w:t>million</w:t>
      </w:r>
      <w:r>
        <w:rPr>
          <w:spacing w:val="-6"/>
        </w:rPr>
        <w:t> </w:t>
      </w:r>
      <w:r>
        <w:rPr/>
        <w:t>or</w:t>
      </w:r>
      <w:r>
        <w:rPr>
          <w:spacing w:val="-6"/>
        </w:rPr>
        <w:t> </w:t>
      </w:r>
      <w:r>
        <w:rPr/>
        <w:t>a</w:t>
      </w:r>
      <w:r>
        <w:rPr>
          <w:spacing w:val="-5"/>
        </w:rPr>
        <w:t> </w:t>
      </w:r>
      <w:r>
        <w:rPr/>
        <w:t>profit</w:t>
      </w:r>
      <w:r>
        <w:rPr>
          <w:spacing w:val="-6"/>
        </w:rPr>
        <w:t> </w:t>
      </w:r>
      <w:r>
        <w:rPr/>
        <w:t>of</w:t>
      </w:r>
      <w:r>
        <w:rPr>
          <w:spacing w:val="-6"/>
        </w:rPr>
        <w:t> </w:t>
      </w:r>
      <w:r>
        <w:rPr/>
        <w:t>34</w:t>
      </w:r>
      <w:r>
        <w:rPr>
          <w:spacing w:val="-6"/>
        </w:rPr>
        <w:t> </w:t>
      </w:r>
      <w:r>
        <w:rPr/>
        <w:t>US$/tCO</w:t>
      </w:r>
      <w:r>
        <w:rPr>
          <w:position w:val="-6"/>
          <w:sz w:val="11"/>
        </w:rPr>
        <w:t>2</w:t>
      </w:r>
      <w:r>
        <w:rPr>
          <w:spacing w:val="17"/>
          <w:position w:val="-6"/>
          <w:sz w:val="11"/>
        </w:rPr>
        <w:t> </w:t>
      </w:r>
      <w:r>
        <w:rPr/>
        <w:t>retained in the reservoir (Reeves </w:t>
      </w:r>
      <w:r>
        <w:rPr>
          <w:i/>
        </w:rPr>
        <w:t>et al.</w:t>
      </w:r>
      <w:r>
        <w:rPr/>
        <w:t>,</w:t>
      </w:r>
      <w:r>
        <w:rPr>
          <w:spacing w:val="-2"/>
        </w:rPr>
        <w:t> </w:t>
      </w:r>
      <w:r>
        <w:rPr/>
        <w:t>2003).</w:t>
      </w:r>
    </w:p>
    <w:p>
      <w:pPr>
        <w:pStyle w:val="BodyText"/>
      </w:pPr>
    </w:p>
    <w:p>
      <w:pPr>
        <w:pStyle w:val="BodyText"/>
      </w:pPr>
    </w:p>
    <w:p>
      <w:pPr>
        <w:pStyle w:val="BodyText"/>
        <w:spacing w:before="7"/>
        <w:rPr>
          <w:sz w:val="17"/>
        </w:rPr>
      </w:pPr>
    </w:p>
    <w:p>
      <w:pPr>
        <w:spacing w:after="0"/>
        <w:rPr>
          <w:sz w:val="17"/>
        </w:rPr>
        <w:sectPr>
          <w:type w:val="continuous"/>
          <w:pgSz w:w="12240" w:h="15840"/>
          <w:pgMar w:top="400" w:bottom="280" w:left="580" w:right="600"/>
        </w:sectPr>
      </w:pPr>
    </w:p>
    <w:p>
      <w:pPr>
        <w:pStyle w:val="BodyText"/>
        <w:spacing w:line="260" w:lineRule="exact" w:before="63"/>
        <w:ind w:left="553"/>
        <w:jc w:val="both"/>
      </w:pPr>
      <w:r>
        <w:rPr/>
        <w:t>of methane and CO</w:t>
      </w:r>
      <w:r>
        <w:rPr>
          <w:position w:val="-6"/>
          <w:sz w:val="11"/>
        </w:rPr>
        <w:t>2 </w:t>
      </w:r>
      <w:r>
        <w:rPr/>
        <w:t>(Reeves </w:t>
      </w:r>
      <w:r>
        <w:rPr>
          <w:i/>
        </w:rPr>
        <w:t>et al.</w:t>
      </w:r>
      <w:r>
        <w:rPr/>
        <w:t>, 2004).</w:t>
      </w:r>
    </w:p>
    <w:p>
      <w:pPr>
        <w:pStyle w:val="BodyText"/>
        <w:spacing w:line="225" w:lineRule="auto"/>
        <w:ind w:left="553" w:firstLine="283"/>
        <w:jc w:val="both"/>
      </w:pPr>
      <w:r>
        <w:rPr/>
        <w:t>If the coal is never mined or depressurized, it is likely CO</w:t>
      </w:r>
      <w:r>
        <w:rPr>
          <w:position w:val="-6"/>
          <w:sz w:val="11"/>
        </w:rPr>
        <w:t>2 </w:t>
      </w:r>
      <w:r>
        <w:rPr/>
        <w:t>will be stored for geological time, but, as with any geological storage option, disturbance of the formation could void any</w:t>
      </w:r>
    </w:p>
    <w:p>
      <w:pPr>
        <w:pStyle w:val="BodyText"/>
        <w:spacing w:line="240" w:lineRule="exact"/>
        <w:ind w:left="553"/>
        <w:jc w:val="both"/>
      </w:pPr>
      <w:r>
        <w:rPr/>
        <w:t>storage. The likely future fate of a coal seam is, therefore, a key determinant of its suitability for storage and in storage site selection and conflicts between mining and CO</w:t>
      </w:r>
      <w:r>
        <w:rPr>
          <w:position w:val="-6"/>
          <w:sz w:val="11"/>
        </w:rPr>
        <w:t>2 </w:t>
      </w:r>
      <w:r>
        <w:rPr/>
        <w:t>storage are possible, particularly for shallow coals.</w:t>
      </w:r>
    </w:p>
    <w:p>
      <w:pPr>
        <w:pStyle w:val="BodyText"/>
        <w:spacing w:before="11"/>
      </w:pPr>
    </w:p>
    <w:p>
      <w:pPr>
        <w:pStyle w:val="Heading2"/>
        <w:numPr>
          <w:ilvl w:val="2"/>
          <w:numId w:val="4"/>
        </w:numPr>
        <w:tabs>
          <w:tab w:pos="1374" w:val="left" w:leader="none"/>
        </w:tabs>
        <w:spacing w:line="240" w:lineRule="auto" w:before="0" w:after="0"/>
        <w:ind w:left="1373" w:right="0" w:hanging="821"/>
        <w:jc w:val="both"/>
        <w:rPr>
          <w:i/>
        </w:rPr>
      </w:pPr>
      <w:r>
        <w:rPr>
          <w:i/>
        </w:rPr>
        <w:t>Other geological</w:t>
      </w:r>
      <w:r>
        <w:rPr>
          <w:i/>
          <w:spacing w:val="-2"/>
        </w:rPr>
        <w:t> </w:t>
      </w:r>
      <w:r>
        <w:rPr>
          <w:i/>
        </w:rPr>
        <w:t>media</w:t>
      </w:r>
    </w:p>
    <w:p>
      <w:pPr>
        <w:pStyle w:val="BodyText"/>
        <w:spacing w:before="8"/>
        <w:rPr>
          <w:b/>
          <w:i/>
          <w:sz w:val="21"/>
        </w:rPr>
      </w:pPr>
    </w:p>
    <w:p>
      <w:pPr>
        <w:pStyle w:val="BodyText"/>
        <w:spacing w:line="249" w:lineRule="auto" w:before="1"/>
        <w:ind w:left="553"/>
        <w:jc w:val="both"/>
      </w:pPr>
      <w:r>
        <w:rPr/>
        <w:t>Other</w:t>
      </w:r>
      <w:r>
        <w:rPr>
          <w:spacing w:val="-13"/>
        </w:rPr>
        <w:t> </w:t>
      </w:r>
      <w:r>
        <w:rPr/>
        <w:t>geological</w:t>
      </w:r>
      <w:r>
        <w:rPr>
          <w:spacing w:val="-13"/>
        </w:rPr>
        <w:t> </w:t>
      </w:r>
      <w:r>
        <w:rPr/>
        <w:t>media</w:t>
      </w:r>
      <w:r>
        <w:rPr>
          <w:spacing w:val="-12"/>
        </w:rPr>
        <w:t> </w:t>
      </w:r>
      <w:r>
        <w:rPr/>
        <w:t>and/or</w:t>
      </w:r>
      <w:r>
        <w:rPr>
          <w:spacing w:val="-13"/>
        </w:rPr>
        <w:t> </w:t>
      </w:r>
      <w:r>
        <w:rPr/>
        <w:t>structures</w:t>
      </w:r>
      <w:r>
        <w:rPr>
          <w:spacing w:val="-12"/>
        </w:rPr>
        <w:t> </w:t>
      </w:r>
      <w:r>
        <w:rPr/>
        <w:t>–</w:t>
      </w:r>
      <w:r>
        <w:rPr>
          <w:spacing w:val="-13"/>
        </w:rPr>
        <w:t> </w:t>
      </w:r>
      <w:r>
        <w:rPr/>
        <w:t>including</w:t>
      </w:r>
      <w:r>
        <w:rPr>
          <w:spacing w:val="-12"/>
        </w:rPr>
        <w:t> </w:t>
      </w:r>
      <w:r>
        <w:rPr/>
        <w:t>basalts,</w:t>
      </w:r>
      <w:r>
        <w:rPr>
          <w:spacing w:val="-13"/>
        </w:rPr>
        <w:t> </w:t>
      </w:r>
      <w:r>
        <w:rPr/>
        <w:t>oil or gas shale, salt caverns and abandoned mines – may locally provide niche options for geological storage of</w:t>
      </w:r>
      <w:r>
        <w:rPr>
          <w:spacing w:val="-2"/>
        </w:rPr>
        <w:t> </w:t>
      </w:r>
      <w:r>
        <w:rPr/>
        <w:t>CO</w:t>
      </w:r>
      <w:r>
        <w:rPr>
          <w:position w:val="-6"/>
          <w:sz w:val="11"/>
        </w:rPr>
        <w:t>2</w:t>
      </w:r>
      <w:r>
        <w:rPr/>
        <w:t>.</w:t>
      </w:r>
    </w:p>
    <w:p>
      <w:pPr>
        <w:pStyle w:val="ListParagraph"/>
        <w:numPr>
          <w:ilvl w:val="3"/>
          <w:numId w:val="4"/>
        </w:numPr>
        <w:tabs>
          <w:tab w:pos="1374" w:val="left" w:leader="none"/>
        </w:tabs>
        <w:spacing w:line="240" w:lineRule="auto" w:before="191" w:after="0"/>
        <w:ind w:left="1373" w:right="0" w:hanging="821"/>
        <w:jc w:val="both"/>
        <w:rPr>
          <w:i/>
          <w:sz w:val="20"/>
        </w:rPr>
      </w:pPr>
      <w:r>
        <w:rPr>
          <w:i/>
          <w:sz w:val="20"/>
        </w:rPr>
        <w:t>Basalts</w:t>
      </w:r>
    </w:p>
    <w:p>
      <w:pPr>
        <w:pStyle w:val="BodyText"/>
        <w:spacing w:line="249" w:lineRule="auto" w:before="10"/>
        <w:ind w:left="553"/>
        <w:jc w:val="both"/>
      </w:pPr>
      <w:r>
        <w:rPr/>
        <w:t>Flows</w:t>
      </w:r>
      <w:r>
        <w:rPr>
          <w:spacing w:val="-13"/>
        </w:rPr>
        <w:t> </w:t>
      </w:r>
      <w:r>
        <w:rPr/>
        <w:t>and</w:t>
      </w:r>
      <w:r>
        <w:rPr>
          <w:spacing w:val="-13"/>
        </w:rPr>
        <w:t> </w:t>
      </w:r>
      <w:r>
        <w:rPr/>
        <w:t>layered</w:t>
      </w:r>
      <w:r>
        <w:rPr>
          <w:spacing w:val="-12"/>
        </w:rPr>
        <w:t> </w:t>
      </w:r>
      <w:r>
        <w:rPr/>
        <w:t>intrusions</w:t>
      </w:r>
      <w:r>
        <w:rPr>
          <w:spacing w:val="-13"/>
        </w:rPr>
        <w:t> </w:t>
      </w:r>
      <w:r>
        <w:rPr/>
        <w:t>of</w:t>
      </w:r>
      <w:r>
        <w:rPr>
          <w:spacing w:val="-13"/>
        </w:rPr>
        <w:t> </w:t>
      </w:r>
      <w:r>
        <w:rPr/>
        <w:t>basalt</w:t>
      </w:r>
      <w:r>
        <w:rPr>
          <w:spacing w:val="-12"/>
        </w:rPr>
        <w:t> </w:t>
      </w:r>
      <w:r>
        <w:rPr/>
        <w:t>occur</w:t>
      </w:r>
      <w:r>
        <w:rPr>
          <w:spacing w:val="-13"/>
        </w:rPr>
        <w:t> </w:t>
      </w:r>
      <w:r>
        <w:rPr/>
        <w:t>globally,</w:t>
      </w:r>
      <w:r>
        <w:rPr>
          <w:spacing w:val="-13"/>
        </w:rPr>
        <w:t> </w:t>
      </w:r>
      <w:r>
        <w:rPr/>
        <w:t>with</w:t>
      </w:r>
      <w:r>
        <w:rPr>
          <w:spacing w:val="-12"/>
        </w:rPr>
        <w:t> </w:t>
      </w:r>
      <w:r>
        <w:rPr/>
        <w:t>large volumes</w:t>
      </w:r>
      <w:r>
        <w:rPr>
          <w:spacing w:val="-12"/>
        </w:rPr>
        <w:t> </w:t>
      </w:r>
      <w:r>
        <w:rPr/>
        <w:t>present</w:t>
      </w:r>
      <w:r>
        <w:rPr>
          <w:spacing w:val="-12"/>
        </w:rPr>
        <w:t> </w:t>
      </w:r>
      <w:r>
        <w:rPr/>
        <w:t>around</w:t>
      </w:r>
      <w:r>
        <w:rPr>
          <w:spacing w:val="-12"/>
        </w:rPr>
        <w:t> </w:t>
      </w:r>
      <w:r>
        <w:rPr/>
        <w:t>the</w:t>
      </w:r>
      <w:r>
        <w:rPr>
          <w:spacing w:val="-11"/>
        </w:rPr>
        <w:t> </w:t>
      </w:r>
      <w:r>
        <w:rPr/>
        <w:t>world</w:t>
      </w:r>
      <w:r>
        <w:rPr>
          <w:spacing w:val="-13"/>
        </w:rPr>
        <w:t> </w:t>
      </w:r>
      <w:r>
        <w:rPr/>
        <w:t>(McGrail</w:t>
      </w:r>
      <w:r>
        <w:rPr>
          <w:spacing w:val="-12"/>
        </w:rPr>
        <w:t> </w:t>
      </w:r>
      <w:r>
        <w:rPr>
          <w:i/>
        </w:rPr>
        <w:t>et</w:t>
      </w:r>
      <w:r>
        <w:rPr>
          <w:i/>
          <w:spacing w:val="-12"/>
        </w:rPr>
        <w:t> </w:t>
      </w:r>
      <w:r>
        <w:rPr>
          <w:i/>
        </w:rPr>
        <w:t>al.</w:t>
      </w:r>
      <w:r>
        <w:rPr/>
        <w:t>,</w:t>
      </w:r>
      <w:r>
        <w:rPr>
          <w:spacing w:val="-11"/>
        </w:rPr>
        <w:t> </w:t>
      </w:r>
      <w:r>
        <w:rPr/>
        <w:t>2003).</w:t>
      </w:r>
      <w:r>
        <w:rPr>
          <w:spacing w:val="-12"/>
        </w:rPr>
        <w:t> </w:t>
      </w:r>
      <w:r>
        <w:rPr/>
        <w:t>Basalt commonly has low porosity, low permeability and low </w:t>
      </w:r>
      <w:r>
        <w:rPr>
          <w:spacing w:val="-4"/>
        </w:rPr>
        <w:t>pore </w:t>
      </w:r>
      <w:r>
        <w:rPr/>
        <w:t>space</w:t>
      </w:r>
      <w:r>
        <w:rPr>
          <w:spacing w:val="18"/>
        </w:rPr>
        <w:t> </w:t>
      </w:r>
      <w:r>
        <w:rPr/>
        <w:t>continuity</w:t>
      </w:r>
      <w:r>
        <w:rPr>
          <w:spacing w:val="19"/>
        </w:rPr>
        <w:t> </w:t>
      </w:r>
      <w:r>
        <w:rPr/>
        <w:t>and</w:t>
      </w:r>
      <w:r>
        <w:rPr>
          <w:spacing w:val="19"/>
        </w:rPr>
        <w:t> </w:t>
      </w:r>
      <w:r>
        <w:rPr/>
        <w:t>any</w:t>
      </w:r>
      <w:r>
        <w:rPr>
          <w:spacing w:val="19"/>
        </w:rPr>
        <w:t> </w:t>
      </w:r>
      <w:r>
        <w:rPr/>
        <w:t>permeability</w:t>
      </w:r>
      <w:r>
        <w:rPr>
          <w:spacing w:val="19"/>
        </w:rPr>
        <w:t> </w:t>
      </w:r>
      <w:r>
        <w:rPr/>
        <w:t>is</w:t>
      </w:r>
      <w:r>
        <w:rPr>
          <w:spacing w:val="19"/>
        </w:rPr>
        <w:t> </w:t>
      </w:r>
      <w:r>
        <w:rPr/>
        <w:t>generally</w:t>
      </w:r>
      <w:r>
        <w:rPr>
          <w:spacing w:val="19"/>
        </w:rPr>
        <w:t> </w:t>
      </w:r>
      <w:r>
        <w:rPr/>
        <w:t>associated</w:t>
      </w:r>
    </w:p>
    <w:p>
      <w:pPr>
        <w:pStyle w:val="BodyText"/>
        <w:spacing w:line="240" w:lineRule="exact" w:before="58"/>
        <w:ind w:left="242" w:right="134"/>
        <w:jc w:val="both"/>
      </w:pPr>
      <w:r>
        <w:rPr/>
        <w:br w:type="column"/>
      </w:r>
      <w:r>
        <w:rPr/>
        <w:t>with fractures through which CO</w:t>
      </w:r>
      <w:r>
        <w:rPr>
          <w:position w:val="-6"/>
          <w:sz w:val="11"/>
        </w:rPr>
        <w:t>2 </w:t>
      </w:r>
      <w:r>
        <w:rPr/>
        <w:t>will leak unless there is a suitable caprock. Nonetheless, basalt may have some potential for mineral trapping of CO</w:t>
      </w:r>
      <w:r>
        <w:rPr>
          <w:position w:val="-6"/>
          <w:sz w:val="11"/>
        </w:rPr>
        <w:t>2</w:t>
      </w:r>
      <w:r>
        <w:rPr/>
        <w:t>, because injected CO</w:t>
      </w:r>
      <w:r>
        <w:rPr>
          <w:position w:val="-6"/>
          <w:sz w:val="11"/>
        </w:rPr>
        <w:t>2 </w:t>
      </w:r>
      <w:r>
        <w:rPr/>
        <w:t>may react with</w:t>
      </w:r>
      <w:r>
        <w:rPr>
          <w:spacing w:val="-6"/>
        </w:rPr>
        <w:t> </w:t>
      </w:r>
      <w:r>
        <w:rPr/>
        <w:t>silicates</w:t>
      </w:r>
      <w:r>
        <w:rPr>
          <w:spacing w:val="-5"/>
        </w:rPr>
        <w:t> </w:t>
      </w:r>
      <w:r>
        <w:rPr/>
        <w:t>in</w:t>
      </w:r>
      <w:r>
        <w:rPr>
          <w:spacing w:val="-5"/>
        </w:rPr>
        <w:t> </w:t>
      </w:r>
      <w:r>
        <w:rPr/>
        <w:t>the</w:t>
      </w:r>
      <w:r>
        <w:rPr>
          <w:spacing w:val="-5"/>
        </w:rPr>
        <w:t> </w:t>
      </w:r>
      <w:r>
        <w:rPr/>
        <w:t>basalt</w:t>
      </w:r>
      <w:r>
        <w:rPr>
          <w:spacing w:val="-5"/>
        </w:rPr>
        <w:t> </w:t>
      </w:r>
      <w:r>
        <w:rPr/>
        <w:t>to</w:t>
      </w:r>
      <w:r>
        <w:rPr>
          <w:spacing w:val="-5"/>
        </w:rPr>
        <w:t> </w:t>
      </w:r>
      <w:r>
        <w:rPr/>
        <w:t>form</w:t>
      </w:r>
      <w:r>
        <w:rPr>
          <w:spacing w:val="-6"/>
        </w:rPr>
        <w:t> </w:t>
      </w:r>
      <w:r>
        <w:rPr/>
        <w:t>carbonate</w:t>
      </w:r>
      <w:r>
        <w:rPr>
          <w:spacing w:val="-5"/>
        </w:rPr>
        <w:t> </w:t>
      </w:r>
      <w:r>
        <w:rPr/>
        <w:t>minerals</w:t>
      </w:r>
      <w:r>
        <w:rPr>
          <w:spacing w:val="-5"/>
        </w:rPr>
        <w:t> </w:t>
      </w:r>
      <w:r>
        <w:rPr/>
        <w:t>(McGrail </w:t>
      </w:r>
      <w:r>
        <w:rPr>
          <w:i/>
        </w:rPr>
        <w:t>et al.</w:t>
      </w:r>
      <w:r>
        <w:rPr/>
        <w:t>, 2003). More research is needed, but in general, basalts appear unlikely to be suitable for CO</w:t>
      </w:r>
      <w:r>
        <w:rPr>
          <w:position w:val="-6"/>
          <w:sz w:val="11"/>
        </w:rPr>
        <w:t>2</w:t>
      </w:r>
      <w:r>
        <w:rPr>
          <w:spacing w:val="19"/>
          <w:position w:val="-6"/>
          <w:sz w:val="11"/>
        </w:rPr>
        <w:t> </w:t>
      </w:r>
      <w:r>
        <w:rPr/>
        <w:t>storage.</w:t>
      </w:r>
    </w:p>
    <w:p>
      <w:pPr>
        <w:pStyle w:val="BodyText"/>
        <w:spacing w:before="4"/>
        <w:rPr>
          <w:sz w:val="21"/>
        </w:rPr>
      </w:pPr>
    </w:p>
    <w:p>
      <w:pPr>
        <w:pStyle w:val="ListParagraph"/>
        <w:numPr>
          <w:ilvl w:val="3"/>
          <w:numId w:val="4"/>
        </w:numPr>
        <w:tabs>
          <w:tab w:pos="1063" w:val="left" w:leader="none"/>
        </w:tabs>
        <w:spacing w:line="240" w:lineRule="auto" w:before="0" w:after="0"/>
        <w:ind w:left="1062" w:right="0" w:hanging="821"/>
        <w:jc w:val="both"/>
        <w:rPr>
          <w:i/>
          <w:sz w:val="20"/>
        </w:rPr>
      </w:pPr>
      <w:r>
        <w:rPr>
          <w:i/>
          <w:sz w:val="20"/>
        </w:rPr>
        <w:t>Oil or gas rich</w:t>
      </w:r>
      <w:r>
        <w:rPr>
          <w:i/>
          <w:spacing w:val="-3"/>
          <w:sz w:val="20"/>
        </w:rPr>
        <w:t> </w:t>
      </w:r>
      <w:r>
        <w:rPr>
          <w:i/>
          <w:sz w:val="20"/>
        </w:rPr>
        <w:t>shale</w:t>
      </w:r>
    </w:p>
    <w:p>
      <w:pPr>
        <w:pStyle w:val="BodyText"/>
        <w:spacing w:line="240" w:lineRule="exact" w:before="5"/>
        <w:ind w:left="242" w:right="134"/>
        <w:jc w:val="both"/>
      </w:pPr>
      <w:r>
        <w:rPr/>
        <w:t>Deposits</w:t>
      </w:r>
      <w:r>
        <w:rPr>
          <w:spacing w:val="-9"/>
        </w:rPr>
        <w:t> </w:t>
      </w:r>
      <w:r>
        <w:rPr/>
        <w:t>of</w:t>
      </w:r>
      <w:r>
        <w:rPr>
          <w:spacing w:val="-9"/>
        </w:rPr>
        <w:t> </w:t>
      </w:r>
      <w:r>
        <w:rPr/>
        <w:t>oil</w:t>
      </w:r>
      <w:r>
        <w:rPr>
          <w:spacing w:val="-9"/>
        </w:rPr>
        <w:t> </w:t>
      </w:r>
      <w:r>
        <w:rPr/>
        <w:t>or</w:t>
      </w:r>
      <w:r>
        <w:rPr>
          <w:spacing w:val="-8"/>
        </w:rPr>
        <w:t> </w:t>
      </w:r>
      <w:r>
        <w:rPr/>
        <w:t>gas</w:t>
      </w:r>
      <w:r>
        <w:rPr>
          <w:spacing w:val="-9"/>
        </w:rPr>
        <w:t> </w:t>
      </w:r>
      <w:r>
        <w:rPr/>
        <w:t>shale</w:t>
      </w:r>
      <w:r>
        <w:rPr>
          <w:spacing w:val="-9"/>
        </w:rPr>
        <w:t> </w:t>
      </w:r>
      <w:r>
        <w:rPr/>
        <w:t>or</w:t>
      </w:r>
      <w:r>
        <w:rPr>
          <w:spacing w:val="-9"/>
        </w:rPr>
        <w:t> </w:t>
      </w:r>
      <w:r>
        <w:rPr/>
        <w:t>organic-rich</w:t>
      </w:r>
      <w:r>
        <w:rPr>
          <w:spacing w:val="-8"/>
        </w:rPr>
        <w:t> </w:t>
      </w:r>
      <w:r>
        <w:rPr/>
        <w:t>shale,</w:t>
      </w:r>
      <w:r>
        <w:rPr>
          <w:spacing w:val="-9"/>
        </w:rPr>
        <w:t> </w:t>
      </w:r>
      <w:r>
        <w:rPr/>
        <w:t>occur</w:t>
      </w:r>
      <w:r>
        <w:rPr>
          <w:spacing w:val="-9"/>
        </w:rPr>
        <w:t> </w:t>
      </w:r>
      <w:r>
        <w:rPr/>
        <w:t>in</w:t>
      </w:r>
      <w:r>
        <w:rPr>
          <w:spacing w:val="-9"/>
        </w:rPr>
        <w:t> </w:t>
      </w:r>
      <w:r>
        <w:rPr/>
        <w:t>many parts of the world. The trapping mechanism for oil shale is similar</w:t>
      </w:r>
      <w:r>
        <w:rPr>
          <w:spacing w:val="-19"/>
        </w:rPr>
        <w:t> </w:t>
      </w:r>
      <w:r>
        <w:rPr/>
        <w:t>to</w:t>
      </w:r>
      <w:r>
        <w:rPr>
          <w:spacing w:val="-19"/>
        </w:rPr>
        <w:t> </w:t>
      </w:r>
      <w:r>
        <w:rPr/>
        <w:t>that</w:t>
      </w:r>
      <w:r>
        <w:rPr>
          <w:spacing w:val="-18"/>
        </w:rPr>
        <w:t> </w:t>
      </w:r>
      <w:r>
        <w:rPr/>
        <w:t>for</w:t>
      </w:r>
      <w:r>
        <w:rPr>
          <w:spacing w:val="-19"/>
        </w:rPr>
        <w:t> </w:t>
      </w:r>
      <w:r>
        <w:rPr/>
        <w:t>coal</w:t>
      </w:r>
      <w:r>
        <w:rPr>
          <w:spacing w:val="-19"/>
        </w:rPr>
        <w:t> </w:t>
      </w:r>
      <w:r>
        <w:rPr/>
        <w:t>beds,</w:t>
      </w:r>
      <w:r>
        <w:rPr>
          <w:spacing w:val="-18"/>
        </w:rPr>
        <w:t> </w:t>
      </w:r>
      <w:r>
        <w:rPr/>
        <w:t>namely</w:t>
      </w:r>
      <w:r>
        <w:rPr>
          <w:spacing w:val="-19"/>
        </w:rPr>
        <w:t> </w:t>
      </w:r>
      <w:r>
        <w:rPr/>
        <w:t>CO</w:t>
      </w:r>
      <w:r>
        <w:rPr>
          <w:position w:val="-6"/>
          <w:sz w:val="11"/>
        </w:rPr>
        <w:t>2</w:t>
      </w:r>
      <w:r>
        <w:rPr>
          <w:spacing w:val="4"/>
          <w:position w:val="-6"/>
          <w:sz w:val="11"/>
        </w:rPr>
        <w:t> </w:t>
      </w:r>
      <w:r>
        <w:rPr/>
        <w:t>adsorption</w:t>
      </w:r>
      <w:r>
        <w:rPr>
          <w:spacing w:val="-18"/>
        </w:rPr>
        <w:t> </w:t>
      </w:r>
      <w:r>
        <w:rPr/>
        <w:t>onto</w:t>
      </w:r>
      <w:r>
        <w:rPr>
          <w:spacing w:val="-19"/>
        </w:rPr>
        <w:t> </w:t>
      </w:r>
      <w:r>
        <w:rPr/>
        <w:t>organic material. Carbon dioxide-enhanced shale-gas production (like ECBM) has the potential to reduce storage costs. The potential for storage of CO</w:t>
      </w:r>
      <w:r>
        <w:rPr>
          <w:position w:val="-6"/>
          <w:sz w:val="11"/>
        </w:rPr>
        <w:t>2 </w:t>
      </w:r>
      <w:r>
        <w:rPr/>
        <w:t>in oil or gas shale is currently unknown, but the</w:t>
      </w:r>
      <w:r>
        <w:rPr>
          <w:spacing w:val="-5"/>
        </w:rPr>
        <w:t> </w:t>
      </w:r>
      <w:r>
        <w:rPr/>
        <w:t>large</w:t>
      </w:r>
      <w:r>
        <w:rPr>
          <w:spacing w:val="-5"/>
        </w:rPr>
        <w:t> </w:t>
      </w:r>
      <w:r>
        <w:rPr/>
        <w:t>volumes</w:t>
      </w:r>
      <w:r>
        <w:rPr>
          <w:spacing w:val="-5"/>
        </w:rPr>
        <w:t> </w:t>
      </w:r>
      <w:r>
        <w:rPr/>
        <w:t>of</w:t>
      </w:r>
      <w:r>
        <w:rPr>
          <w:spacing w:val="-5"/>
        </w:rPr>
        <w:t> </w:t>
      </w:r>
      <w:r>
        <w:rPr/>
        <w:t>shale</w:t>
      </w:r>
      <w:r>
        <w:rPr>
          <w:spacing w:val="-6"/>
        </w:rPr>
        <w:t> </w:t>
      </w:r>
      <w:r>
        <w:rPr/>
        <w:t>suggest</w:t>
      </w:r>
      <w:r>
        <w:rPr>
          <w:spacing w:val="-6"/>
        </w:rPr>
        <w:t> </w:t>
      </w:r>
      <w:r>
        <w:rPr/>
        <w:t>that</w:t>
      </w:r>
      <w:r>
        <w:rPr>
          <w:spacing w:val="-5"/>
        </w:rPr>
        <w:t> </w:t>
      </w:r>
      <w:r>
        <w:rPr/>
        <w:t>storage</w:t>
      </w:r>
      <w:r>
        <w:rPr>
          <w:spacing w:val="-6"/>
        </w:rPr>
        <w:t> </w:t>
      </w:r>
      <w:r>
        <w:rPr/>
        <w:t>capacity</w:t>
      </w:r>
      <w:r>
        <w:rPr>
          <w:spacing w:val="-6"/>
        </w:rPr>
        <w:t> </w:t>
      </w:r>
      <w:r>
        <w:rPr/>
        <w:t>may</w:t>
      </w:r>
      <w:r>
        <w:rPr>
          <w:spacing w:val="-5"/>
        </w:rPr>
        <w:t> </w:t>
      </w:r>
      <w:r>
        <w:rPr/>
        <w:t>be significant.</w:t>
      </w:r>
      <w:r>
        <w:rPr>
          <w:spacing w:val="-18"/>
        </w:rPr>
        <w:t> </w:t>
      </w:r>
      <w:r>
        <w:rPr/>
        <w:t>If</w:t>
      </w:r>
      <w:r>
        <w:rPr>
          <w:spacing w:val="-16"/>
        </w:rPr>
        <w:t> </w:t>
      </w:r>
      <w:r>
        <w:rPr/>
        <w:t>site-selection</w:t>
      </w:r>
      <w:r>
        <w:rPr>
          <w:spacing w:val="-17"/>
        </w:rPr>
        <w:t> </w:t>
      </w:r>
      <w:r>
        <w:rPr/>
        <w:t>criteria,</w:t>
      </w:r>
      <w:r>
        <w:rPr>
          <w:spacing w:val="-16"/>
        </w:rPr>
        <w:t> </w:t>
      </w:r>
      <w:r>
        <w:rPr/>
        <w:t>such</w:t>
      </w:r>
      <w:r>
        <w:rPr>
          <w:spacing w:val="-17"/>
        </w:rPr>
        <w:t> </w:t>
      </w:r>
      <w:r>
        <w:rPr/>
        <w:t>as</w:t>
      </w:r>
      <w:r>
        <w:rPr>
          <w:spacing w:val="-16"/>
        </w:rPr>
        <w:t> </w:t>
      </w:r>
      <w:r>
        <w:rPr/>
        <w:t>minimum</w:t>
      </w:r>
      <w:r>
        <w:rPr>
          <w:spacing w:val="-16"/>
        </w:rPr>
        <w:t> </w:t>
      </w:r>
      <w:r>
        <w:rPr/>
        <w:t>depth,</w:t>
      </w:r>
      <w:r>
        <w:rPr>
          <w:spacing w:val="-17"/>
        </w:rPr>
        <w:t> </w:t>
      </w:r>
      <w:r>
        <w:rPr/>
        <w:t>are developed and applied to these shales, then volumes could be limited, but the very low permeability of these shales is likely to preclude injection of large volumes of</w:t>
      </w:r>
      <w:r>
        <w:rPr>
          <w:spacing w:val="-1"/>
        </w:rPr>
        <w:t> </w:t>
      </w:r>
      <w:r>
        <w:rPr/>
        <w:t>CO</w:t>
      </w:r>
      <w:r>
        <w:rPr>
          <w:position w:val="-6"/>
          <w:sz w:val="11"/>
        </w:rPr>
        <w:t>2</w:t>
      </w:r>
      <w:r>
        <w:rPr/>
        <w:t>.</w:t>
      </w:r>
    </w:p>
    <w:p>
      <w:pPr>
        <w:spacing w:after="0" w:line="240" w:lineRule="exact"/>
        <w:jc w:val="both"/>
        <w:sectPr>
          <w:type w:val="continuous"/>
          <w:pgSz w:w="12240" w:h="15840"/>
          <w:pgMar w:top="400" w:bottom="280" w:left="580" w:right="600"/>
          <w:cols w:num="2" w:equalWidth="0">
            <w:col w:w="5598" w:space="40"/>
            <w:col w:w="5422"/>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ListParagraph"/>
        <w:numPr>
          <w:ilvl w:val="3"/>
          <w:numId w:val="4"/>
        </w:numPr>
        <w:tabs>
          <w:tab w:pos="977" w:val="left" w:leader="none"/>
        </w:tabs>
        <w:spacing w:line="240" w:lineRule="auto" w:before="63" w:after="0"/>
        <w:ind w:left="977" w:right="0" w:hanging="820"/>
        <w:jc w:val="both"/>
        <w:rPr>
          <w:i/>
          <w:sz w:val="20"/>
        </w:rPr>
      </w:pPr>
      <w:bookmarkStart w:name="5.3.6 Effects of impurities on storage c" w:id="52"/>
      <w:bookmarkEnd w:id="52"/>
      <w:r>
        <w:rPr/>
      </w:r>
      <w:bookmarkStart w:name="5.3.6 Effects of impurities on storage c" w:id="53"/>
      <w:bookmarkEnd w:id="53"/>
      <w:r>
        <w:rPr>
          <w:i/>
          <w:sz w:val="20"/>
        </w:rPr>
        <w:t>Salt</w:t>
      </w:r>
      <w:r>
        <w:rPr>
          <w:i/>
          <w:sz w:val="20"/>
        </w:rPr>
        <w:t> caverns</w:t>
      </w:r>
    </w:p>
    <w:p>
      <w:pPr>
        <w:pStyle w:val="BodyText"/>
        <w:spacing w:line="240" w:lineRule="exact" w:before="5"/>
        <w:ind w:left="157" w:right="38"/>
        <w:jc w:val="both"/>
      </w:pPr>
      <w:r>
        <w:rPr/>
        <w:t>Storage</w:t>
      </w:r>
      <w:r>
        <w:rPr>
          <w:spacing w:val="-7"/>
        </w:rPr>
        <w:t> </w:t>
      </w:r>
      <w:r>
        <w:rPr/>
        <w:t>of</w:t>
      </w:r>
      <w:r>
        <w:rPr>
          <w:spacing w:val="-7"/>
        </w:rPr>
        <w:t> </w:t>
      </w:r>
      <w:r>
        <w:rPr/>
        <w:t>CO</w:t>
      </w:r>
      <w:r>
        <w:rPr>
          <w:position w:val="-6"/>
          <w:sz w:val="11"/>
        </w:rPr>
        <w:t>2</w:t>
      </w:r>
      <w:r>
        <w:rPr>
          <w:spacing w:val="16"/>
          <w:position w:val="-6"/>
          <w:sz w:val="11"/>
        </w:rPr>
        <w:t> </w:t>
      </w:r>
      <w:r>
        <w:rPr/>
        <w:t>in</w:t>
      </w:r>
      <w:r>
        <w:rPr>
          <w:spacing w:val="-6"/>
        </w:rPr>
        <w:t> </w:t>
      </w:r>
      <w:r>
        <w:rPr/>
        <w:t>salt</w:t>
      </w:r>
      <w:r>
        <w:rPr>
          <w:spacing w:val="-7"/>
        </w:rPr>
        <w:t> </w:t>
      </w:r>
      <w:r>
        <w:rPr/>
        <w:t>caverns</w:t>
      </w:r>
      <w:r>
        <w:rPr>
          <w:spacing w:val="-6"/>
        </w:rPr>
        <w:t> </w:t>
      </w:r>
      <w:r>
        <w:rPr/>
        <w:t>created</w:t>
      </w:r>
      <w:r>
        <w:rPr>
          <w:spacing w:val="-7"/>
        </w:rPr>
        <w:t> </w:t>
      </w:r>
      <w:r>
        <w:rPr/>
        <w:t>by</w:t>
      </w:r>
      <w:r>
        <w:rPr>
          <w:spacing w:val="-6"/>
        </w:rPr>
        <w:t> </w:t>
      </w:r>
      <w:r>
        <w:rPr/>
        <w:t>solution</w:t>
      </w:r>
      <w:r>
        <w:rPr>
          <w:spacing w:val="-7"/>
        </w:rPr>
        <w:t> </w:t>
      </w:r>
      <w:r>
        <w:rPr/>
        <w:t>mining</w:t>
      </w:r>
      <w:r>
        <w:rPr>
          <w:spacing w:val="-6"/>
        </w:rPr>
        <w:t> </w:t>
      </w:r>
      <w:r>
        <w:rPr/>
        <w:t>could use the technology developed for the storage of liquid natural gas and petroleum products in salt beds and domes in </w:t>
      </w:r>
      <w:r>
        <w:rPr>
          <w:spacing w:val="-3"/>
        </w:rPr>
        <w:t>Western </w:t>
      </w:r>
      <w:r>
        <w:rPr/>
        <w:t>Canada</w:t>
      </w:r>
      <w:r>
        <w:rPr>
          <w:spacing w:val="-16"/>
        </w:rPr>
        <w:t> </w:t>
      </w:r>
      <w:r>
        <w:rPr/>
        <w:t>and</w:t>
      </w:r>
      <w:r>
        <w:rPr>
          <w:spacing w:val="-16"/>
        </w:rPr>
        <w:t> </w:t>
      </w:r>
      <w:r>
        <w:rPr/>
        <w:t>the</w:t>
      </w:r>
      <w:r>
        <w:rPr>
          <w:spacing w:val="-15"/>
        </w:rPr>
        <w:t> </w:t>
      </w:r>
      <w:r>
        <w:rPr/>
        <w:t>Gulf</w:t>
      </w:r>
      <w:r>
        <w:rPr>
          <w:spacing w:val="-17"/>
        </w:rPr>
        <w:t> </w:t>
      </w:r>
      <w:r>
        <w:rPr/>
        <w:t>of</w:t>
      </w:r>
      <w:r>
        <w:rPr>
          <w:spacing w:val="-16"/>
        </w:rPr>
        <w:t> </w:t>
      </w:r>
      <w:r>
        <w:rPr/>
        <w:t>Mexico</w:t>
      </w:r>
      <w:r>
        <w:rPr>
          <w:spacing w:val="-16"/>
        </w:rPr>
        <w:t> </w:t>
      </w:r>
      <w:r>
        <w:rPr/>
        <w:t>(Dusseault</w:t>
      </w:r>
      <w:r>
        <w:rPr>
          <w:spacing w:val="-16"/>
        </w:rPr>
        <w:t> </w:t>
      </w:r>
      <w:r>
        <w:rPr>
          <w:i/>
        </w:rPr>
        <w:t>et</w:t>
      </w:r>
      <w:r>
        <w:rPr>
          <w:i/>
          <w:spacing w:val="-15"/>
        </w:rPr>
        <w:t> </w:t>
      </w:r>
      <w:r>
        <w:rPr>
          <w:i/>
        </w:rPr>
        <w:t>al.</w:t>
      </w:r>
      <w:r>
        <w:rPr/>
        <w:t>,</w:t>
      </w:r>
      <w:r>
        <w:rPr>
          <w:spacing w:val="-16"/>
        </w:rPr>
        <w:t> </w:t>
      </w:r>
      <w:r>
        <w:rPr/>
        <w:t>2004).</w:t>
      </w:r>
      <w:r>
        <w:rPr>
          <w:spacing w:val="-25"/>
        </w:rPr>
        <w:t> </w:t>
      </w:r>
      <w:r>
        <w:rPr/>
        <w:t>A</w:t>
      </w:r>
      <w:r>
        <w:rPr>
          <w:spacing w:val="-25"/>
        </w:rPr>
        <w:t> </w:t>
      </w:r>
      <w:r>
        <w:rPr/>
        <w:t>single</w:t>
      </w:r>
    </w:p>
    <w:p>
      <w:pPr>
        <w:pStyle w:val="BodyText"/>
        <w:spacing w:line="249" w:lineRule="auto" w:before="63"/>
        <w:ind w:left="157" w:right="532"/>
        <w:jc w:val="both"/>
      </w:pPr>
      <w:r>
        <w:rPr/>
        <w:br w:type="column"/>
      </w:r>
      <w:r>
        <w:rPr/>
        <w:t>because</w:t>
      </w:r>
      <w:r>
        <w:rPr>
          <w:spacing w:val="-9"/>
        </w:rPr>
        <w:t> </w:t>
      </w:r>
      <w:r>
        <w:rPr/>
        <w:t>of</w:t>
      </w:r>
      <w:r>
        <w:rPr>
          <w:spacing w:val="-9"/>
        </w:rPr>
        <w:t> </w:t>
      </w:r>
      <w:r>
        <w:rPr/>
        <w:t>the</w:t>
      </w:r>
      <w:r>
        <w:rPr>
          <w:spacing w:val="-9"/>
        </w:rPr>
        <w:t> </w:t>
      </w:r>
      <w:r>
        <w:rPr/>
        <w:t>storage</w:t>
      </w:r>
      <w:r>
        <w:rPr>
          <w:spacing w:val="-8"/>
        </w:rPr>
        <w:t> </w:t>
      </w:r>
      <w:r>
        <w:rPr/>
        <w:t>space</w:t>
      </w:r>
      <w:r>
        <w:rPr>
          <w:spacing w:val="-9"/>
        </w:rPr>
        <w:t> </w:t>
      </w:r>
      <w:r>
        <w:rPr/>
        <w:t>taken</w:t>
      </w:r>
      <w:r>
        <w:rPr>
          <w:spacing w:val="-9"/>
        </w:rPr>
        <w:t> </w:t>
      </w:r>
      <w:r>
        <w:rPr/>
        <w:t>by</w:t>
      </w:r>
      <w:r>
        <w:rPr>
          <w:spacing w:val="-8"/>
        </w:rPr>
        <w:t> </w:t>
      </w:r>
      <w:r>
        <w:rPr/>
        <w:t>these</w:t>
      </w:r>
      <w:r>
        <w:rPr>
          <w:spacing w:val="-9"/>
        </w:rPr>
        <w:t> </w:t>
      </w:r>
      <w:r>
        <w:rPr/>
        <w:t>gases.</w:t>
      </w:r>
      <w:r>
        <w:rPr>
          <w:spacing w:val="-18"/>
        </w:rPr>
        <w:t> </w:t>
      </w:r>
      <w:r>
        <w:rPr/>
        <w:t>Additionally, depending on the type of geological storage, the presence of impurities may have some other specific</w:t>
      </w:r>
      <w:r>
        <w:rPr>
          <w:spacing w:val="-7"/>
        </w:rPr>
        <w:t> </w:t>
      </w:r>
      <w:r>
        <w:rPr/>
        <w:t>effects.</w:t>
      </w:r>
    </w:p>
    <w:p>
      <w:pPr>
        <w:pStyle w:val="BodyText"/>
        <w:spacing w:line="249" w:lineRule="auto" w:before="3"/>
        <w:ind w:left="157" w:right="531" w:firstLine="283"/>
        <w:jc w:val="both"/>
      </w:pPr>
      <w:r>
        <w:rPr/>
        <w:t>In EOR operations, impurities affect the oil recovery because they change the solubility of CO</w:t>
      </w:r>
      <w:r>
        <w:rPr>
          <w:position w:val="-6"/>
          <w:sz w:val="11"/>
        </w:rPr>
        <w:t>2 </w:t>
      </w:r>
      <w:r>
        <w:rPr/>
        <w:t>in oil and the ability</w:t>
      </w:r>
    </w:p>
    <w:p>
      <w:pPr>
        <w:spacing w:after="0" w:line="249" w:lineRule="auto"/>
        <w:jc w:val="both"/>
        <w:sectPr>
          <w:type w:val="continuous"/>
          <w:pgSz w:w="12240" w:h="15840"/>
          <w:pgMar w:top="400" w:bottom="280" w:left="580" w:right="600"/>
          <w:cols w:num="2" w:equalWidth="0">
            <w:col w:w="5241" w:space="85"/>
            <w:col w:w="5734"/>
          </w:cols>
        </w:sectPr>
      </w:pPr>
    </w:p>
    <w:p>
      <w:pPr>
        <w:pStyle w:val="BodyText"/>
        <w:spacing w:line="181" w:lineRule="exact"/>
        <w:ind w:left="157"/>
      </w:pPr>
      <w:r>
        <w:rPr/>
        <w:pict>
          <v:shape style="position:absolute;margin-left:275.551392pt;margin-top:5.841325pt;width:2.9pt;height:5.85pt;mso-position-horizontal-relative:page;mso-position-vertical-relative:paragraph;z-index:-258852864" type="#_x0000_t202" filled="false" stroked="false">
            <v:textbox inset="0,0,0,0">
              <w:txbxContent>
                <w:p>
                  <w:pPr>
                    <w:spacing w:line="111" w:lineRule="exact" w:before="0"/>
                    <w:ind w:left="0" w:right="0" w:firstLine="0"/>
                    <w:jc w:val="left"/>
                    <w:rPr>
                      <w:sz w:val="11"/>
                    </w:rPr>
                  </w:pPr>
                  <w:r>
                    <w:rPr>
                      <w:w w:val="104"/>
                      <w:sz w:val="11"/>
                    </w:rPr>
                    <w:t>2</w:t>
                  </w:r>
                </w:p>
              </w:txbxContent>
            </v:textbox>
            <w10:wrap type="none"/>
          </v:shape>
        </w:pict>
      </w:r>
      <w:r>
        <w:rPr/>
        <w:t>salt cavern can reach more than 500,000 m</w:t>
      </w:r>
      <w:r>
        <w:rPr>
          <w:position w:val="7"/>
          <w:sz w:val="11"/>
        </w:rPr>
        <w:t>3</w:t>
      </w:r>
      <w:r>
        <w:rPr/>
        <w:t>. Storage of CO in</w:t>
      </w:r>
    </w:p>
    <w:p>
      <w:pPr>
        <w:spacing w:line="175" w:lineRule="auto" w:before="0"/>
        <w:ind w:left="157" w:right="0" w:firstLine="0"/>
        <w:jc w:val="left"/>
        <w:rPr>
          <w:sz w:val="11"/>
        </w:rPr>
      </w:pPr>
      <w:r>
        <w:rPr/>
        <w:br w:type="column"/>
      </w:r>
      <w:r>
        <w:rPr>
          <w:sz w:val="20"/>
        </w:rPr>
        <w:t>of CO</w:t>
      </w:r>
      <w:r>
        <w:rPr>
          <w:position w:val="-6"/>
          <w:sz w:val="11"/>
        </w:rPr>
        <w:t>2</w:t>
      </w:r>
    </w:p>
    <w:p>
      <w:pPr>
        <w:pStyle w:val="BodyText"/>
        <w:spacing w:line="181" w:lineRule="exact"/>
        <w:ind w:left="19"/>
      </w:pPr>
      <w:r>
        <w:rPr/>
        <w:br w:type="column"/>
      </w:r>
      <w:r>
        <w:rPr/>
        <w:t>to vaporize oil components (Metcalfe, 1982). Methane</w:t>
      </w:r>
    </w:p>
    <w:p>
      <w:pPr>
        <w:spacing w:after="0" w:line="181" w:lineRule="exact"/>
        <w:sectPr>
          <w:type w:val="continuous"/>
          <w:pgSz w:w="12240" w:h="15840"/>
          <w:pgMar w:top="400" w:bottom="280" w:left="580" w:right="600"/>
          <w:cols w:num="3" w:equalWidth="0">
            <w:col w:w="5240" w:space="86"/>
            <w:col w:w="720" w:space="40"/>
            <w:col w:w="4974"/>
          </w:cols>
        </w:sectPr>
      </w:pPr>
    </w:p>
    <w:p>
      <w:pPr>
        <w:pStyle w:val="BodyText"/>
        <w:spacing w:line="200" w:lineRule="exact"/>
        <w:ind w:left="157"/>
        <w:jc w:val="both"/>
      </w:pPr>
      <w:bookmarkStart w:name="5.3.7 Geographical distribution and stor" w:id="54"/>
      <w:bookmarkEnd w:id="54"/>
      <w:r>
        <w:rPr/>
      </w:r>
      <w:r>
        <w:rPr/>
        <w:t>salt</w:t>
      </w:r>
      <w:r>
        <w:rPr>
          <w:spacing w:val="-8"/>
        </w:rPr>
        <w:t> </w:t>
      </w:r>
      <w:r>
        <w:rPr/>
        <w:t>caverns</w:t>
      </w:r>
      <w:r>
        <w:rPr>
          <w:spacing w:val="-8"/>
        </w:rPr>
        <w:t> </w:t>
      </w:r>
      <w:r>
        <w:rPr/>
        <w:t>differs</w:t>
      </w:r>
      <w:r>
        <w:rPr>
          <w:spacing w:val="-7"/>
        </w:rPr>
        <w:t> </w:t>
      </w:r>
      <w:r>
        <w:rPr/>
        <w:t>from</w:t>
      </w:r>
      <w:r>
        <w:rPr>
          <w:spacing w:val="-7"/>
        </w:rPr>
        <w:t> </w:t>
      </w:r>
      <w:r>
        <w:rPr/>
        <w:t>natural</w:t>
      </w:r>
      <w:r>
        <w:rPr>
          <w:spacing w:val="-8"/>
        </w:rPr>
        <w:t> </w:t>
      </w:r>
      <w:r>
        <w:rPr/>
        <w:t>gas</w:t>
      </w:r>
      <w:r>
        <w:rPr>
          <w:spacing w:val="-7"/>
        </w:rPr>
        <w:t> </w:t>
      </w:r>
      <w:r>
        <w:rPr/>
        <w:t>and</w:t>
      </w:r>
      <w:r>
        <w:rPr>
          <w:spacing w:val="-7"/>
        </w:rPr>
        <w:t> </w:t>
      </w:r>
      <w:r>
        <w:rPr/>
        <w:t>compressed</w:t>
      </w:r>
      <w:r>
        <w:rPr>
          <w:spacing w:val="-7"/>
        </w:rPr>
        <w:t> </w:t>
      </w:r>
      <w:r>
        <w:rPr/>
        <w:t>air</w:t>
      </w:r>
      <w:r>
        <w:rPr>
          <w:spacing w:val="-8"/>
        </w:rPr>
        <w:t> </w:t>
      </w:r>
      <w:r>
        <w:rPr/>
        <w:t>storage</w:t>
      </w:r>
    </w:p>
    <w:p>
      <w:pPr>
        <w:pStyle w:val="BodyText"/>
        <w:spacing w:line="240" w:lineRule="exact" w:before="4"/>
        <w:ind w:left="157" w:right="38"/>
        <w:jc w:val="both"/>
      </w:pPr>
      <w:r>
        <w:rPr/>
        <w:t>because</w:t>
      </w:r>
      <w:r>
        <w:rPr>
          <w:spacing w:val="-6"/>
        </w:rPr>
        <w:t> </w:t>
      </w:r>
      <w:r>
        <w:rPr/>
        <w:t>in</w:t>
      </w:r>
      <w:r>
        <w:rPr>
          <w:spacing w:val="-5"/>
        </w:rPr>
        <w:t> </w:t>
      </w:r>
      <w:r>
        <w:rPr/>
        <w:t>the</w:t>
      </w:r>
      <w:r>
        <w:rPr>
          <w:spacing w:val="-5"/>
        </w:rPr>
        <w:t> </w:t>
      </w:r>
      <w:r>
        <w:rPr/>
        <w:t>latter</w:t>
      </w:r>
      <w:r>
        <w:rPr>
          <w:spacing w:val="-5"/>
        </w:rPr>
        <w:t> </w:t>
      </w:r>
      <w:r>
        <w:rPr/>
        <w:t>case,</w:t>
      </w:r>
      <w:r>
        <w:rPr>
          <w:spacing w:val="-5"/>
        </w:rPr>
        <w:t> </w:t>
      </w:r>
      <w:r>
        <w:rPr/>
        <w:t>the</w:t>
      </w:r>
      <w:r>
        <w:rPr>
          <w:spacing w:val="-5"/>
        </w:rPr>
        <w:t> </w:t>
      </w:r>
      <w:r>
        <w:rPr/>
        <w:t>caverns</w:t>
      </w:r>
      <w:r>
        <w:rPr>
          <w:spacing w:val="-5"/>
        </w:rPr>
        <w:t> </w:t>
      </w:r>
      <w:r>
        <w:rPr/>
        <w:t>are</w:t>
      </w:r>
      <w:r>
        <w:rPr>
          <w:spacing w:val="-6"/>
        </w:rPr>
        <w:t> </w:t>
      </w:r>
      <w:r>
        <w:rPr/>
        <w:t>cyclically</w:t>
      </w:r>
      <w:r>
        <w:rPr>
          <w:spacing w:val="-5"/>
        </w:rPr>
        <w:t> </w:t>
      </w:r>
      <w:r>
        <w:rPr/>
        <w:t>pressurized and depressurized on a daily-to-annual time scale, whereas CO</w:t>
      </w:r>
      <w:r>
        <w:rPr>
          <w:position w:val="-6"/>
          <w:sz w:val="11"/>
        </w:rPr>
        <w:t>2 </w:t>
      </w:r>
      <w:r>
        <w:rPr/>
        <w:t>storage must be effective on a centuries-to-millennia time scale.</w:t>
      </w:r>
      <w:r>
        <w:rPr>
          <w:spacing w:val="-5"/>
        </w:rPr>
        <w:t> </w:t>
      </w:r>
      <w:r>
        <w:rPr/>
        <w:t>Owing</w:t>
      </w:r>
      <w:r>
        <w:rPr>
          <w:spacing w:val="-5"/>
        </w:rPr>
        <w:t> </w:t>
      </w:r>
      <w:r>
        <w:rPr/>
        <w:t>to</w:t>
      </w:r>
      <w:r>
        <w:rPr>
          <w:spacing w:val="-5"/>
        </w:rPr>
        <w:t> </w:t>
      </w:r>
      <w:r>
        <w:rPr/>
        <w:t>the</w:t>
      </w:r>
      <w:r>
        <w:rPr>
          <w:spacing w:val="-4"/>
        </w:rPr>
        <w:t> </w:t>
      </w:r>
      <w:r>
        <w:rPr/>
        <w:t>creep</w:t>
      </w:r>
      <w:r>
        <w:rPr>
          <w:spacing w:val="-5"/>
        </w:rPr>
        <w:t> </w:t>
      </w:r>
      <w:r>
        <w:rPr/>
        <w:t>properties</w:t>
      </w:r>
      <w:r>
        <w:rPr>
          <w:spacing w:val="-5"/>
        </w:rPr>
        <w:t> </w:t>
      </w:r>
      <w:r>
        <w:rPr/>
        <w:t>of</w:t>
      </w:r>
      <w:r>
        <w:rPr>
          <w:spacing w:val="-4"/>
        </w:rPr>
        <w:t> </w:t>
      </w:r>
      <w:r>
        <w:rPr/>
        <w:t>salt,</w:t>
      </w:r>
      <w:r>
        <w:rPr>
          <w:spacing w:val="-5"/>
        </w:rPr>
        <w:t> </w:t>
      </w:r>
      <w:r>
        <w:rPr/>
        <w:t>a</w:t>
      </w:r>
      <w:r>
        <w:rPr>
          <w:spacing w:val="-5"/>
        </w:rPr>
        <w:t> </w:t>
      </w:r>
      <w:r>
        <w:rPr/>
        <w:t>cavern</w:t>
      </w:r>
      <w:r>
        <w:rPr>
          <w:spacing w:val="-5"/>
        </w:rPr>
        <w:t> </w:t>
      </w:r>
      <w:r>
        <w:rPr/>
        <w:t>filled</w:t>
      </w:r>
      <w:r>
        <w:rPr>
          <w:spacing w:val="-4"/>
        </w:rPr>
        <w:t> </w:t>
      </w:r>
      <w:r>
        <w:rPr/>
        <w:t>with supercritical CO</w:t>
      </w:r>
      <w:r>
        <w:rPr>
          <w:position w:val="-6"/>
          <w:sz w:val="11"/>
        </w:rPr>
        <w:t>2 </w:t>
      </w:r>
      <w:r>
        <w:rPr/>
        <w:t>will decrease in volume, until the pressure inside the cavern equalizes the external stress in the salt bed (Bachu and Dusseault, 2005). Although a single cavern 100 m in diameter may hold only about 0.5 Mt of high density </w:t>
      </w:r>
      <w:r>
        <w:rPr>
          <w:spacing w:val="-4"/>
        </w:rPr>
        <w:t>CO</w:t>
      </w:r>
      <w:r>
        <w:rPr>
          <w:spacing w:val="-4"/>
          <w:position w:val="-6"/>
          <w:sz w:val="11"/>
        </w:rPr>
        <w:t>2</w:t>
      </w:r>
      <w:r>
        <w:rPr>
          <w:spacing w:val="-4"/>
        </w:rPr>
        <w:t>, </w:t>
      </w:r>
      <w:r>
        <w:rPr/>
        <w:t>arrays of caverns could be built for large-scale storage. Cavern sealing</w:t>
      </w:r>
      <w:r>
        <w:rPr>
          <w:spacing w:val="-18"/>
        </w:rPr>
        <w:t> </w:t>
      </w:r>
      <w:r>
        <w:rPr/>
        <w:t>is</w:t>
      </w:r>
      <w:r>
        <w:rPr>
          <w:spacing w:val="-18"/>
        </w:rPr>
        <w:t> </w:t>
      </w:r>
      <w:r>
        <w:rPr/>
        <w:t>important</w:t>
      </w:r>
      <w:r>
        <w:rPr>
          <w:spacing w:val="-18"/>
        </w:rPr>
        <w:t> </w:t>
      </w:r>
      <w:r>
        <w:rPr/>
        <w:t>in</w:t>
      </w:r>
      <w:r>
        <w:rPr>
          <w:spacing w:val="-17"/>
        </w:rPr>
        <w:t> </w:t>
      </w:r>
      <w:r>
        <w:rPr/>
        <w:t>preventing</w:t>
      </w:r>
      <w:r>
        <w:rPr>
          <w:spacing w:val="-18"/>
        </w:rPr>
        <w:t> </w:t>
      </w:r>
      <w:r>
        <w:rPr/>
        <w:t>leakage</w:t>
      </w:r>
      <w:r>
        <w:rPr>
          <w:spacing w:val="-18"/>
        </w:rPr>
        <w:t> </w:t>
      </w:r>
      <w:r>
        <w:rPr/>
        <w:t>and</w:t>
      </w:r>
      <w:r>
        <w:rPr>
          <w:spacing w:val="-17"/>
        </w:rPr>
        <w:t> </w:t>
      </w:r>
      <w:r>
        <w:rPr/>
        <w:t>collapse</w:t>
      </w:r>
      <w:r>
        <w:rPr>
          <w:spacing w:val="-18"/>
        </w:rPr>
        <w:t> </w:t>
      </w:r>
      <w:r>
        <w:rPr/>
        <w:t>of</w:t>
      </w:r>
      <w:r>
        <w:rPr>
          <w:spacing w:val="-18"/>
        </w:rPr>
        <w:t> </w:t>
      </w:r>
      <w:r>
        <w:rPr/>
        <w:t>cavern roofs,</w:t>
      </w:r>
      <w:r>
        <w:rPr>
          <w:spacing w:val="-17"/>
        </w:rPr>
        <w:t> </w:t>
      </w:r>
      <w:r>
        <w:rPr/>
        <w:t>which</w:t>
      </w:r>
      <w:r>
        <w:rPr>
          <w:spacing w:val="-17"/>
        </w:rPr>
        <w:t> </w:t>
      </w:r>
      <w:r>
        <w:rPr/>
        <w:t>could</w:t>
      </w:r>
      <w:r>
        <w:rPr>
          <w:spacing w:val="-17"/>
        </w:rPr>
        <w:t> </w:t>
      </w:r>
      <w:r>
        <w:rPr/>
        <w:t>release</w:t>
      </w:r>
      <w:r>
        <w:rPr>
          <w:spacing w:val="-18"/>
        </w:rPr>
        <w:t> </w:t>
      </w:r>
      <w:r>
        <w:rPr/>
        <w:t>large</w:t>
      </w:r>
      <w:r>
        <w:rPr>
          <w:spacing w:val="-16"/>
        </w:rPr>
        <w:t> </w:t>
      </w:r>
      <w:r>
        <w:rPr/>
        <w:t>quantities</w:t>
      </w:r>
      <w:r>
        <w:rPr>
          <w:spacing w:val="-17"/>
        </w:rPr>
        <w:t> </w:t>
      </w:r>
      <w:r>
        <w:rPr/>
        <w:t>of</w:t>
      </w:r>
      <w:r>
        <w:rPr>
          <w:spacing w:val="-17"/>
        </w:rPr>
        <w:t> </w:t>
      </w:r>
      <w:r>
        <w:rPr/>
        <w:t>gas</w:t>
      </w:r>
      <w:r>
        <w:rPr>
          <w:spacing w:val="-16"/>
        </w:rPr>
        <w:t> </w:t>
      </w:r>
      <w:r>
        <w:rPr/>
        <w:t>(Katzung</w:t>
      </w:r>
      <w:r>
        <w:rPr>
          <w:spacing w:val="-16"/>
        </w:rPr>
        <w:t> </w:t>
      </w:r>
      <w:r>
        <w:rPr>
          <w:i/>
        </w:rPr>
        <w:t>et</w:t>
      </w:r>
      <w:r>
        <w:rPr>
          <w:i/>
          <w:spacing w:val="-18"/>
        </w:rPr>
        <w:t> </w:t>
      </w:r>
      <w:r>
        <w:rPr>
          <w:i/>
        </w:rPr>
        <w:t>al.</w:t>
      </w:r>
      <w:r>
        <w:rPr/>
        <w:t>, 1996). Advantages of CO</w:t>
      </w:r>
      <w:r>
        <w:rPr>
          <w:position w:val="-6"/>
          <w:sz w:val="11"/>
        </w:rPr>
        <w:t>2  </w:t>
      </w:r>
      <w:r>
        <w:rPr/>
        <w:t>storage in salt caverns include</w:t>
      </w:r>
      <w:r>
        <w:rPr>
          <w:spacing w:val="41"/>
        </w:rPr>
        <w:t> </w:t>
      </w:r>
      <w:r>
        <w:rPr/>
        <w:t>high</w:t>
      </w:r>
    </w:p>
    <w:p>
      <w:pPr>
        <w:pStyle w:val="BodyText"/>
        <w:spacing w:line="200" w:lineRule="exact"/>
        <w:ind w:left="157"/>
        <w:jc w:val="both"/>
      </w:pPr>
      <w:r>
        <w:rPr/>
        <w:br w:type="column"/>
      </w:r>
      <w:r>
        <w:rPr/>
        <w:t>and nitrogen decrease oil recovery, whereas hydrogen sulphide,</w:t>
      </w:r>
    </w:p>
    <w:p>
      <w:pPr>
        <w:pStyle w:val="BodyText"/>
        <w:spacing w:line="240" w:lineRule="exact" w:before="4"/>
        <w:ind w:left="157" w:right="531"/>
        <w:jc w:val="both"/>
      </w:pPr>
      <w:r>
        <w:rPr/>
        <w:t>propane and heavier hydrocarbons have the opposite </w:t>
      </w:r>
      <w:r>
        <w:rPr>
          <w:spacing w:val="-4"/>
        </w:rPr>
        <w:t>effect </w:t>
      </w:r>
      <w:r>
        <w:rPr/>
        <w:t>(Alston </w:t>
      </w:r>
      <w:r>
        <w:rPr>
          <w:i/>
        </w:rPr>
        <w:t>et al.</w:t>
      </w:r>
      <w:r>
        <w:rPr/>
        <w:t>, 1985; Sebastian </w:t>
      </w:r>
      <w:r>
        <w:rPr>
          <w:i/>
        </w:rPr>
        <w:t>et al.</w:t>
      </w:r>
      <w:r>
        <w:rPr/>
        <w:t>, 1985). The presence of SO</w:t>
      </w:r>
      <w:r>
        <w:rPr>
          <w:position w:val="-6"/>
          <w:sz w:val="11"/>
        </w:rPr>
        <w:t>x </w:t>
      </w:r>
      <w:r>
        <w:rPr/>
        <w:t>may improve oil recovery, whereas the presence of NO</w:t>
      </w:r>
      <w:r>
        <w:rPr>
          <w:position w:val="-6"/>
          <w:sz w:val="11"/>
        </w:rPr>
        <w:t>x </w:t>
      </w:r>
      <w:r>
        <w:rPr/>
        <w:t>can retard miscibility and thus reduce oil recovery (Bryant  and Lake, 2005) and O</w:t>
      </w:r>
      <w:r>
        <w:rPr>
          <w:position w:val="-6"/>
          <w:sz w:val="11"/>
        </w:rPr>
        <w:t>2 </w:t>
      </w:r>
      <w:r>
        <w:rPr/>
        <w:t>can react exothermally with oil in the reservoir.</w:t>
      </w:r>
    </w:p>
    <w:p>
      <w:pPr>
        <w:pStyle w:val="BodyText"/>
        <w:spacing w:line="240" w:lineRule="exact"/>
        <w:ind w:left="157" w:right="530" w:firstLine="283"/>
        <w:jc w:val="both"/>
      </w:pPr>
      <w:r>
        <w:rPr/>
        <w:t>In the case of CO</w:t>
      </w:r>
      <w:r>
        <w:rPr>
          <w:position w:val="-6"/>
          <w:sz w:val="11"/>
        </w:rPr>
        <w:t>2 </w:t>
      </w:r>
      <w:r>
        <w:rPr/>
        <w:t>storage in deep saline formations, the presence of gas impurities affects the rate and amount of CO</w:t>
      </w:r>
      <w:r>
        <w:rPr>
          <w:position w:val="-6"/>
          <w:sz w:val="11"/>
        </w:rPr>
        <w:t>2 </w:t>
      </w:r>
      <w:r>
        <w:rPr/>
        <w:t>storage through dissolution and precipitation. Additionally, leaching of heavy metals from the minerals in the rock matrix by SO</w:t>
      </w:r>
      <w:r>
        <w:rPr>
          <w:position w:val="-6"/>
          <w:sz w:val="11"/>
        </w:rPr>
        <w:t>2 </w:t>
      </w:r>
      <w:r>
        <w:rPr/>
        <w:t>or O</w:t>
      </w:r>
      <w:r>
        <w:rPr>
          <w:position w:val="-6"/>
          <w:sz w:val="11"/>
        </w:rPr>
        <w:t>2 </w:t>
      </w:r>
      <w:r>
        <w:rPr/>
        <w:t>contaminants is possible. Experience to date with acid gas injection (Section 5.2.4.2) suggests that the effect of</w:t>
      </w:r>
    </w:p>
    <w:p>
      <w:pPr>
        <w:spacing w:after="0" w:line="240" w:lineRule="exact"/>
        <w:jc w:val="both"/>
        <w:sectPr>
          <w:type w:val="continuous"/>
          <w:pgSz w:w="12240" w:h="15840"/>
          <w:pgMar w:top="400" w:bottom="280" w:left="580" w:right="600"/>
          <w:cols w:num="2" w:equalWidth="0">
            <w:col w:w="5242" w:space="84"/>
            <w:col w:w="5734"/>
          </w:cols>
        </w:sectPr>
      </w:pPr>
    </w:p>
    <w:p>
      <w:pPr>
        <w:pStyle w:val="BodyText"/>
        <w:spacing w:line="277" w:lineRule="exact" w:before="6"/>
        <w:ind w:left="157"/>
        <w:rPr>
          <w:sz w:val="11"/>
        </w:rPr>
      </w:pPr>
      <w:r>
        <w:rPr/>
        <w:t>capacity per unit volume (kgCO</w:t>
      </w:r>
      <w:r>
        <w:rPr>
          <w:position w:val="-6"/>
          <w:sz w:val="11"/>
        </w:rPr>
        <w:t>2</w:t>
      </w:r>
    </w:p>
    <w:p>
      <w:pPr>
        <w:pStyle w:val="BodyText"/>
        <w:spacing w:before="6"/>
        <w:ind w:left="20"/>
      </w:pPr>
      <w:r>
        <w:rPr/>
        <w:br w:type="column"/>
      </w:r>
      <w:r>
        <w:rPr/>
        <w:t>m</w:t>
      </w:r>
      <w:r>
        <w:rPr>
          <w:position w:val="7"/>
          <w:sz w:val="11"/>
        </w:rPr>
        <w:t>–3</w:t>
      </w:r>
      <w:r>
        <w:rPr/>
        <w:t>), efficiency and injection</w:t>
      </w:r>
    </w:p>
    <w:p>
      <w:pPr>
        <w:pStyle w:val="BodyText"/>
        <w:spacing w:before="6"/>
        <w:ind w:left="157"/>
      </w:pPr>
      <w:r>
        <w:rPr/>
        <w:br w:type="column"/>
      </w:r>
      <w:r>
        <w:rPr/>
        <w:t>impurities is not significant, although Knauss </w:t>
      </w:r>
      <w:r>
        <w:rPr>
          <w:i/>
        </w:rPr>
        <w:t>et al. </w:t>
      </w:r>
      <w:r>
        <w:rPr/>
        <w:t>(2005)</w:t>
      </w:r>
    </w:p>
    <w:p>
      <w:pPr>
        <w:spacing w:after="0"/>
        <w:sectPr>
          <w:type w:val="continuous"/>
          <w:pgSz w:w="12240" w:h="15840"/>
          <w:pgMar w:top="400" w:bottom="280" w:left="580" w:right="600"/>
          <w:cols w:num="3" w:equalWidth="0">
            <w:col w:w="2812" w:space="40"/>
            <w:col w:w="2390" w:space="85"/>
            <w:col w:w="5733"/>
          </w:cols>
        </w:sectPr>
      </w:pPr>
    </w:p>
    <w:p>
      <w:pPr>
        <w:pStyle w:val="BodyText"/>
        <w:spacing w:line="187" w:lineRule="auto"/>
        <w:ind w:left="157"/>
        <w:jc w:val="both"/>
      </w:pPr>
      <w:r>
        <w:rPr/>
        <w:t>flow</w:t>
      </w:r>
      <w:r>
        <w:rPr>
          <w:spacing w:val="24"/>
        </w:rPr>
        <w:t> </w:t>
      </w:r>
      <w:r>
        <w:rPr/>
        <w:t>rate.</w:t>
      </w:r>
      <w:r>
        <w:rPr>
          <w:spacing w:val="25"/>
        </w:rPr>
        <w:t> </w:t>
      </w:r>
      <w:r>
        <w:rPr/>
        <w:t>Disadvantages</w:t>
      </w:r>
      <w:r>
        <w:rPr>
          <w:spacing w:val="25"/>
        </w:rPr>
        <w:t> </w:t>
      </w:r>
      <w:r>
        <w:rPr/>
        <w:t>are</w:t>
      </w:r>
      <w:r>
        <w:rPr>
          <w:spacing w:val="25"/>
        </w:rPr>
        <w:t> </w:t>
      </w:r>
      <w:r>
        <w:rPr/>
        <w:t>the</w:t>
      </w:r>
      <w:r>
        <w:rPr>
          <w:spacing w:val="24"/>
        </w:rPr>
        <w:t> </w:t>
      </w:r>
      <w:r>
        <w:rPr/>
        <w:t>potential</w:t>
      </w:r>
      <w:r>
        <w:rPr>
          <w:spacing w:val="25"/>
        </w:rPr>
        <w:t> </w:t>
      </w:r>
      <w:r>
        <w:rPr/>
        <w:t>for</w:t>
      </w:r>
      <w:r>
        <w:rPr>
          <w:spacing w:val="25"/>
        </w:rPr>
        <w:t> </w:t>
      </w:r>
      <w:r>
        <w:rPr/>
        <w:t>CO</w:t>
      </w:r>
      <w:r>
        <w:rPr>
          <w:position w:val="-6"/>
          <w:sz w:val="11"/>
        </w:rPr>
        <w:t>2 </w:t>
      </w:r>
      <w:r>
        <w:rPr>
          <w:spacing w:val="20"/>
          <w:position w:val="-6"/>
          <w:sz w:val="11"/>
        </w:rPr>
        <w:t> </w:t>
      </w:r>
      <w:r>
        <w:rPr/>
        <w:t>release</w:t>
      </w:r>
      <w:r>
        <w:rPr>
          <w:spacing w:val="25"/>
        </w:rPr>
        <w:t> </w:t>
      </w:r>
      <w:r>
        <w:rPr/>
        <w:t>in</w:t>
      </w:r>
    </w:p>
    <w:p>
      <w:pPr>
        <w:pStyle w:val="BodyText"/>
        <w:spacing w:line="210" w:lineRule="exact"/>
        <w:ind w:left="157"/>
        <w:jc w:val="both"/>
      </w:pPr>
      <w:r>
        <w:rPr/>
        <w:t>the case of system failure, the relatively small capacity of</w:t>
      </w:r>
      <w:r>
        <w:rPr>
          <w:spacing w:val="-9"/>
        </w:rPr>
        <w:t> </w:t>
      </w:r>
      <w:r>
        <w:rPr/>
        <w:t>most</w:t>
      </w:r>
    </w:p>
    <w:p>
      <w:pPr>
        <w:pStyle w:val="BodyText"/>
        <w:spacing w:line="240" w:lineRule="exact"/>
        <w:ind w:left="157" w:right="38"/>
        <w:jc w:val="both"/>
      </w:pPr>
      <w:r>
        <w:rPr/>
        <w:t>individual</w:t>
      </w:r>
      <w:r>
        <w:rPr>
          <w:spacing w:val="-16"/>
        </w:rPr>
        <w:t> </w:t>
      </w:r>
      <w:r>
        <w:rPr/>
        <w:t>caverns</w:t>
      </w:r>
      <w:r>
        <w:rPr>
          <w:spacing w:val="-15"/>
        </w:rPr>
        <w:t> </w:t>
      </w:r>
      <w:r>
        <w:rPr/>
        <w:t>and</w:t>
      </w:r>
      <w:r>
        <w:rPr>
          <w:spacing w:val="-15"/>
        </w:rPr>
        <w:t> </w:t>
      </w:r>
      <w:r>
        <w:rPr/>
        <w:t>the</w:t>
      </w:r>
      <w:r>
        <w:rPr>
          <w:spacing w:val="-16"/>
        </w:rPr>
        <w:t> </w:t>
      </w:r>
      <w:r>
        <w:rPr/>
        <w:t>environmental</w:t>
      </w:r>
      <w:r>
        <w:rPr>
          <w:spacing w:val="-15"/>
        </w:rPr>
        <w:t> </w:t>
      </w:r>
      <w:r>
        <w:rPr/>
        <w:t>problems</w:t>
      </w:r>
      <w:r>
        <w:rPr>
          <w:spacing w:val="-15"/>
        </w:rPr>
        <w:t> </w:t>
      </w:r>
      <w:r>
        <w:rPr/>
        <w:t>of</w:t>
      </w:r>
      <w:r>
        <w:rPr>
          <w:spacing w:val="-15"/>
        </w:rPr>
        <w:t> </w:t>
      </w:r>
      <w:r>
        <w:rPr/>
        <w:t>disposing of</w:t>
      </w:r>
      <w:r>
        <w:rPr>
          <w:spacing w:val="-10"/>
        </w:rPr>
        <w:t> </w:t>
      </w:r>
      <w:r>
        <w:rPr/>
        <w:t>brine</w:t>
      </w:r>
      <w:r>
        <w:rPr>
          <w:spacing w:val="-11"/>
        </w:rPr>
        <w:t> </w:t>
      </w:r>
      <w:r>
        <w:rPr/>
        <w:t>from</w:t>
      </w:r>
      <w:r>
        <w:rPr>
          <w:spacing w:val="-10"/>
        </w:rPr>
        <w:t> </w:t>
      </w:r>
      <w:r>
        <w:rPr/>
        <w:t>a</w:t>
      </w:r>
      <w:r>
        <w:rPr>
          <w:spacing w:val="-10"/>
        </w:rPr>
        <w:t> </w:t>
      </w:r>
      <w:r>
        <w:rPr/>
        <w:t>solution</w:t>
      </w:r>
      <w:r>
        <w:rPr>
          <w:spacing w:val="-10"/>
        </w:rPr>
        <w:t> </w:t>
      </w:r>
      <w:r>
        <w:rPr/>
        <w:t>cavity.</w:t>
      </w:r>
      <w:r>
        <w:rPr>
          <w:spacing w:val="-10"/>
        </w:rPr>
        <w:t> </w:t>
      </w:r>
      <w:r>
        <w:rPr/>
        <w:t>Salt</w:t>
      </w:r>
      <w:r>
        <w:rPr>
          <w:spacing w:val="-10"/>
        </w:rPr>
        <w:t> </w:t>
      </w:r>
      <w:r>
        <w:rPr/>
        <w:t>caverns</w:t>
      </w:r>
      <w:r>
        <w:rPr>
          <w:spacing w:val="-10"/>
        </w:rPr>
        <w:t> </w:t>
      </w:r>
      <w:r>
        <w:rPr/>
        <w:t>can</w:t>
      </w:r>
      <w:r>
        <w:rPr>
          <w:spacing w:val="-10"/>
        </w:rPr>
        <w:t> </w:t>
      </w:r>
      <w:r>
        <w:rPr/>
        <w:t>also</w:t>
      </w:r>
      <w:r>
        <w:rPr>
          <w:spacing w:val="-9"/>
        </w:rPr>
        <w:t> </w:t>
      </w:r>
      <w:r>
        <w:rPr/>
        <w:t>be</w:t>
      </w:r>
      <w:r>
        <w:rPr>
          <w:spacing w:val="-11"/>
        </w:rPr>
        <w:t> </w:t>
      </w:r>
      <w:r>
        <w:rPr/>
        <w:t>used</w:t>
      </w:r>
      <w:r>
        <w:rPr>
          <w:spacing w:val="-9"/>
        </w:rPr>
        <w:t> </w:t>
      </w:r>
      <w:r>
        <w:rPr/>
        <w:t>for temporary storage of CO</w:t>
      </w:r>
      <w:r>
        <w:rPr>
          <w:position w:val="-6"/>
          <w:sz w:val="11"/>
        </w:rPr>
        <w:t>2 </w:t>
      </w:r>
      <w:r>
        <w:rPr/>
        <w:t>in collector and distributor systems between sources and sinks of</w:t>
      </w:r>
      <w:r>
        <w:rPr>
          <w:spacing w:val="-9"/>
        </w:rPr>
        <w:t> </w:t>
      </w:r>
      <w:r>
        <w:rPr/>
        <w:t>CO</w:t>
      </w:r>
      <w:r>
        <w:rPr>
          <w:position w:val="-6"/>
          <w:sz w:val="11"/>
        </w:rPr>
        <w:t>2</w:t>
      </w:r>
      <w:r>
        <w:rPr/>
        <w:t>.</w:t>
      </w:r>
    </w:p>
    <w:p>
      <w:pPr>
        <w:pStyle w:val="BodyText"/>
        <w:spacing w:before="1"/>
        <w:rPr>
          <w:sz w:val="21"/>
        </w:rPr>
      </w:pPr>
    </w:p>
    <w:p>
      <w:pPr>
        <w:pStyle w:val="ListParagraph"/>
        <w:numPr>
          <w:ilvl w:val="3"/>
          <w:numId w:val="4"/>
        </w:numPr>
        <w:tabs>
          <w:tab w:pos="977" w:val="left" w:leader="none"/>
        </w:tabs>
        <w:spacing w:line="240" w:lineRule="auto" w:before="1" w:after="0"/>
        <w:ind w:left="977" w:right="0" w:hanging="820"/>
        <w:jc w:val="both"/>
        <w:rPr>
          <w:i/>
          <w:sz w:val="20"/>
        </w:rPr>
      </w:pPr>
      <w:r>
        <w:rPr>
          <w:i/>
          <w:sz w:val="20"/>
        </w:rPr>
        <w:t>Abandoned</w:t>
      </w:r>
      <w:r>
        <w:rPr>
          <w:i/>
          <w:spacing w:val="-1"/>
          <w:sz w:val="20"/>
        </w:rPr>
        <w:t> </w:t>
      </w:r>
      <w:r>
        <w:rPr>
          <w:i/>
          <w:sz w:val="20"/>
        </w:rPr>
        <w:t>mines</w:t>
      </w:r>
    </w:p>
    <w:p>
      <w:pPr>
        <w:pStyle w:val="BodyText"/>
        <w:spacing w:line="240" w:lineRule="exact" w:before="4"/>
        <w:ind w:left="157" w:right="39"/>
        <w:jc w:val="both"/>
      </w:pPr>
      <w:r>
        <w:rPr/>
        <w:t>The suitability of mines for CO</w:t>
      </w:r>
      <w:r>
        <w:rPr>
          <w:position w:val="-6"/>
          <w:sz w:val="11"/>
        </w:rPr>
        <w:t>2 </w:t>
      </w:r>
      <w:r>
        <w:rPr/>
        <w:t>storage depends on the nature and sealing capacity of the rock in which mining occurs. Heavily fractured rock, typical of igneous and metamorphic terrains, would be difficult to seal. Mines in sedimentary rocks may offer some CO</w:t>
      </w:r>
      <w:r>
        <w:rPr>
          <w:position w:val="-6"/>
          <w:sz w:val="11"/>
        </w:rPr>
        <w:t>2</w:t>
      </w:r>
      <w:r>
        <w:rPr/>
        <w:t>-storage opportunities (e.g., potash </w:t>
      </w:r>
      <w:r>
        <w:rPr>
          <w:spacing w:val="-4"/>
        </w:rPr>
        <w:t>and </w:t>
      </w:r>
      <w:r>
        <w:rPr/>
        <w:t>salt mines or stratabound lead and zinc deposits). Abandoned coal mines offer the opportunity to store CO</w:t>
      </w:r>
      <w:r>
        <w:rPr>
          <w:position w:val="-6"/>
          <w:sz w:val="11"/>
        </w:rPr>
        <w:t>2</w:t>
      </w:r>
      <w:r>
        <w:rPr/>
        <w:t>, with the added benefit of adsorption of CO</w:t>
      </w:r>
      <w:r>
        <w:rPr>
          <w:position w:val="-6"/>
          <w:sz w:val="11"/>
        </w:rPr>
        <w:t>2 </w:t>
      </w:r>
      <w:r>
        <w:rPr/>
        <w:t>onto coal remaining in the mined- out area (Piessens and </w:t>
      </w:r>
      <w:r>
        <w:rPr>
          <w:spacing w:val="-2"/>
        </w:rPr>
        <w:t>Dusar, </w:t>
      </w:r>
      <w:r>
        <w:rPr/>
        <w:t>2004). However, the rocks above coal mines are strongly  fractured,  which  increases  the</w:t>
      </w:r>
      <w:r>
        <w:rPr>
          <w:spacing w:val="31"/>
        </w:rPr>
        <w:t> </w:t>
      </w:r>
      <w:r>
        <w:rPr/>
        <w:t>risk of gas leakage. In addition, long-term, safe, high-pressure, CO</w:t>
      </w:r>
      <w:r>
        <w:rPr>
          <w:position w:val="-6"/>
          <w:sz w:val="11"/>
        </w:rPr>
        <w:t>2</w:t>
      </w:r>
      <w:r>
        <w:rPr/>
        <w:t>-resistant shaft seals have not been developed and</w:t>
      </w:r>
      <w:r>
        <w:rPr>
          <w:spacing w:val="29"/>
        </w:rPr>
        <w:t> </w:t>
      </w:r>
      <w:r>
        <w:rPr/>
        <w:t>any shaft failure could result in release of large quantities of CO</w:t>
      </w:r>
      <w:r>
        <w:rPr>
          <w:position w:val="-6"/>
          <w:sz w:val="11"/>
        </w:rPr>
        <w:t>2</w:t>
      </w:r>
      <w:r>
        <w:rPr/>
        <w:t>. Nevertheless, in Colorado, USA, there is a natural gas storage facility in an abandoned coal mine.</w:t>
      </w:r>
    </w:p>
    <w:p>
      <w:pPr>
        <w:pStyle w:val="BodyText"/>
        <w:spacing w:before="4"/>
        <w:rPr>
          <w:sz w:val="21"/>
        </w:rPr>
      </w:pPr>
    </w:p>
    <w:p>
      <w:pPr>
        <w:pStyle w:val="Heading2"/>
        <w:numPr>
          <w:ilvl w:val="2"/>
          <w:numId w:val="4"/>
        </w:numPr>
        <w:tabs>
          <w:tab w:pos="977" w:val="left" w:leader="none"/>
        </w:tabs>
        <w:spacing w:line="240" w:lineRule="auto" w:before="0" w:after="0"/>
        <w:ind w:left="977" w:right="0" w:hanging="820"/>
        <w:jc w:val="both"/>
        <w:rPr>
          <w:i/>
        </w:rPr>
      </w:pPr>
      <w:r>
        <w:rPr>
          <w:i/>
        </w:rPr>
        <w:t>Effects of impurities on storage</w:t>
      </w:r>
      <w:r>
        <w:rPr>
          <w:i/>
          <w:spacing w:val="-4"/>
        </w:rPr>
        <w:t> </w:t>
      </w:r>
      <w:r>
        <w:rPr>
          <w:i/>
        </w:rPr>
        <w:t>capacity</w:t>
      </w:r>
    </w:p>
    <w:p>
      <w:pPr>
        <w:pStyle w:val="BodyText"/>
        <w:spacing w:before="3"/>
        <w:rPr>
          <w:b/>
          <w:i/>
          <w:sz w:val="21"/>
        </w:rPr>
      </w:pPr>
    </w:p>
    <w:p>
      <w:pPr>
        <w:pStyle w:val="BodyText"/>
        <w:spacing w:line="240" w:lineRule="exact"/>
        <w:ind w:left="157" w:right="38"/>
        <w:jc w:val="both"/>
      </w:pPr>
      <w:r>
        <w:rPr/>
        <w:t>The presence of impurities in the CO</w:t>
      </w:r>
      <w:r>
        <w:rPr>
          <w:position w:val="-6"/>
          <w:sz w:val="11"/>
        </w:rPr>
        <w:t>2 </w:t>
      </w:r>
      <w:r>
        <w:rPr/>
        <w:t>gas stream affects the engineering processes of capture, transport and injection (Chapters 3 and 4), as well as the trapping mechanisms and capacity</w:t>
      </w:r>
      <w:r>
        <w:rPr>
          <w:spacing w:val="-29"/>
        </w:rPr>
        <w:t> </w:t>
      </w:r>
      <w:r>
        <w:rPr/>
        <w:t>for</w:t>
      </w:r>
      <w:r>
        <w:rPr>
          <w:spacing w:val="-29"/>
        </w:rPr>
        <w:t> </w:t>
      </w:r>
      <w:r>
        <w:rPr/>
        <w:t>CO</w:t>
      </w:r>
      <w:r>
        <w:rPr>
          <w:position w:val="-6"/>
          <w:sz w:val="11"/>
        </w:rPr>
        <w:t>2</w:t>
      </w:r>
      <w:r>
        <w:rPr>
          <w:spacing w:val="-6"/>
          <w:position w:val="-6"/>
          <w:sz w:val="11"/>
        </w:rPr>
        <w:t> </w:t>
      </w:r>
      <w:r>
        <w:rPr/>
        <w:t>storage</w:t>
      </w:r>
      <w:r>
        <w:rPr>
          <w:spacing w:val="-29"/>
        </w:rPr>
        <w:t> </w:t>
      </w:r>
      <w:r>
        <w:rPr/>
        <w:t>in</w:t>
      </w:r>
      <w:r>
        <w:rPr>
          <w:spacing w:val="-28"/>
        </w:rPr>
        <w:t> </w:t>
      </w:r>
      <w:r>
        <w:rPr/>
        <w:t>geological</w:t>
      </w:r>
      <w:r>
        <w:rPr>
          <w:spacing w:val="-29"/>
        </w:rPr>
        <w:t> </w:t>
      </w:r>
      <w:r>
        <w:rPr/>
        <w:t>media.</w:t>
      </w:r>
      <w:r>
        <w:rPr>
          <w:spacing w:val="-29"/>
        </w:rPr>
        <w:t> </w:t>
      </w:r>
      <w:r>
        <w:rPr/>
        <w:t>Some</w:t>
      </w:r>
      <w:r>
        <w:rPr>
          <w:spacing w:val="-29"/>
        </w:rPr>
        <w:t> </w:t>
      </w:r>
      <w:r>
        <w:rPr/>
        <w:t>contaminants in</w:t>
      </w:r>
      <w:r>
        <w:rPr>
          <w:spacing w:val="-24"/>
        </w:rPr>
        <w:t> </w:t>
      </w:r>
      <w:r>
        <w:rPr/>
        <w:t>the</w:t>
      </w:r>
      <w:r>
        <w:rPr>
          <w:spacing w:val="-24"/>
        </w:rPr>
        <w:t> </w:t>
      </w:r>
      <w:r>
        <w:rPr/>
        <w:t>CO</w:t>
      </w:r>
      <w:r>
        <w:rPr>
          <w:position w:val="-6"/>
          <w:sz w:val="11"/>
        </w:rPr>
        <w:t>2</w:t>
      </w:r>
      <w:r>
        <w:rPr>
          <w:spacing w:val="-2"/>
          <w:position w:val="-6"/>
          <w:sz w:val="11"/>
        </w:rPr>
        <w:t> </w:t>
      </w:r>
      <w:r>
        <w:rPr/>
        <w:t>stream</w:t>
      </w:r>
      <w:r>
        <w:rPr>
          <w:spacing w:val="-24"/>
        </w:rPr>
        <w:t> </w:t>
      </w:r>
      <w:r>
        <w:rPr/>
        <w:t>(e.g.,</w:t>
      </w:r>
      <w:r>
        <w:rPr>
          <w:spacing w:val="-24"/>
        </w:rPr>
        <w:t> </w:t>
      </w:r>
      <w:r>
        <w:rPr/>
        <w:t>SO</w:t>
      </w:r>
      <w:r>
        <w:rPr>
          <w:position w:val="-6"/>
          <w:sz w:val="11"/>
        </w:rPr>
        <w:t>x</w:t>
      </w:r>
      <w:r>
        <w:rPr/>
        <w:t>,</w:t>
      </w:r>
      <w:r>
        <w:rPr>
          <w:spacing w:val="-24"/>
        </w:rPr>
        <w:t> </w:t>
      </w:r>
      <w:r>
        <w:rPr/>
        <w:t>NO</w:t>
      </w:r>
      <w:r>
        <w:rPr>
          <w:position w:val="-6"/>
          <w:sz w:val="11"/>
        </w:rPr>
        <w:t>x</w:t>
      </w:r>
      <w:r>
        <w:rPr/>
        <w:t>,</w:t>
      </w:r>
      <w:r>
        <w:rPr>
          <w:spacing w:val="-24"/>
        </w:rPr>
        <w:t> </w:t>
      </w:r>
      <w:r>
        <w:rPr/>
        <w:t>H</w:t>
      </w:r>
      <w:r>
        <w:rPr>
          <w:position w:val="-6"/>
          <w:sz w:val="11"/>
        </w:rPr>
        <w:t>2</w:t>
      </w:r>
      <w:r>
        <w:rPr/>
        <w:t>S)</w:t>
      </w:r>
      <w:r>
        <w:rPr>
          <w:spacing w:val="-23"/>
        </w:rPr>
        <w:t> </w:t>
      </w:r>
      <w:r>
        <w:rPr/>
        <w:t>may</w:t>
      </w:r>
      <w:r>
        <w:rPr>
          <w:spacing w:val="-24"/>
        </w:rPr>
        <w:t> </w:t>
      </w:r>
      <w:r>
        <w:rPr/>
        <w:t>require</w:t>
      </w:r>
      <w:r>
        <w:rPr>
          <w:spacing w:val="-24"/>
        </w:rPr>
        <w:t> </w:t>
      </w:r>
      <w:r>
        <w:rPr/>
        <w:t>classification as</w:t>
      </w:r>
      <w:r>
        <w:rPr>
          <w:spacing w:val="-6"/>
        </w:rPr>
        <w:t> </w:t>
      </w:r>
      <w:r>
        <w:rPr/>
        <w:t>hazardous,</w:t>
      </w:r>
      <w:r>
        <w:rPr>
          <w:spacing w:val="-5"/>
        </w:rPr>
        <w:t> </w:t>
      </w:r>
      <w:r>
        <w:rPr/>
        <w:t>imposing</w:t>
      </w:r>
      <w:r>
        <w:rPr>
          <w:spacing w:val="-5"/>
        </w:rPr>
        <w:t> </w:t>
      </w:r>
      <w:r>
        <w:rPr/>
        <w:t>different</w:t>
      </w:r>
      <w:r>
        <w:rPr>
          <w:spacing w:val="-6"/>
        </w:rPr>
        <w:t> </w:t>
      </w:r>
      <w:r>
        <w:rPr/>
        <w:t>requirements</w:t>
      </w:r>
      <w:r>
        <w:rPr>
          <w:spacing w:val="-5"/>
        </w:rPr>
        <w:t> </w:t>
      </w:r>
      <w:r>
        <w:rPr/>
        <w:t>for</w:t>
      </w:r>
      <w:r>
        <w:rPr>
          <w:spacing w:val="-5"/>
        </w:rPr>
        <w:t> </w:t>
      </w:r>
      <w:r>
        <w:rPr/>
        <w:t>injection</w:t>
      </w:r>
      <w:r>
        <w:rPr>
          <w:spacing w:val="-6"/>
        </w:rPr>
        <w:t> </w:t>
      </w:r>
      <w:r>
        <w:rPr>
          <w:spacing w:val="-4"/>
        </w:rPr>
        <w:t>and </w:t>
      </w:r>
      <w:r>
        <w:rPr/>
        <w:t>disposal than if the stream were pure (Bergman </w:t>
      </w:r>
      <w:r>
        <w:rPr>
          <w:i/>
        </w:rPr>
        <w:t>et al.</w:t>
      </w:r>
      <w:r>
        <w:rPr/>
        <w:t>, 1997). Gas impurities in the CO</w:t>
      </w:r>
      <w:r>
        <w:rPr>
          <w:position w:val="-6"/>
          <w:sz w:val="11"/>
        </w:rPr>
        <w:t>2 </w:t>
      </w:r>
      <w:r>
        <w:rPr/>
        <w:t>stream affect the compressibility of the injected CO</w:t>
      </w:r>
      <w:r>
        <w:rPr>
          <w:position w:val="-6"/>
          <w:sz w:val="11"/>
        </w:rPr>
        <w:t>2 </w:t>
      </w:r>
      <w:r>
        <w:rPr/>
        <w:t>(and hence the volume needed for storing a given</w:t>
      </w:r>
      <w:r>
        <w:rPr>
          <w:spacing w:val="-10"/>
        </w:rPr>
        <w:t> </w:t>
      </w:r>
      <w:r>
        <w:rPr/>
        <w:t>amount)</w:t>
      </w:r>
      <w:r>
        <w:rPr>
          <w:spacing w:val="-10"/>
        </w:rPr>
        <w:t> </w:t>
      </w:r>
      <w:r>
        <w:rPr/>
        <w:t>and</w:t>
      </w:r>
      <w:r>
        <w:rPr>
          <w:spacing w:val="-9"/>
        </w:rPr>
        <w:t> </w:t>
      </w:r>
      <w:r>
        <w:rPr/>
        <w:t>reduce</w:t>
      </w:r>
      <w:r>
        <w:rPr>
          <w:spacing w:val="-10"/>
        </w:rPr>
        <w:t> </w:t>
      </w:r>
      <w:r>
        <w:rPr/>
        <w:t>the</w:t>
      </w:r>
      <w:r>
        <w:rPr>
          <w:spacing w:val="-9"/>
        </w:rPr>
        <w:t> </w:t>
      </w:r>
      <w:r>
        <w:rPr/>
        <w:t>capacity</w:t>
      </w:r>
      <w:r>
        <w:rPr>
          <w:spacing w:val="-10"/>
        </w:rPr>
        <w:t> </w:t>
      </w:r>
      <w:r>
        <w:rPr/>
        <w:t>for</w:t>
      </w:r>
      <w:r>
        <w:rPr>
          <w:spacing w:val="-10"/>
        </w:rPr>
        <w:t> </w:t>
      </w:r>
      <w:r>
        <w:rPr/>
        <w:t>storage</w:t>
      </w:r>
      <w:r>
        <w:rPr>
          <w:spacing w:val="-9"/>
        </w:rPr>
        <w:t> </w:t>
      </w:r>
      <w:r>
        <w:rPr/>
        <w:t>in</w:t>
      </w:r>
      <w:r>
        <w:rPr>
          <w:spacing w:val="-10"/>
        </w:rPr>
        <w:t> </w:t>
      </w:r>
      <w:r>
        <w:rPr/>
        <w:t>free</w:t>
      </w:r>
      <w:r>
        <w:rPr>
          <w:spacing w:val="-9"/>
        </w:rPr>
        <w:t> </w:t>
      </w:r>
      <w:r>
        <w:rPr/>
        <w:t>phase,</w:t>
      </w:r>
    </w:p>
    <w:p>
      <w:pPr>
        <w:pStyle w:val="BodyText"/>
        <w:spacing w:line="187" w:lineRule="auto"/>
        <w:ind w:left="157"/>
        <w:jc w:val="both"/>
      </w:pPr>
      <w:r>
        <w:rPr/>
        <w:br w:type="column"/>
      </w:r>
      <w:r>
        <w:rPr/>
        <w:t>suggest  that  SO</w:t>
      </w:r>
      <w:r>
        <w:rPr>
          <w:position w:val="-6"/>
          <w:sz w:val="11"/>
        </w:rPr>
        <w:t>x    </w:t>
      </w:r>
      <w:r>
        <w:rPr/>
        <w:t>injection  with  CO</w:t>
      </w:r>
      <w:r>
        <w:rPr>
          <w:position w:val="-6"/>
          <w:sz w:val="11"/>
        </w:rPr>
        <w:t>2    </w:t>
      </w:r>
      <w:r>
        <w:rPr/>
        <w:t>produces</w:t>
      </w:r>
      <w:r>
        <w:rPr>
          <w:spacing w:val="12"/>
        </w:rPr>
        <w:t> </w:t>
      </w:r>
      <w:r>
        <w:rPr/>
        <w:t>substantially</w:t>
      </w:r>
    </w:p>
    <w:p>
      <w:pPr>
        <w:pStyle w:val="BodyText"/>
        <w:spacing w:line="210" w:lineRule="exact"/>
        <w:ind w:left="157"/>
        <w:jc w:val="both"/>
      </w:pPr>
      <w:r>
        <w:rPr/>
        <w:t>different chemical, mobilization and mineral reactions.</w:t>
      </w:r>
      <w:r>
        <w:rPr>
          <w:spacing w:val="40"/>
        </w:rPr>
        <w:t> </w:t>
      </w:r>
      <w:r>
        <w:rPr/>
        <w:t>Clarity</w:t>
      </w:r>
    </w:p>
    <w:p>
      <w:pPr>
        <w:pStyle w:val="BodyText"/>
        <w:spacing w:line="225" w:lineRule="auto" w:before="14"/>
        <w:ind w:left="157" w:right="530"/>
        <w:jc w:val="both"/>
      </w:pPr>
      <w:r>
        <w:rPr/>
        <w:t>is needed about the range of gas compositions that industry might wish to store, other than pure CO</w:t>
      </w:r>
      <w:r>
        <w:rPr>
          <w:position w:val="-6"/>
          <w:sz w:val="11"/>
        </w:rPr>
        <w:t>2 </w:t>
      </w:r>
      <w:r>
        <w:rPr/>
        <w:t>(Anheden </w:t>
      </w:r>
      <w:r>
        <w:rPr>
          <w:i/>
        </w:rPr>
        <w:t>et al.</w:t>
      </w:r>
      <w:r>
        <w:rPr/>
        <w:t>, 2005), because although there might be environmental </w:t>
      </w:r>
      <w:r>
        <w:rPr>
          <w:spacing w:val="-3"/>
        </w:rPr>
        <w:t>issues </w:t>
      </w:r>
      <w:r>
        <w:rPr/>
        <w:t>to</w:t>
      </w:r>
      <w:r>
        <w:rPr>
          <w:spacing w:val="-8"/>
        </w:rPr>
        <w:t> </w:t>
      </w:r>
      <w:r>
        <w:rPr/>
        <w:t>address,</w:t>
      </w:r>
      <w:r>
        <w:rPr>
          <w:spacing w:val="-7"/>
        </w:rPr>
        <w:t> </w:t>
      </w:r>
      <w:r>
        <w:rPr/>
        <w:t>there</w:t>
      </w:r>
      <w:r>
        <w:rPr>
          <w:spacing w:val="-8"/>
        </w:rPr>
        <w:t> </w:t>
      </w:r>
      <w:r>
        <w:rPr/>
        <w:t>might</w:t>
      </w:r>
      <w:r>
        <w:rPr>
          <w:spacing w:val="-7"/>
        </w:rPr>
        <w:t> </w:t>
      </w:r>
      <w:r>
        <w:rPr/>
        <w:t>be</w:t>
      </w:r>
      <w:r>
        <w:rPr>
          <w:spacing w:val="-8"/>
        </w:rPr>
        <w:t> </w:t>
      </w:r>
      <w:r>
        <w:rPr/>
        <w:t>cost</w:t>
      </w:r>
      <w:r>
        <w:rPr>
          <w:spacing w:val="-7"/>
        </w:rPr>
        <w:t> </w:t>
      </w:r>
      <w:r>
        <w:rPr/>
        <w:t>savings</w:t>
      </w:r>
      <w:r>
        <w:rPr>
          <w:spacing w:val="-7"/>
        </w:rPr>
        <w:t> </w:t>
      </w:r>
      <w:r>
        <w:rPr/>
        <w:t>in</w:t>
      </w:r>
      <w:r>
        <w:rPr>
          <w:spacing w:val="-8"/>
        </w:rPr>
        <w:t> </w:t>
      </w:r>
      <w:r>
        <w:rPr/>
        <w:t>co-storage</w:t>
      </w:r>
      <w:r>
        <w:rPr>
          <w:spacing w:val="-7"/>
        </w:rPr>
        <w:t> </w:t>
      </w:r>
      <w:r>
        <w:rPr/>
        <w:t>of</w:t>
      </w:r>
      <w:r>
        <w:rPr>
          <w:spacing w:val="-8"/>
        </w:rPr>
        <w:t> </w:t>
      </w:r>
      <w:r>
        <w:rPr/>
        <w:t>CO</w:t>
      </w:r>
      <w:r>
        <w:rPr>
          <w:position w:val="-6"/>
          <w:sz w:val="11"/>
        </w:rPr>
        <w:t>2</w:t>
      </w:r>
      <w:r>
        <w:rPr>
          <w:spacing w:val="15"/>
          <w:position w:val="-6"/>
          <w:sz w:val="11"/>
        </w:rPr>
        <w:t> </w:t>
      </w:r>
      <w:r>
        <w:rPr/>
        <w:t>and contaminants.</w:t>
      </w:r>
    </w:p>
    <w:p>
      <w:pPr>
        <w:pStyle w:val="BodyText"/>
        <w:spacing w:line="240" w:lineRule="exact" w:before="2"/>
        <w:ind w:left="157" w:right="531" w:firstLine="283"/>
        <w:jc w:val="both"/>
      </w:pPr>
      <w:r>
        <w:rPr/>
        <w:t>In</w:t>
      </w:r>
      <w:r>
        <w:rPr>
          <w:spacing w:val="-13"/>
        </w:rPr>
        <w:t> </w:t>
      </w:r>
      <w:r>
        <w:rPr/>
        <w:t>the</w:t>
      </w:r>
      <w:r>
        <w:rPr>
          <w:spacing w:val="-13"/>
        </w:rPr>
        <w:t> </w:t>
      </w:r>
      <w:r>
        <w:rPr/>
        <w:t>case</w:t>
      </w:r>
      <w:r>
        <w:rPr>
          <w:spacing w:val="-13"/>
        </w:rPr>
        <w:t> </w:t>
      </w:r>
      <w:r>
        <w:rPr/>
        <w:t>of</w:t>
      </w:r>
      <w:r>
        <w:rPr>
          <w:spacing w:val="-12"/>
        </w:rPr>
        <w:t> </w:t>
      </w:r>
      <w:r>
        <w:rPr/>
        <w:t>CO</w:t>
      </w:r>
      <w:r>
        <w:rPr>
          <w:position w:val="-6"/>
          <w:sz w:val="11"/>
        </w:rPr>
        <w:t>2</w:t>
      </w:r>
      <w:r>
        <w:rPr>
          <w:spacing w:val="9"/>
          <w:position w:val="-6"/>
          <w:sz w:val="11"/>
        </w:rPr>
        <w:t> </w:t>
      </w:r>
      <w:r>
        <w:rPr/>
        <w:t>storage</w:t>
      </w:r>
      <w:r>
        <w:rPr>
          <w:spacing w:val="-14"/>
        </w:rPr>
        <w:t> </w:t>
      </w:r>
      <w:r>
        <w:rPr/>
        <w:t>in</w:t>
      </w:r>
      <w:r>
        <w:rPr>
          <w:spacing w:val="-12"/>
        </w:rPr>
        <w:t> </w:t>
      </w:r>
      <w:r>
        <w:rPr/>
        <w:t>coal</w:t>
      </w:r>
      <w:r>
        <w:rPr>
          <w:spacing w:val="-13"/>
        </w:rPr>
        <w:t> </w:t>
      </w:r>
      <w:r>
        <w:rPr/>
        <w:t>seams,</w:t>
      </w:r>
      <w:r>
        <w:rPr>
          <w:spacing w:val="-14"/>
        </w:rPr>
        <w:t> </w:t>
      </w:r>
      <w:r>
        <w:rPr/>
        <w:t>impurities</w:t>
      </w:r>
      <w:r>
        <w:rPr>
          <w:spacing w:val="-12"/>
        </w:rPr>
        <w:t> </w:t>
      </w:r>
      <w:r>
        <w:rPr/>
        <w:t>may</w:t>
      </w:r>
      <w:r>
        <w:rPr>
          <w:spacing w:val="-13"/>
        </w:rPr>
        <w:t> </w:t>
      </w:r>
      <w:r>
        <w:rPr/>
        <w:t>also have</w:t>
      </w:r>
      <w:r>
        <w:rPr>
          <w:spacing w:val="-4"/>
        </w:rPr>
        <w:t> </w:t>
      </w:r>
      <w:r>
        <w:rPr/>
        <w:t>a</w:t>
      </w:r>
      <w:r>
        <w:rPr>
          <w:spacing w:val="-4"/>
        </w:rPr>
        <w:t> </w:t>
      </w:r>
      <w:r>
        <w:rPr/>
        <w:t>positive</w:t>
      </w:r>
      <w:r>
        <w:rPr>
          <w:spacing w:val="-4"/>
        </w:rPr>
        <w:t> </w:t>
      </w:r>
      <w:r>
        <w:rPr/>
        <w:t>or</w:t>
      </w:r>
      <w:r>
        <w:rPr>
          <w:spacing w:val="-4"/>
        </w:rPr>
        <w:t> </w:t>
      </w:r>
      <w:r>
        <w:rPr/>
        <w:t>negative</w:t>
      </w:r>
      <w:r>
        <w:rPr>
          <w:spacing w:val="-5"/>
        </w:rPr>
        <w:t> </w:t>
      </w:r>
      <w:r>
        <w:rPr/>
        <w:t>effect,</w:t>
      </w:r>
      <w:r>
        <w:rPr>
          <w:spacing w:val="-4"/>
        </w:rPr>
        <w:t> </w:t>
      </w:r>
      <w:r>
        <w:rPr/>
        <w:t>similar</w:t>
      </w:r>
      <w:r>
        <w:rPr>
          <w:spacing w:val="-5"/>
        </w:rPr>
        <w:t> </w:t>
      </w:r>
      <w:r>
        <w:rPr/>
        <w:t>to</w:t>
      </w:r>
      <w:r>
        <w:rPr>
          <w:spacing w:val="-4"/>
        </w:rPr>
        <w:t> </w:t>
      </w:r>
      <w:r>
        <w:rPr/>
        <w:t>EOR</w:t>
      </w:r>
      <w:r>
        <w:rPr>
          <w:spacing w:val="-4"/>
        </w:rPr>
        <w:t> </w:t>
      </w:r>
      <w:r>
        <w:rPr/>
        <w:t>operations.</w:t>
      </w:r>
      <w:r>
        <w:rPr>
          <w:spacing w:val="-4"/>
        </w:rPr>
        <w:t> </w:t>
      </w:r>
      <w:r>
        <w:rPr/>
        <w:t>If a</w:t>
      </w:r>
      <w:r>
        <w:rPr>
          <w:spacing w:val="-7"/>
        </w:rPr>
        <w:t> </w:t>
      </w:r>
      <w:r>
        <w:rPr/>
        <w:t>stream</w:t>
      </w:r>
      <w:r>
        <w:rPr>
          <w:spacing w:val="-7"/>
        </w:rPr>
        <w:t> </w:t>
      </w:r>
      <w:r>
        <w:rPr/>
        <w:t>of</w:t>
      </w:r>
      <w:r>
        <w:rPr>
          <w:spacing w:val="-7"/>
        </w:rPr>
        <w:t> </w:t>
      </w:r>
      <w:r>
        <w:rPr/>
        <w:t>gas</w:t>
      </w:r>
      <w:r>
        <w:rPr>
          <w:spacing w:val="-7"/>
        </w:rPr>
        <w:t> </w:t>
      </w:r>
      <w:r>
        <w:rPr/>
        <w:t>containing</w:t>
      </w:r>
      <w:r>
        <w:rPr>
          <w:spacing w:val="-7"/>
        </w:rPr>
        <w:t> </w:t>
      </w:r>
      <w:r>
        <w:rPr/>
        <w:t>H</w:t>
      </w:r>
      <w:r>
        <w:rPr>
          <w:position w:val="-6"/>
          <w:sz w:val="11"/>
        </w:rPr>
        <w:t>2</w:t>
      </w:r>
      <w:r>
        <w:rPr/>
        <w:t>S</w:t>
      </w:r>
      <w:r>
        <w:rPr>
          <w:spacing w:val="-7"/>
        </w:rPr>
        <w:t> </w:t>
      </w:r>
      <w:r>
        <w:rPr/>
        <w:t>or</w:t>
      </w:r>
      <w:r>
        <w:rPr>
          <w:spacing w:val="-7"/>
        </w:rPr>
        <w:t> </w:t>
      </w:r>
      <w:r>
        <w:rPr/>
        <w:t>SO</w:t>
      </w:r>
      <w:r>
        <w:rPr>
          <w:position w:val="-6"/>
          <w:sz w:val="11"/>
        </w:rPr>
        <w:t>2</w:t>
      </w:r>
      <w:r>
        <w:rPr>
          <w:spacing w:val="15"/>
          <w:position w:val="-6"/>
          <w:sz w:val="11"/>
        </w:rPr>
        <w:t> </w:t>
      </w:r>
      <w:r>
        <w:rPr/>
        <w:t>is</w:t>
      </w:r>
      <w:r>
        <w:rPr>
          <w:spacing w:val="-7"/>
        </w:rPr>
        <w:t> </w:t>
      </w:r>
      <w:r>
        <w:rPr/>
        <w:t>injected</w:t>
      </w:r>
      <w:r>
        <w:rPr>
          <w:spacing w:val="-7"/>
        </w:rPr>
        <w:t> </w:t>
      </w:r>
      <w:r>
        <w:rPr/>
        <w:t>into</w:t>
      </w:r>
      <w:r>
        <w:rPr>
          <w:spacing w:val="-6"/>
        </w:rPr>
        <w:t> </w:t>
      </w:r>
      <w:r>
        <w:rPr/>
        <w:t>coal</w:t>
      </w:r>
      <w:r>
        <w:rPr>
          <w:spacing w:val="-7"/>
        </w:rPr>
        <w:t> </w:t>
      </w:r>
      <w:r>
        <w:rPr/>
        <w:t>beds, these will likely be preferentially adsorbed because they </w:t>
      </w:r>
      <w:r>
        <w:rPr>
          <w:spacing w:val="-3"/>
        </w:rPr>
        <w:t>have  </w:t>
      </w:r>
      <w:r>
        <w:rPr/>
        <w:t>a higher affinity to coal than CO</w:t>
      </w:r>
      <w:r>
        <w:rPr>
          <w:position w:val="-6"/>
          <w:sz w:val="11"/>
        </w:rPr>
        <w:t>2</w:t>
      </w:r>
      <w:r>
        <w:rPr/>
        <w:t>, thus reducing the storage capacity for CO</w:t>
      </w:r>
      <w:r>
        <w:rPr>
          <w:position w:val="-6"/>
          <w:sz w:val="11"/>
        </w:rPr>
        <w:t>2 </w:t>
      </w:r>
      <w:r>
        <w:rPr/>
        <w:t>(Chikatamarla and Bustin, 2003). If oxygen  is present, it will react irreversibly with the coal, reducing the sorption surface and, hence, the adsorption capacity. On the other hand, some impure CO</w:t>
      </w:r>
      <w:r>
        <w:rPr>
          <w:position w:val="-6"/>
          <w:sz w:val="11"/>
        </w:rPr>
        <w:t>2 </w:t>
      </w:r>
      <w:r>
        <w:rPr/>
        <w:t>waste streams, such as coal-fired flue gas (i.e., primarily N</w:t>
      </w:r>
      <w:r>
        <w:rPr>
          <w:position w:val="-6"/>
          <w:sz w:val="11"/>
        </w:rPr>
        <w:t>2 </w:t>
      </w:r>
      <w:r>
        <w:rPr/>
        <w:t>+ CO</w:t>
      </w:r>
      <w:r>
        <w:rPr>
          <w:position w:val="-6"/>
          <w:sz w:val="11"/>
        </w:rPr>
        <w:t>2</w:t>
      </w:r>
      <w:r>
        <w:rPr/>
        <w:t>), may be used for </w:t>
      </w:r>
      <w:r>
        <w:rPr>
          <w:spacing w:val="-3"/>
        </w:rPr>
        <w:t>ECBM  </w:t>
      </w:r>
      <w:r>
        <w:rPr/>
        <w:t>because the CO</w:t>
      </w:r>
      <w:r>
        <w:rPr>
          <w:position w:val="-6"/>
          <w:sz w:val="11"/>
        </w:rPr>
        <w:t>2 </w:t>
      </w:r>
      <w:r>
        <w:rPr/>
        <w:t>is stripped out (retained) by the coal reservoir, because it has higher sorption selectivity than N</w:t>
      </w:r>
      <w:r>
        <w:rPr>
          <w:position w:val="-6"/>
          <w:sz w:val="11"/>
        </w:rPr>
        <w:t>2 </w:t>
      </w:r>
      <w:r>
        <w:rPr/>
        <w:t>and</w:t>
      </w:r>
      <w:r>
        <w:rPr>
          <w:spacing w:val="-14"/>
        </w:rPr>
        <w:t> </w:t>
      </w:r>
      <w:r>
        <w:rPr/>
        <w:t>CH</w:t>
      </w:r>
      <w:r>
        <w:rPr>
          <w:position w:val="-6"/>
          <w:sz w:val="11"/>
        </w:rPr>
        <w:t>4</w:t>
      </w:r>
      <w:r>
        <w:rPr/>
        <w:t>.</w:t>
      </w:r>
    </w:p>
    <w:p>
      <w:pPr>
        <w:pStyle w:val="BodyText"/>
        <w:spacing w:before="3"/>
        <w:rPr>
          <w:sz w:val="21"/>
        </w:rPr>
      </w:pPr>
    </w:p>
    <w:p>
      <w:pPr>
        <w:pStyle w:val="Heading2"/>
        <w:numPr>
          <w:ilvl w:val="2"/>
          <w:numId w:val="4"/>
        </w:numPr>
        <w:tabs>
          <w:tab w:pos="977" w:val="left" w:leader="none"/>
          <w:tab w:pos="978" w:val="left" w:leader="none"/>
        </w:tabs>
        <w:spacing w:line="249" w:lineRule="auto" w:before="1" w:after="0"/>
        <w:ind w:left="977" w:right="888" w:hanging="820"/>
        <w:jc w:val="left"/>
      </w:pPr>
      <w:r>
        <w:rPr>
          <w:i/>
        </w:rPr>
        <w:t>Geographical distribution and storage capacity </w:t>
      </w:r>
      <w:r>
        <w:rPr/>
        <w:t>estimates</w:t>
      </w:r>
    </w:p>
    <w:p>
      <w:pPr>
        <w:pStyle w:val="BodyText"/>
        <w:spacing w:before="6"/>
        <w:rPr>
          <w:b/>
          <w:i/>
        </w:rPr>
      </w:pPr>
    </w:p>
    <w:p>
      <w:pPr>
        <w:pStyle w:val="BodyText"/>
        <w:spacing w:line="240" w:lineRule="exact"/>
        <w:ind w:left="157" w:right="530"/>
        <w:jc w:val="both"/>
      </w:pPr>
      <w:r>
        <w:rPr/>
        <w:t>Identifying potential sites for CO</w:t>
      </w:r>
      <w:r>
        <w:rPr>
          <w:position w:val="-6"/>
          <w:sz w:val="11"/>
        </w:rPr>
        <w:t>2 </w:t>
      </w:r>
      <w:r>
        <w:rPr/>
        <w:t>geological storage and estimating their capacity on a regional or local scale should conceptually be a simple task. The differences between the various mechanisms and means of trapping (Sections 5.2.2) suggest in principle the following methods:</w:t>
      </w:r>
    </w:p>
    <w:p>
      <w:pPr>
        <w:pStyle w:val="ListParagraph"/>
        <w:numPr>
          <w:ilvl w:val="0"/>
          <w:numId w:val="6"/>
        </w:numPr>
        <w:tabs>
          <w:tab w:pos="441" w:val="left" w:leader="none"/>
        </w:tabs>
        <w:spacing w:line="225" w:lineRule="auto" w:before="3" w:after="0"/>
        <w:ind w:left="440" w:right="530" w:hanging="284"/>
        <w:jc w:val="both"/>
        <w:rPr>
          <w:sz w:val="20"/>
        </w:rPr>
      </w:pPr>
      <w:r>
        <w:rPr>
          <w:sz w:val="20"/>
        </w:rPr>
        <w:t>For</w:t>
      </w:r>
      <w:r>
        <w:rPr>
          <w:spacing w:val="-7"/>
          <w:sz w:val="20"/>
        </w:rPr>
        <w:t> </w:t>
      </w:r>
      <w:r>
        <w:rPr>
          <w:sz w:val="20"/>
        </w:rPr>
        <w:t>volumetric</w:t>
      </w:r>
      <w:r>
        <w:rPr>
          <w:spacing w:val="-6"/>
          <w:sz w:val="20"/>
        </w:rPr>
        <w:t> </w:t>
      </w:r>
      <w:r>
        <w:rPr>
          <w:sz w:val="20"/>
        </w:rPr>
        <w:t>trapping,</w:t>
      </w:r>
      <w:r>
        <w:rPr>
          <w:spacing w:val="-6"/>
          <w:sz w:val="20"/>
        </w:rPr>
        <w:t> </w:t>
      </w:r>
      <w:r>
        <w:rPr>
          <w:sz w:val="20"/>
        </w:rPr>
        <w:t>capacity</w:t>
      </w:r>
      <w:r>
        <w:rPr>
          <w:spacing w:val="-6"/>
          <w:sz w:val="20"/>
        </w:rPr>
        <w:t> </w:t>
      </w:r>
      <w:r>
        <w:rPr>
          <w:sz w:val="20"/>
        </w:rPr>
        <w:t>is</w:t>
      </w:r>
      <w:r>
        <w:rPr>
          <w:spacing w:val="-6"/>
          <w:sz w:val="20"/>
        </w:rPr>
        <w:t> </w:t>
      </w:r>
      <w:r>
        <w:rPr>
          <w:sz w:val="20"/>
        </w:rPr>
        <w:t>the</w:t>
      </w:r>
      <w:r>
        <w:rPr>
          <w:spacing w:val="-7"/>
          <w:sz w:val="20"/>
        </w:rPr>
        <w:t> </w:t>
      </w:r>
      <w:r>
        <w:rPr>
          <w:sz w:val="20"/>
        </w:rPr>
        <w:t>product</w:t>
      </w:r>
      <w:r>
        <w:rPr>
          <w:spacing w:val="-6"/>
          <w:sz w:val="20"/>
        </w:rPr>
        <w:t> </w:t>
      </w:r>
      <w:r>
        <w:rPr>
          <w:sz w:val="20"/>
        </w:rPr>
        <w:t>of</w:t>
      </w:r>
      <w:r>
        <w:rPr>
          <w:spacing w:val="-6"/>
          <w:sz w:val="20"/>
        </w:rPr>
        <w:t> </w:t>
      </w:r>
      <w:r>
        <w:rPr>
          <w:sz w:val="20"/>
        </w:rPr>
        <w:t>available volume (pore space or cavity) and CO</w:t>
      </w:r>
      <w:r>
        <w:rPr>
          <w:position w:val="-6"/>
          <w:sz w:val="11"/>
        </w:rPr>
        <w:t>2 </w:t>
      </w:r>
      <w:r>
        <w:rPr>
          <w:sz w:val="20"/>
        </w:rPr>
        <w:t>density at </w:t>
      </w:r>
      <w:r>
        <w:rPr>
          <w:i/>
          <w:sz w:val="20"/>
        </w:rPr>
        <w:t>in situ </w:t>
      </w:r>
      <w:r>
        <w:rPr>
          <w:sz w:val="20"/>
        </w:rPr>
        <w:t>pressure and temperature;</w:t>
      </w:r>
    </w:p>
    <w:p>
      <w:pPr>
        <w:pStyle w:val="ListParagraph"/>
        <w:numPr>
          <w:ilvl w:val="0"/>
          <w:numId w:val="6"/>
        </w:numPr>
        <w:tabs>
          <w:tab w:pos="441" w:val="left" w:leader="none"/>
        </w:tabs>
        <w:spacing w:line="249" w:lineRule="auto" w:before="0" w:after="0"/>
        <w:ind w:left="440" w:right="531" w:hanging="284"/>
        <w:jc w:val="both"/>
        <w:rPr>
          <w:sz w:val="20"/>
        </w:rPr>
      </w:pPr>
      <w:r>
        <w:rPr/>
        <w:pict>
          <v:shape style="position:absolute;margin-left:534.269897pt;margin-top:9.011211pt;width:2.95pt;height:5.85pt;mso-position-horizontal-relative:page;mso-position-vertical-relative:paragraph;z-index:-25885388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For solubility trapping, capacity is the amount of CO that can be dissolved in the formation fluid (oil in oil</w:t>
      </w:r>
      <w:r>
        <w:rPr>
          <w:spacing w:val="-25"/>
          <w:sz w:val="20"/>
        </w:rPr>
        <w:t> </w:t>
      </w:r>
      <w:r>
        <w:rPr>
          <w:sz w:val="20"/>
        </w:rPr>
        <w:t>reservoirs, brackish water or brine in saline</w:t>
      </w:r>
      <w:r>
        <w:rPr>
          <w:spacing w:val="-4"/>
          <w:sz w:val="20"/>
        </w:rPr>
        <w:t> </w:t>
      </w:r>
      <w:r>
        <w:rPr>
          <w:sz w:val="20"/>
        </w:rPr>
        <w:t>formations);</w:t>
      </w:r>
    </w:p>
    <w:p>
      <w:pPr>
        <w:pStyle w:val="ListParagraph"/>
        <w:numPr>
          <w:ilvl w:val="0"/>
          <w:numId w:val="6"/>
        </w:numPr>
        <w:tabs>
          <w:tab w:pos="441" w:val="left" w:leader="none"/>
        </w:tabs>
        <w:spacing w:line="232" w:lineRule="exact" w:before="0" w:after="0"/>
        <w:ind w:left="440" w:right="0" w:hanging="284"/>
        <w:jc w:val="both"/>
        <w:rPr>
          <w:sz w:val="20"/>
        </w:rPr>
      </w:pPr>
      <w:r>
        <w:rPr>
          <w:sz w:val="20"/>
        </w:rPr>
        <w:t>For adsorption trapping, capacity is the product of</w:t>
      </w:r>
      <w:r>
        <w:rPr>
          <w:spacing w:val="9"/>
          <w:sz w:val="20"/>
        </w:rPr>
        <w:t> </w:t>
      </w:r>
      <w:r>
        <w:rPr>
          <w:sz w:val="20"/>
        </w:rPr>
        <w:t>coal</w:t>
      </w:r>
    </w:p>
    <w:p>
      <w:pPr>
        <w:pStyle w:val="BodyText"/>
        <w:spacing w:before="4"/>
        <w:ind w:left="440"/>
        <w:jc w:val="both"/>
      </w:pPr>
      <w:r>
        <w:rPr/>
        <w:t>volume and its capacity for adsorbing CO</w:t>
      </w:r>
      <w:r>
        <w:rPr>
          <w:position w:val="-6"/>
          <w:sz w:val="11"/>
        </w:rPr>
        <w:t>2</w:t>
      </w:r>
      <w:r>
        <w:rPr/>
        <w:t>;</w:t>
      </w:r>
    </w:p>
    <w:p>
      <w:pPr>
        <w:spacing w:after="0"/>
        <w:jc w:val="both"/>
        <w:sectPr>
          <w:type w:val="continuous"/>
          <w:pgSz w:w="12240" w:h="15840"/>
          <w:pgMar w:top="400" w:bottom="280" w:left="580" w:right="600"/>
          <w:cols w:num="2" w:equalWidth="0">
            <w:col w:w="5242" w:space="84"/>
            <w:col w:w="5734"/>
          </w:cols>
        </w:sectPr>
      </w:pPr>
    </w:p>
    <w:p>
      <w:pPr>
        <w:pStyle w:val="BodyText"/>
      </w:pPr>
    </w:p>
    <w:p>
      <w:pPr>
        <w:spacing w:after="0"/>
        <w:sectPr>
          <w:pgSz w:w="12240" w:h="15840"/>
          <w:pgMar w:header="567" w:footer="0" w:top="760" w:bottom="280" w:left="580" w:right="600"/>
        </w:sectPr>
      </w:pPr>
    </w:p>
    <w:p>
      <w:pPr>
        <w:pStyle w:val="BodyText"/>
        <w:rPr>
          <w:sz w:val="21"/>
        </w:rPr>
      </w:pPr>
    </w:p>
    <w:p>
      <w:pPr>
        <w:pStyle w:val="ListParagraph"/>
        <w:numPr>
          <w:ilvl w:val="1"/>
          <w:numId w:val="6"/>
        </w:numPr>
        <w:tabs>
          <w:tab w:pos="838" w:val="left" w:leader="none"/>
        </w:tabs>
        <w:spacing w:line="249" w:lineRule="auto" w:before="0" w:after="0"/>
        <w:ind w:left="837" w:right="1" w:hanging="284"/>
        <w:jc w:val="both"/>
        <w:rPr>
          <w:sz w:val="20"/>
        </w:rPr>
      </w:pPr>
      <w:r>
        <w:rPr>
          <w:sz w:val="20"/>
        </w:rPr>
        <w:t>For mineral trapping, capacity is calculated on the </w:t>
      </w:r>
      <w:r>
        <w:rPr>
          <w:spacing w:val="-3"/>
          <w:sz w:val="20"/>
        </w:rPr>
        <w:t>basis    </w:t>
      </w:r>
      <w:r>
        <w:rPr>
          <w:sz w:val="20"/>
        </w:rPr>
        <w:t>of available minerals for carbonate precipitation and </w:t>
      </w:r>
      <w:r>
        <w:rPr>
          <w:spacing w:val="-5"/>
          <w:sz w:val="20"/>
        </w:rPr>
        <w:t>the </w:t>
      </w:r>
      <w:r>
        <w:rPr>
          <w:sz w:val="20"/>
        </w:rPr>
        <w:t>amount of CO</w:t>
      </w:r>
      <w:r>
        <w:rPr>
          <w:position w:val="-6"/>
          <w:sz w:val="11"/>
        </w:rPr>
        <w:t>2 </w:t>
      </w:r>
      <w:r>
        <w:rPr>
          <w:sz w:val="20"/>
        </w:rPr>
        <w:t>that will be used in these</w:t>
      </w:r>
      <w:r>
        <w:rPr>
          <w:spacing w:val="-7"/>
          <w:sz w:val="20"/>
        </w:rPr>
        <w:t> </w:t>
      </w:r>
      <w:r>
        <w:rPr>
          <w:sz w:val="20"/>
        </w:rPr>
        <w:t>reactions.</w:t>
      </w:r>
    </w:p>
    <w:p>
      <w:pPr>
        <w:pStyle w:val="BodyText"/>
        <w:spacing w:line="240" w:lineRule="exact" w:before="186"/>
        <w:ind w:left="553"/>
        <w:jc w:val="both"/>
      </w:pPr>
      <w:r>
        <w:rPr/>
        <w:t>The major impediments to applying these simple methods for estimating the capacity for CO</w:t>
      </w:r>
      <w:r>
        <w:rPr>
          <w:position w:val="-6"/>
          <w:sz w:val="11"/>
        </w:rPr>
        <w:t>2 </w:t>
      </w:r>
      <w:r>
        <w:rPr/>
        <w:t>storage in geological media  are the lack of data, their uncertainty, the resources </w:t>
      </w:r>
      <w:r>
        <w:rPr>
          <w:spacing w:val="-3"/>
        </w:rPr>
        <w:t>needed     </w:t>
      </w:r>
      <w:r>
        <w:rPr/>
        <w:t>to process data when available and the fact that frequently more than one trapping mechanism is active. This leads to </w:t>
      </w:r>
      <w:r>
        <w:rPr>
          <w:spacing w:val="-5"/>
        </w:rPr>
        <w:t>two </w:t>
      </w:r>
      <w:r>
        <w:rPr/>
        <w:t>situations:</w:t>
      </w:r>
    </w:p>
    <w:p>
      <w:pPr>
        <w:pStyle w:val="ListParagraph"/>
        <w:numPr>
          <w:ilvl w:val="1"/>
          <w:numId w:val="6"/>
        </w:numPr>
        <w:tabs>
          <w:tab w:pos="838" w:val="left" w:leader="none"/>
        </w:tabs>
        <w:spacing w:line="249" w:lineRule="auto" w:before="0" w:after="0"/>
        <w:ind w:left="837" w:right="0" w:hanging="284"/>
        <w:jc w:val="both"/>
        <w:rPr>
          <w:sz w:val="20"/>
        </w:rPr>
      </w:pPr>
      <w:r>
        <w:rPr>
          <w:sz w:val="20"/>
        </w:rPr>
        <w:t>Global capacity estimates have been calculated by simplifying assumptions and using very simplistic methods and hence are not reliable;</w:t>
      </w:r>
    </w:p>
    <w:p>
      <w:pPr>
        <w:pStyle w:val="ListParagraph"/>
        <w:numPr>
          <w:ilvl w:val="1"/>
          <w:numId w:val="6"/>
        </w:numPr>
        <w:tabs>
          <w:tab w:pos="838" w:val="left" w:leader="none"/>
        </w:tabs>
        <w:spacing w:line="232" w:lineRule="exact" w:before="0" w:after="0"/>
        <w:ind w:left="837" w:right="0" w:hanging="285"/>
        <w:jc w:val="both"/>
        <w:rPr>
          <w:sz w:val="20"/>
        </w:rPr>
      </w:pPr>
      <w:r>
        <w:rPr>
          <w:sz w:val="20"/>
        </w:rPr>
        <w:t>Country-</w:t>
      </w:r>
      <w:r>
        <w:rPr>
          <w:spacing w:val="20"/>
          <w:sz w:val="20"/>
        </w:rPr>
        <w:t> </w:t>
      </w:r>
      <w:r>
        <w:rPr>
          <w:sz w:val="20"/>
        </w:rPr>
        <w:t>and</w:t>
      </w:r>
      <w:r>
        <w:rPr>
          <w:spacing w:val="21"/>
          <w:sz w:val="20"/>
        </w:rPr>
        <w:t> </w:t>
      </w:r>
      <w:r>
        <w:rPr>
          <w:sz w:val="20"/>
        </w:rPr>
        <w:t>region-</w:t>
      </w:r>
      <w:r>
        <w:rPr>
          <w:spacing w:val="20"/>
          <w:sz w:val="20"/>
        </w:rPr>
        <w:t> </w:t>
      </w:r>
      <w:r>
        <w:rPr>
          <w:sz w:val="20"/>
        </w:rPr>
        <w:t>or</w:t>
      </w:r>
      <w:r>
        <w:rPr>
          <w:spacing w:val="21"/>
          <w:sz w:val="20"/>
        </w:rPr>
        <w:t> </w:t>
      </w:r>
      <w:r>
        <w:rPr>
          <w:sz w:val="20"/>
        </w:rPr>
        <w:t>basin-specific</w:t>
      </w:r>
      <w:r>
        <w:rPr>
          <w:spacing w:val="21"/>
          <w:sz w:val="20"/>
        </w:rPr>
        <w:t> </w:t>
      </w:r>
      <w:r>
        <w:rPr>
          <w:sz w:val="20"/>
        </w:rPr>
        <w:t>estimates</w:t>
      </w:r>
      <w:r>
        <w:rPr>
          <w:spacing w:val="20"/>
          <w:sz w:val="20"/>
        </w:rPr>
        <w:t> </w:t>
      </w:r>
      <w:r>
        <w:rPr>
          <w:sz w:val="20"/>
        </w:rPr>
        <w:t>are</w:t>
      </w:r>
      <w:r>
        <w:rPr>
          <w:spacing w:val="21"/>
          <w:sz w:val="20"/>
        </w:rPr>
        <w:t> </w:t>
      </w:r>
      <w:r>
        <w:rPr>
          <w:spacing w:val="-4"/>
          <w:sz w:val="20"/>
        </w:rPr>
        <w:t>more</w:t>
      </w:r>
    </w:p>
    <w:p>
      <w:pPr>
        <w:pStyle w:val="BodyText"/>
        <w:spacing w:line="249" w:lineRule="auto"/>
        <w:ind w:left="837"/>
        <w:jc w:val="both"/>
      </w:pPr>
      <w:r>
        <w:rPr/>
        <w:t>detailed and precise, but are still affected by the limitations imposed by availability of data and the methodology used. Country- or basin-specific capacity estimates are available only for North America, Western Europe, Australia and Japan.</w:t>
      </w:r>
    </w:p>
    <w:p>
      <w:pPr>
        <w:pStyle w:val="BodyText"/>
        <w:spacing w:before="2"/>
        <w:rPr>
          <w:sz w:val="21"/>
        </w:rPr>
      </w:pPr>
    </w:p>
    <w:p>
      <w:pPr>
        <w:pStyle w:val="BodyText"/>
        <w:spacing w:line="249" w:lineRule="auto"/>
        <w:ind w:left="553" w:right="1"/>
        <w:jc w:val="both"/>
      </w:pPr>
      <w:bookmarkStart w:name="_bookmark31" w:id="55"/>
      <w:bookmarkEnd w:id="55"/>
      <w:r>
        <w:rPr/>
      </w:r>
      <w:r>
        <w:rPr/>
        <w:t>The geographical distribution and capacity estimates are presented below and summarized in </w:t>
      </w:r>
      <w:hyperlink w:history="true" w:anchor="_bookmark31">
        <w:r>
          <w:rPr/>
          <w:t>Table 5.2.</w:t>
        </w:r>
      </w:hyperlink>
    </w:p>
    <w:p>
      <w:pPr>
        <w:pStyle w:val="BodyText"/>
        <w:rPr>
          <w:sz w:val="21"/>
        </w:rPr>
      </w:pPr>
    </w:p>
    <w:p>
      <w:pPr>
        <w:pStyle w:val="ListParagraph"/>
        <w:numPr>
          <w:ilvl w:val="3"/>
          <w:numId w:val="4"/>
        </w:numPr>
        <w:tabs>
          <w:tab w:pos="1374" w:val="left" w:leader="none"/>
        </w:tabs>
        <w:spacing w:line="240" w:lineRule="auto" w:before="1" w:after="0"/>
        <w:ind w:left="1373" w:right="0" w:hanging="821"/>
        <w:jc w:val="both"/>
        <w:rPr>
          <w:i/>
          <w:sz w:val="20"/>
        </w:rPr>
      </w:pPr>
      <w:r>
        <w:rPr>
          <w:i/>
          <w:sz w:val="20"/>
        </w:rPr>
        <w:t>Storage in oil and gas</w:t>
      </w:r>
      <w:r>
        <w:rPr>
          <w:i/>
          <w:spacing w:val="-2"/>
          <w:sz w:val="20"/>
        </w:rPr>
        <w:t> </w:t>
      </w:r>
      <w:r>
        <w:rPr>
          <w:i/>
          <w:sz w:val="20"/>
        </w:rPr>
        <w:t>reservoirs</w:t>
      </w:r>
    </w:p>
    <w:p>
      <w:pPr>
        <w:pStyle w:val="BodyText"/>
        <w:spacing w:line="240" w:lineRule="exact" w:before="4"/>
        <w:ind w:left="553"/>
        <w:jc w:val="both"/>
      </w:pPr>
      <w:r>
        <w:rPr/>
        <w:t>This CO</w:t>
      </w:r>
      <w:r>
        <w:rPr>
          <w:position w:val="-6"/>
          <w:sz w:val="11"/>
        </w:rPr>
        <w:t>2 </w:t>
      </w:r>
      <w:r>
        <w:rPr/>
        <w:t>storage option is restricted to hydrocarbon-producing basins, which represent numerically less than half of the sedimentary</w:t>
      </w:r>
      <w:r>
        <w:rPr>
          <w:spacing w:val="-10"/>
        </w:rPr>
        <w:t> </w:t>
      </w:r>
      <w:r>
        <w:rPr/>
        <w:t>provinces</w:t>
      </w:r>
      <w:r>
        <w:rPr>
          <w:spacing w:val="-10"/>
        </w:rPr>
        <w:t> </w:t>
      </w:r>
      <w:r>
        <w:rPr/>
        <w:t>in</w:t>
      </w:r>
      <w:r>
        <w:rPr>
          <w:spacing w:val="-9"/>
        </w:rPr>
        <w:t> </w:t>
      </w:r>
      <w:r>
        <w:rPr/>
        <w:t>the</w:t>
      </w:r>
      <w:r>
        <w:rPr>
          <w:spacing w:val="-10"/>
        </w:rPr>
        <w:t> </w:t>
      </w:r>
      <w:r>
        <w:rPr/>
        <w:t>world.</w:t>
      </w:r>
      <w:r>
        <w:rPr>
          <w:spacing w:val="-9"/>
        </w:rPr>
        <w:t> </w:t>
      </w:r>
      <w:r>
        <w:rPr/>
        <w:t>It</w:t>
      </w:r>
      <w:r>
        <w:rPr>
          <w:spacing w:val="-10"/>
        </w:rPr>
        <w:t> </w:t>
      </w:r>
      <w:r>
        <w:rPr/>
        <w:t>is</w:t>
      </w:r>
      <w:r>
        <w:rPr>
          <w:spacing w:val="-9"/>
        </w:rPr>
        <w:t> </w:t>
      </w:r>
      <w:r>
        <w:rPr/>
        <w:t>generally</w:t>
      </w:r>
      <w:r>
        <w:rPr>
          <w:spacing w:val="-10"/>
        </w:rPr>
        <w:t> </w:t>
      </w:r>
      <w:r>
        <w:rPr/>
        <w:t>assumed</w:t>
      </w:r>
      <w:r>
        <w:rPr>
          <w:spacing w:val="-10"/>
        </w:rPr>
        <w:t> </w:t>
      </w:r>
      <w:r>
        <w:rPr/>
        <w:t>that oil and gas reservoirs can be used for CO</w:t>
      </w:r>
      <w:r>
        <w:rPr>
          <w:position w:val="-6"/>
          <w:sz w:val="11"/>
        </w:rPr>
        <w:t>2 </w:t>
      </w:r>
      <w:r>
        <w:rPr/>
        <w:t>storage after their oil or gas reserves are depleted, although storage combined with enhanced oil or gas production can occur </w:t>
      </w:r>
      <w:r>
        <w:rPr>
          <w:spacing w:val="-3"/>
        </w:rPr>
        <w:t>sooner. </w:t>
      </w:r>
      <w:r>
        <w:rPr/>
        <w:t>Short  of a detailed, reservoir-by-reservoir analysis, the CO</w:t>
      </w:r>
      <w:r>
        <w:rPr>
          <w:position w:val="-6"/>
          <w:sz w:val="11"/>
        </w:rPr>
        <w:t>2 </w:t>
      </w:r>
      <w:r>
        <w:rPr/>
        <w:t>storage capacity</w:t>
      </w:r>
      <w:r>
        <w:rPr>
          <w:spacing w:val="-18"/>
        </w:rPr>
        <w:t> </w:t>
      </w:r>
      <w:r>
        <w:rPr/>
        <w:t>can</w:t>
      </w:r>
      <w:r>
        <w:rPr>
          <w:spacing w:val="-18"/>
        </w:rPr>
        <w:t> </w:t>
      </w:r>
      <w:r>
        <w:rPr/>
        <w:t>and</w:t>
      </w:r>
      <w:r>
        <w:rPr>
          <w:spacing w:val="-17"/>
        </w:rPr>
        <w:t> </w:t>
      </w:r>
      <w:r>
        <w:rPr/>
        <w:t>should</w:t>
      </w:r>
      <w:r>
        <w:rPr>
          <w:spacing w:val="-18"/>
        </w:rPr>
        <w:t> </w:t>
      </w:r>
      <w:r>
        <w:rPr/>
        <w:t>be</w:t>
      </w:r>
      <w:r>
        <w:rPr>
          <w:spacing w:val="-17"/>
        </w:rPr>
        <w:t> </w:t>
      </w:r>
      <w:r>
        <w:rPr/>
        <w:t>calculated</w:t>
      </w:r>
      <w:r>
        <w:rPr>
          <w:spacing w:val="-18"/>
        </w:rPr>
        <w:t> </w:t>
      </w:r>
      <w:r>
        <w:rPr/>
        <w:t>from</w:t>
      </w:r>
      <w:r>
        <w:rPr>
          <w:spacing w:val="-17"/>
        </w:rPr>
        <w:t> </w:t>
      </w:r>
      <w:r>
        <w:rPr/>
        <w:t>databases</w:t>
      </w:r>
      <w:r>
        <w:rPr>
          <w:spacing w:val="-18"/>
        </w:rPr>
        <w:t> </w:t>
      </w:r>
      <w:r>
        <w:rPr/>
        <w:t>of</w:t>
      </w:r>
      <w:r>
        <w:rPr>
          <w:spacing w:val="-17"/>
        </w:rPr>
        <w:t> </w:t>
      </w:r>
      <w:r>
        <w:rPr/>
        <w:t>reserves and production (e.g., Winter and Bergman, 1993; Stevens </w:t>
      </w:r>
      <w:r>
        <w:rPr>
          <w:i/>
        </w:rPr>
        <w:t>et </w:t>
      </w:r>
      <w:r>
        <w:rPr>
          <w:i/>
        </w:rPr>
        <w:t>al.</w:t>
      </w:r>
      <w:r>
        <w:rPr/>
        <w:t>, 2001b; Bachu and </w:t>
      </w:r>
      <w:r>
        <w:rPr>
          <w:spacing w:val="-4"/>
        </w:rPr>
        <w:t>Shaw, </w:t>
      </w:r>
      <w:r>
        <w:rPr/>
        <w:t>2003, 2005; Beecy and Kuuskra, 2005).</w:t>
      </w:r>
    </w:p>
    <w:p>
      <w:pPr>
        <w:pStyle w:val="BodyText"/>
        <w:spacing w:line="240" w:lineRule="exact"/>
        <w:ind w:left="553" w:right="1" w:firstLine="283"/>
        <w:jc w:val="both"/>
      </w:pPr>
      <w:r>
        <w:rPr/>
        <w:t>In hydrocarbon reservoirs with little water encroachment, the injected CO</w:t>
      </w:r>
      <w:r>
        <w:rPr>
          <w:position w:val="-6"/>
          <w:sz w:val="11"/>
        </w:rPr>
        <w:t>2 </w:t>
      </w:r>
      <w:r>
        <w:rPr/>
        <w:t>will generally occupy the pore volume previously occupied by oil and/or natural gas. However, not all the previously (hydrocarbon-saturated) pore space will be available for CO</w:t>
      </w:r>
      <w:r>
        <w:rPr>
          <w:position w:val="-6"/>
          <w:sz w:val="11"/>
        </w:rPr>
        <w:t>2 </w:t>
      </w:r>
      <w:r>
        <w:rPr/>
        <w:t>because some residual water may be trapped in</w:t>
      </w:r>
      <w:r>
        <w:rPr>
          <w:spacing w:val="-17"/>
        </w:rPr>
        <w:t> </w:t>
      </w:r>
      <w:r>
        <w:rPr/>
        <w:t>the</w:t>
      </w:r>
      <w:r>
        <w:rPr>
          <w:spacing w:val="-16"/>
        </w:rPr>
        <w:t> </w:t>
      </w:r>
      <w:r>
        <w:rPr/>
        <w:t>pore</w:t>
      </w:r>
      <w:r>
        <w:rPr>
          <w:spacing w:val="-17"/>
        </w:rPr>
        <w:t> </w:t>
      </w:r>
      <w:r>
        <w:rPr/>
        <w:t>space</w:t>
      </w:r>
      <w:r>
        <w:rPr>
          <w:spacing w:val="-17"/>
        </w:rPr>
        <w:t> </w:t>
      </w:r>
      <w:r>
        <w:rPr/>
        <w:t>due</w:t>
      </w:r>
      <w:r>
        <w:rPr>
          <w:spacing w:val="-16"/>
        </w:rPr>
        <w:t> </w:t>
      </w:r>
      <w:r>
        <w:rPr/>
        <w:t>to</w:t>
      </w:r>
      <w:r>
        <w:rPr>
          <w:spacing w:val="-17"/>
        </w:rPr>
        <w:t> </w:t>
      </w:r>
      <w:r>
        <w:rPr/>
        <w:t>capillarity,</w:t>
      </w:r>
      <w:r>
        <w:rPr>
          <w:spacing w:val="-16"/>
        </w:rPr>
        <w:t> </w:t>
      </w:r>
      <w:r>
        <w:rPr/>
        <w:t>viscous</w:t>
      </w:r>
      <w:r>
        <w:rPr>
          <w:spacing w:val="-17"/>
        </w:rPr>
        <w:t> </w:t>
      </w:r>
      <w:r>
        <w:rPr/>
        <w:t>fingering</w:t>
      </w:r>
      <w:r>
        <w:rPr>
          <w:spacing w:val="-16"/>
        </w:rPr>
        <w:t> </w:t>
      </w:r>
      <w:r>
        <w:rPr/>
        <w:t>and</w:t>
      </w:r>
      <w:r>
        <w:rPr>
          <w:spacing w:val="-17"/>
        </w:rPr>
        <w:t> </w:t>
      </w:r>
      <w:r>
        <w:rPr/>
        <w:t>gravity effects (Stevens </w:t>
      </w:r>
      <w:r>
        <w:rPr>
          <w:i/>
        </w:rPr>
        <w:t>et al.</w:t>
      </w:r>
      <w:r>
        <w:rPr/>
        <w:t>, 2001c). In open hydrocarbon reservoirs (where pressure is maintained by water influx), in addition </w:t>
      </w:r>
      <w:r>
        <w:rPr>
          <w:spacing w:val="-6"/>
        </w:rPr>
        <w:t>to </w:t>
      </w:r>
      <w:r>
        <w:rPr/>
        <w:t>the capacity reduction caused by capillarity and other </w:t>
      </w:r>
      <w:r>
        <w:rPr>
          <w:spacing w:val="-3"/>
        </w:rPr>
        <w:t>local </w:t>
      </w:r>
      <w:r>
        <w:rPr/>
        <w:t>effects, a significant fraction of the pore space will be invaded by</w:t>
      </w:r>
      <w:r>
        <w:rPr>
          <w:spacing w:val="8"/>
        </w:rPr>
        <w:t> </w:t>
      </w:r>
      <w:r>
        <w:rPr>
          <w:spacing w:val="-3"/>
        </w:rPr>
        <w:t>water,</w:t>
      </w:r>
      <w:r>
        <w:rPr>
          <w:spacing w:val="9"/>
        </w:rPr>
        <w:t> </w:t>
      </w:r>
      <w:r>
        <w:rPr/>
        <w:t>decreasing</w:t>
      </w:r>
      <w:r>
        <w:rPr>
          <w:spacing w:val="8"/>
        </w:rPr>
        <w:t> </w:t>
      </w:r>
      <w:r>
        <w:rPr/>
        <w:t>the</w:t>
      </w:r>
      <w:r>
        <w:rPr>
          <w:spacing w:val="9"/>
        </w:rPr>
        <w:t> </w:t>
      </w:r>
      <w:r>
        <w:rPr/>
        <w:t>pore</w:t>
      </w:r>
      <w:r>
        <w:rPr>
          <w:spacing w:val="9"/>
        </w:rPr>
        <w:t> </w:t>
      </w:r>
      <w:r>
        <w:rPr/>
        <w:t>space</w:t>
      </w:r>
      <w:r>
        <w:rPr>
          <w:spacing w:val="8"/>
        </w:rPr>
        <w:t> </w:t>
      </w:r>
      <w:r>
        <w:rPr/>
        <w:t>available</w:t>
      </w:r>
      <w:r>
        <w:rPr>
          <w:spacing w:val="9"/>
        </w:rPr>
        <w:t> </w:t>
      </w:r>
      <w:r>
        <w:rPr/>
        <w:t>for</w:t>
      </w:r>
      <w:r>
        <w:rPr>
          <w:spacing w:val="8"/>
        </w:rPr>
        <w:t> </w:t>
      </w:r>
      <w:r>
        <w:rPr/>
        <w:t>CO</w:t>
      </w:r>
      <w:r>
        <w:rPr>
          <w:position w:val="-6"/>
          <w:sz w:val="11"/>
        </w:rPr>
        <w:t>2</w:t>
      </w:r>
      <w:r>
        <w:rPr>
          <w:spacing w:val="4"/>
          <w:position w:val="-6"/>
          <w:sz w:val="11"/>
        </w:rPr>
        <w:t> </w:t>
      </w:r>
      <w:r>
        <w:rPr/>
        <w:t>storage,</w:t>
      </w:r>
    </w:p>
    <w:p>
      <w:pPr>
        <w:pStyle w:val="BodyText"/>
        <w:spacing w:before="9"/>
        <w:rPr>
          <w:sz w:val="21"/>
        </w:rPr>
      </w:pPr>
      <w:r>
        <w:rPr/>
        <w:br w:type="column"/>
      </w:r>
      <w:r>
        <w:rPr>
          <w:sz w:val="21"/>
        </w:rPr>
      </w:r>
    </w:p>
    <w:p>
      <w:pPr>
        <w:pStyle w:val="BodyText"/>
        <w:spacing w:line="240" w:lineRule="exact"/>
        <w:ind w:left="240" w:right="133"/>
        <w:jc w:val="both"/>
      </w:pPr>
      <w:r>
        <w:rPr/>
        <w:t>if repressuring the reservoir is limited to preserve reservoir integrity. In </w:t>
      </w:r>
      <w:r>
        <w:rPr>
          <w:spacing w:val="-3"/>
        </w:rPr>
        <w:t>Western </w:t>
      </w:r>
      <w:r>
        <w:rPr/>
        <w:t>Canada, this loss was estimated to be in the order of 30% for gas reservoirs and 50% for oil reservoirs if reservoir repressuring with CO</w:t>
      </w:r>
      <w:r>
        <w:rPr>
          <w:position w:val="-6"/>
          <w:sz w:val="11"/>
        </w:rPr>
        <w:t>2 </w:t>
      </w:r>
      <w:r>
        <w:rPr/>
        <w:t>is limited to the initial reservoir pressure (Bachu </w:t>
      </w:r>
      <w:r>
        <w:rPr>
          <w:i/>
        </w:rPr>
        <w:t>et al.</w:t>
      </w:r>
      <w:r>
        <w:rPr/>
        <w:t>, 2004). The capacity estimates presented here for oil and gas reservoirs have not included </w:t>
      </w:r>
      <w:r>
        <w:rPr>
          <w:spacing w:val="-4"/>
        </w:rPr>
        <w:t>any </w:t>
      </w:r>
      <w:r>
        <w:rPr/>
        <w:t>‘discounting’</w:t>
      </w:r>
      <w:r>
        <w:rPr>
          <w:spacing w:val="-22"/>
        </w:rPr>
        <w:t> </w:t>
      </w:r>
      <w:r>
        <w:rPr/>
        <w:t>that</w:t>
      </w:r>
      <w:r>
        <w:rPr>
          <w:spacing w:val="-9"/>
        </w:rPr>
        <w:t> </w:t>
      </w:r>
      <w:r>
        <w:rPr/>
        <w:t>may</w:t>
      </w:r>
      <w:r>
        <w:rPr>
          <w:spacing w:val="-7"/>
        </w:rPr>
        <w:t> </w:t>
      </w:r>
      <w:r>
        <w:rPr/>
        <w:t>be</w:t>
      </w:r>
      <w:r>
        <w:rPr>
          <w:spacing w:val="-7"/>
        </w:rPr>
        <w:t> </w:t>
      </w:r>
      <w:r>
        <w:rPr/>
        <w:t>appropriate</w:t>
      </w:r>
      <w:r>
        <w:rPr>
          <w:spacing w:val="-9"/>
        </w:rPr>
        <w:t> </w:t>
      </w:r>
      <w:r>
        <w:rPr/>
        <w:t>for</w:t>
      </w:r>
      <w:r>
        <w:rPr>
          <w:spacing w:val="-7"/>
        </w:rPr>
        <w:t> </w:t>
      </w:r>
      <w:r>
        <w:rPr/>
        <w:t>water-drive</w:t>
      </w:r>
      <w:r>
        <w:rPr>
          <w:spacing w:val="-7"/>
        </w:rPr>
        <w:t> </w:t>
      </w:r>
      <w:r>
        <w:rPr/>
        <w:t>reservoirs because detailed site-specific reservoir analysis is needed to assess the effects of water-drive on capacity on a case-by-case basis.</w:t>
      </w:r>
    </w:p>
    <w:p>
      <w:pPr>
        <w:pStyle w:val="BodyText"/>
        <w:spacing w:line="240" w:lineRule="exact"/>
        <w:ind w:left="240" w:right="133" w:firstLine="283"/>
        <w:jc w:val="both"/>
      </w:pPr>
      <w:r>
        <w:rPr/>
        <w:t>Many storage-capacity estimates for oil and gas fields do not distinguish capacity relating to oil and gas that has already been produced from capacity relating to remaining reserves</w:t>
      </w:r>
      <w:r>
        <w:rPr>
          <w:spacing w:val="-16"/>
        </w:rPr>
        <w:t> </w:t>
      </w:r>
      <w:r>
        <w:rPr/>
        <w:t>yet to be produced and that will become available in future years. In some global assessments, estimates also attribute capacity to undiscovered oil and gas fields that might be discovered in future years. There is uncertainty about when oil and gas fields will be depleted and become available for CO</w:t>
      </w:r>
      <w:r>
        <w:rPr>
          <w:position w:val="-6"/>
          <w:sz w:val="11"/>
        </w:rPr>
        <w:t>2 </w:t>
      </w:r>
      <w:r>
        <w:rPr/>
        <w:t>storage. The depletion of oil and gas fields is mostly affected by economic rather than technical considerations, particularly oil and </w:t>
      </w:r>
      <w:r>
        <w:rPr>
          <w:spacing w:val="-5"/>
        </w:rPr>
        <w:t>gas </w:t>
      </w:r>
      <w:r>
        <w:rPr/>
        <w:t>prices. It is possible that production from near-depleted fields will be extended if future economic considerations allow more hydrocarbons to be recovered, thus delaying access to such fields for CO</w:t>
      </w:r>
      <w:r>
        <w:rPr>
          <w:position w:val="-6"/>
          <w:sz w:val="11"/>
        </w:rPr>
        <w:t>2 </w:t>
      </w:r>
      <w:r>
        <w:rPr/>
        <w:t>storage. Currently few of the </w:t>
      </w:r>
      <w:r>
        <w:rPr>
          <w:spacing w:val="-3"/>
        </w:rPr>
        <w:t>world’s </w:t>
      </w:r>
      <w:r>
        <w:rPr/>
        <w:t>large oil and gas fields are</w:t>
      </w:r>
      <w:r>
        <w:rPr>
          <w:spacing w:val="-3"/>
        </w:rPr>
        <w:t> </w:t>
      </w:r>
      <w:r>
        <w:rPr/>
        <w:t>depleted.</w:t>
      </w:r>
    </w:p>
    <w:p>
      <w:pPr>
        <w:pStyle w:val="BodyText"/>
        <w:spacing w:line="240" w:lineRule="exact"/>
        <w:ind w:left="240" w:right="132" w:firstLine="283"/>
        <w:jc w:val="both"/>
      </w:pPr>
      <w:r>
        <w:rPr/>
        <w:t>A</w:t>
      </w:r>
      <w:r>
        <w:rPr>
          <w:spacing w:val="-29"/>
        </w:rPr>
        <w:t> </w:t>
      </w:r>
      <w:r>
        <w:rPr/>
        <w:t>variety</w:t>
      </w:r>
      <w:r>
        <w:rPr>
          <w:spacing w:val="-18"/>
        </w:rPr>
        <w:t> </w:t>
      </w:r>
      <w:r>
        <w:rPr/>
        <w:t>of</w:t>
      </w:r>
      <w:r>
        <w:rPr>
          <w:spacing w:val="-16"/>
        </w:rPr>
        <w:t> </w:t>
      </w:r>
      <w:r>
        <w:rPr/>
        <w:t>regional</w:t>
      </w:r>
      <w:r>
        <w:rPr>
          <w:spacing w:val="-18"/>
        </w:rPr>
        <w:t> </w:t>
      </w:r>
      <w:r>
        <w:rPr/>
        <w:t>and</w:t>
      </w:r>
      <w:r>
        <w:rPr>
          <w:spacing w:val="-17"/>
        </w:rPr>
        <w:t> </w:t>
      </w:r>
      <w:r>
        <w:rPr/>
        <w:t>global</w:t>
      </w:r>
      <w:r>
        <w:rPr>
          <w:spacing w:val="-17"/>
        </w:rPr>
        <w:t> </w:t>
      </w:r>
      <w:r>
        <w:rPr/>
        <w:t>estimates</w:t>
      </w:r>
      <w:r>
        <w:rPr>
          <w:spacing w:val="-18"/>
        </w:rPr>
        <w:t> </w:t>
      </w:r>
      <w:r>
        <w:rPr/>
        <w:t>of</w:t>
      </w:r>
      <w:r>
        <w:rPr>
          <w:spacing w:val="-17"/>
        </w:rPr>
        <w:t> </w:t>
      </w:r>
      <w:r>
        <w:rPr/>
        <w:t>storage</w:t>
      </w:r>
      <w:r>
        <w:rPr>
          <w:spacing w:val="-17"/>
        </w:rPr>
        <w:t> </w:t>
      </w:r>
      <w:r>
        <w:rPr/>
        <w:t>capacity in oil and gas fields have been made. Regional and national assessments use a ‘bottom-up’ approach that is based on field reserves data from each area’s existing and discovered oil and gas</w:t>
      </w:r>
      <w:r>
        <w:rPr>
          <w:spacing w:val="-10"/>
        </w:rPr>
        <w:t> </w:t>
      </w:r>
      <w:r>
        <w:rPr/>
        <w:t>fields.</w:t>
      </w:r>
      <w:r>
        <w:rPr>
          <w:spacing w:val="-20"/>
        </w:rPr>
        <w:t> </w:t>
      </w:r>
      <w:r>
        <w:rPr/>
        <w:t>Although</w:t>
      </w:r>
      <w:r>
        <w:rPr>
          <w:spacing w:val="-10"/>
        </w:rPr>
        <w:t> </w:t>
      </w:r>
      <w:r>
        <w:rPr/>
        <w:t>the</w:t>
      </w:r>
      <w:r>
        <w:rPr>
          <w:spacing w:val="-10"/>
        </w:rPr>
        <w:t> </w:t>
      </w:r>
      <w:r>
        <w:rPr/>
        <w:t>methodologies</w:t>
      </w:r>
      <w:r>
        <w:rPr>
          <w:spacing w:val="-10"/>
        </w:rPr>
        <w:t> </w:t>
      </w:r>
      <w:r>
        <w:rPr/>
        <w:t>used</w:t>
      </w:r>
      <w:r>
        <w:rPr>
          <w:spacing w:val="-10"/>
        </w:rPr>
        <w:t> </w:t>
      </w:r>
      <w:r>
        <w:rPr/>
        <w:t>may</w:t>
      </w:r>
      <w:r>
        <w:rPr>
          <w:spacing w:val="-10"/>
        </w:rPr>
        <w:t> </w:t>
      </w:r>
      <w:r>
        <w:rPr/>
        <w:t>differ,</w:t>
      </w:r>
      <w:r>
        <w:rPr>
          <w:spacing w:val="-10"/>
        </w:rPr>
        <w:t> </w:t>
      </w:r>
      <w:r>
        <w:rPr/>
        <w:t>there</w:t>
      </w:r>
      <w:r>
        <w:rPr>
          <w:spacing w:val="-9"/>
        </w:rPr>
        <w:t> </w:t>
      </w:r>
      <w:r>
        <w:rPr/>
        <w:t>is a higher level of confidence in these than the global estimates, for the reasons outlined previously. Currently, this type </w:t>
      </w:r>
      <w:r>
        <w:rPr>
          <w:spacing w:val="-7"/>
        </w:rPr>
        <w:t>of </w:t>
      </w:r>
      <w:r>
        <w:rPr/>
        <w:t>assessment is available only for northwestern Europe, United States, Canada and Australia. In Europe, there have been three bottom-up attempts to estimate the CO</w:t>
      </w:r>
      <w:r>
        <w:rPr>
          <w:position w:val="-6"/>
          <w:sz w:val="11"/>
        </w:rPr>
        <w:t>2 </w:t>
      </w:r>
      <w:r>
        <w:rPr/>
        <w:t>storage capacity of oil and</w:t>
      </w:r>
      <w:r>
        <w:rPr>
          <w:spacing w:val="-20"/>
        </w:rPr>
        <w:t> </w:t>
      </w:r>
      <w:r>
        <w:rPr/>
        <w:t>gas</w:t>
      </w:r>
      <w:r>
        <w:rPr>
          <w:spacing w:val="-20"/>
        </w:rPr>
        <w:t> </w:t>
      </w:r>
      <w:r>
        <w:rPr/>
        <w:t>reservoirs</w:t>
      </w:r>
      <w:r>
        <w:rPr>
          <w:spacing w:val="-19"/>
        </w:rPr>
        <w:t> </w:t>
      </w:r>
      <w:r>
        <w:rPr/>
        <w:t>covering</w:t>
      </w:r>
      <w:r>
        <w:rPr>
          <w:spacing w:val="-20"/>
        </w:rPr>
        <w:t> </w:t>
      </w:r>
      <w:r>
        <w:rPr/>
        <w:t>parts</w:t>
      </w:r>
      <w:r>
        <w:rPr>
          <w:spacing w:val="-20"/>
        </w:rPr>
        <w:t> </w:t>
      </w:r>
      <w:r>
        <w:rPr/>
        <w:t>of</w:t>
      </w:r>
      <w:r>
        <w:rPr>
          <w:spacing w:val="-19"/>
        </w:rPr>
        <w:t> </w:t>
      </w:r>
      <w:r>
        <w:rPr/>
        <w:t>Europe,</w:t>
      </w:r>
      <w:r>
        <w:rPr>
          <w:spacing w:val="-20"/>
        </w:rPr>
        <w:t> </w:t>
      </w:r>
      <w:r>
        <w:rPr/>
        <w:t>but</w:t>
      </w:r>
      <w:r>
        <w:rPr>
          <w:spacing w:val="-19"/>
        </w:rPr>
        <w:t> </w:t>
      </w:r>
      <w:r>
        <w:rPr/>
        <w:t>comprising</w:t>
      </w:r>
      <w:r>
        <w:rPr>
          <w:spacing w:val="-20"/>
        </w:rPr>
        <w:t> </w:t>
      </w:r>
      <w:r>
        <w:rPr>
          <w:spacing w:val="-4"/>
        </w:rPr>
        <w:t>most </w:t>
      </w:r>
      <w:r>
        <w:rPr/>
        <w:t>of Europe’s storage capacity since they include the North Sea (Holloway, 1996; Wildenborg </w:t>
      </w:r>
      <w:r>
        <w:rPr>
          <w:i/>
        </w:rPr>
        <w:t>et al.</w:t>
      </w:r>
      <w:r>
        <w:rPr/>
        <w:t>, 2005b). The</w:t>
      </w:r>
      <w:r>
        <w:rPr>
          <w:spacing w:val="-11"/>
        </w:rPr>
        <w:t> </w:t>
      </w:r>
      <w:r>
        <w:rPr/>
        <w:t>methodology used in all three studies was based on the assumption that     the total reservoir volume of hydrocarbons could be replaced by CO</w:t>
      </w:r>
      <w:r>
        <w:rPr>
          <w:position w:val="-6"/>
          <w:sz w:val="11"/>
        </w:rPr>
        <w:t>2</w:t>
      </w:r>
      <w:r>
        <w:rPr/>
        <w:t>. The operators’ estimate of ‘ultimately recoverable reserves’ (URR) was used for each field where available or was estimated. The underground volume occupied by the  URR and the amount of CO</w:t>
      </w:r>
      <w:r>
        <w:rPr>
          <w:position w:val="-6"/>
          <w:sz w:val="11"/>
        </w:rPr>
        <w:t>2 </w:t>
      </w:r>
      <w:r>
        <w:rPr/>
        <w:t>that could be stored in that space under reservoir conditions was then calculated. Undiscovered reserves</w:t>
      </w:r>
      <w:r>
        <w:rPr>
          <w:spacing w:val="15"/>
        </w:rPr>
        <w:t> </w:t>
      </w:r>
      <w:r>
        <w:rPr/>
        <w:t>were</w:t>
      </w:r>
      <w:r>
        <w:rPr>
          <w:spacing w:val="15"/>
        </w:rPr>
        <w:t> </w:t>
      </w:r>
      <w:r>
        <w:rPr/>
        <w:t>excluded.</w:t>
      </w:r>
      <w:r>
        <w:rPr>
          <w:spacing w:val="15"/>
        </w:rPr>
        <w:t> </w:t>
      </w:r>
      <w:r>
        <w:rPr/>
        <w:t>For</w:t>
      </w:r>
      <w:r>
        <w:rPr>
          <w:spacing w:val="15"/>
        </w:rPr>
        <w:t> </w:t>
      </w:r>
      <w:r>
        <w:rPr/>
        <w:t>Canada,</w:t>
      </w:r>
      <w:r>
        <w:rPr>
          <w:spacing w:val="15"/>
        </w:rPr>
        <w:t> </w:t>
      </w:r>
      <w:r>
        <w:rPr/>
        <w:t>the</w:t>
      </w:r>
      <w:r>
        <w:rPr>
          <w:spacing w:val="15"/>
        </w:rPr>
        <w:t> </w:t>
      </w:r>
      <w:r>
        <w:rPr/>
        <w:t>assumption</w:t>
      </w:r>
      <w:r>
        <w:rPr>
          <w:spacing w:val="16"/>
        </w:rPr>
        <w:t> </w:t>
      </w:r>
      <w:r>
        <w:rPr/>
        <w:t>was</w:t>
      </w:r>
      <w:r>
        <w:rPr>
          <w:spacing w:val="15"/>
        </w:rPr>
        <w:t> </w:t>
      </w:r>
      <w:r>
        <w:rPr/>
        <w:t>that</w:t>
      </w:r>
    </w:p>
    <w:p>
      <w:pPr>
        <w:spacing w:after="0" w:line="240" w:lineRule="exact"/>
        <w:jc w:val="both"/>
        <w:sectPr>
          <w:type w:val="continuous"/>
          <w:pgSz w:w="12240" w:h="15840"/>
          <w:pgMar w:top="400" w:bottom="280" w:left="580" w:right="600"/>
          <w:cols w:num="2" w:equalWidth="0">
            <w:col w:w="5600" w:space="40"/>
            <w:col w:w="5420"/>
          </w:cols>
        </w:sectPr>
      </w:pPr>
    </w:p>
    <w:p>
      <w:pPr>
        <w:pStyle w:val="BodyText"/>
      </w:pPr>
    </w:p>
    <w:p>
      <w:pPr>
        <w:pStyle w:val="BodyText"/>
        <w:rPr>
          <w:sz w:val="17"/>
        </w:rPr>
      </w:pPr>
    </w:p>
    <w:p>
      <w:pPr>
        <w:spacing w:before="67" w:after="41"/>
        <w:ind w:left="573" w:right="0" w:firstLine="0"/>
        <w:jc w:val="left"/>
        <w:rPr>
          <w:sz w:val="18"/>
        </w:rPr>
      </w:pPr>
      <w:r>
        <w:rPr>
          <w:b/>
          <w:spacing w:val="-17"/>
          <w:w w:val="200"/>
          <w:sz w:val="18"/>
        </w:rPr>
        <w:t>t</w:t>
      </w:r>
      <w:r>
        <w:rPr>
          <w:b/>
          <w:sz w:val="18"/>
        </w:rPr>
        <w:t>able 5.2  </w:t>
      </w:r>
      <w:r>
        <w:rPr>
          <w:spacing w:val="-1"/>
          <w:sz w:val="18"/>
        </w:rPr>
        <w:t>Storag</w:t>
      </w:r>
      <w:r>
        <w:rPr>
          <w:sz w:val="18"/>
        </w:rPr>
        <w:t>e</w:t>
      </w:r>
      <w:r>
        <w:rPr>
          <w:spacing w:val="-1"/>
          <w:sz w:val="18"/>
        </w:rPr>
        <w:t> </w:t>
      </w:r>
      <w:r>
        <w:rPr>
          <w:sz w:val="18"/>
        </w:rPr>
        <w:t>capacity for </w:t>
      </w:r>
      <w:r>
        <w:rPr>
          <w:spacing w:val="-1"/>
          <w:sz w:val="18"/>
        </w:rPr>
        <w:t>severa</w:t>
      </w:r>
      <w:r>
        <w:rPr>
          <w:sz w:val="18"/>
        </w:rPr>
        <w:t>l</w:t>
      </w:r>
      <w:r>
        <w:rPr>
          <w:spacing w:val="-1"/>
          <w:sz w:val="18"/>
        </w:rPr>
        <w:t> </w:t>
      </w:r>
      <w:r>
        <w:rPr>
          <w:sz w:val="18"/>
        </w:rPr>
        <w:t>geological </w:t>
      </w:r>
      <w:r>
        <w:rPr>
          <w:spacing w:val="-1"/>
          <w:sz w:val="18"/>
        </w:rPr>
        <w:t>storag</w:t>
      </w:r>
      <w:r>
        <w:rPr>
          <w:sz w:val="18"/>
        </w:rPr>
        <w:t>e</w:t>
      </w:r>
      <w:r>
        <w:rPr>
          <w:spacing w:val="-1"/>
          <w:sz w:val="18"/>
        </w:rPr>
        <w:t> </w:t>
      </w:r>
      <w:r>
        <w:rPr>
          <w:sz w:val="18"/>
        </w:rPr>
        <w:t>options.</w:t>
      </w:r>
      <w:r>
        <w:rPr>
          <w:spacing w:val="-4"/>
          <w:sz w:val="18"/>
        </w:rPr>
        <w:t> </w:t>
      </w:r>
      <w:r>
        <w:rPr>
          <w:sz w:val="18"/>
        </w:rPr>
        <w:t>The </w:t>
      </w:r>
      <w:r>
        <w:rPr>
          <w:spacing w:val="-1"/>
          <w:sz w:val="18"/>
        </w:rPr>
        <w:t>storag</w:t>
      </w:r>
      <w:r>
        <w:rPr>
          <w:sz w:val="18"/>
        </w:rPr>
        <w:t>e</w:t>
      </w:r>
      <w:r>
        <w:rPr>
          <w:spacing w:val="-1"/>
          <w:sz w:val="18"/>
        </w:rPr>
        <w:t> </w:t>
      </w:r>
      <w:r>
        <w:rPr>
          <w:sz w:val="18"/>
        </w:rPr>
        <w:t>capacity includes </w:t>
      </w:r>
      <w:r>
        <w:rPr>
          <w:spacing w:val="-1"/>
          <w:sz w:val="18"/>
        </w:rPr>
        <w:t>storag</w:t>
      </w:r>
      <w:r>
        <w:rPr>
          <w:sz w:val="18"/>
        </w:rPr>
        <w:t>e</w:t>
      </w:r>
      <w:r>
        <w:rPr>
          <w:spacing w:val="-1"/>
          <w:sz w:val="18"/>
        </w:rPr>
        <w:t> </w:t>
      </w:r>
      <w:r>
        <w:rPr>
          <w:sz w:val="18"/>
        </w:rPr>
        <w:t>options that are not economical.</w:t>
      </w:r>
    </w:p>
    <w:tbl>
      <w:tblPr>
        <w:tblW w:w="0" w:type="auto"/>
        <w:jc w:val="left"/>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9"/>
        <w:gridCol w:w="3419"/>
        <w:gridCol w:w="3419"/>
      </w:tblGrid>
      <w:tr>
        <w:trPr>
          <w:trHeight w:val="500" w:hRule="atLeast"/>
        </w:trPr>
        <w:tc>
          <w:tcPr>
            <w:tcW w:w="3419" w:type="dxa"/>
            <w:shd w:val="clear" w:color="auto" w:fill="E0EEE0"/>
          </w:tcPr>
          <w:p>
            <w:pPr>
              <w:pStyle w:val="TableParagraph"/>
              <w:spacing w:before="42"/>
              <w:ind w:left="77"/>
              <w:rPr>
                <w:b/>
                <w:sz w:val="18"/>
              </w:rPr>
            </w:pPr>
            <w:r>
              <w:rPr>
                <w:b/>
                <w:sz w:val="18"/>
              </w:rPr>
              <w:t>Reservoir type</w:t>
            </w:r>
          </w:p>
        </w:tc>
        <w:tc>
          <w:tcPr>
            <w:tcW w:w="3419" w:type="dxa"/>
            <w:shd w:val="clear" w:color="auto" w:fill="E0EEE0"/>
          </w:tcPr>
          <w:p>
            <w:pPr>
              <w:pStyle w:val="TableParagraph"/>
              <w:spacing w:line="216" w:lineRule="exact" w:before="37"/>
              <w:ind w:left="1385" w:right="355" w:hanging="1021"/>
              <w:rPr>
                <w:b/>
                <w:sz w:val="18"/>
              </w:rPr>
            </w:pPr>
            <w:r>
              <w:rPr>
                <w:b/>
                <w:sz w:val="18"/>
              </w:rPr>
              <w:t>Lower estimate of storage capacity (GtCO</w:t>
            </w:r>
            <w:r>
              <w:rPr>
                <w:b/>
                <w:position w:val="-5"/>
                <w:sz w:val="10"/>
              </w:rPr>
              <w:t>2</w:t>
            </w:r>
            <w:r>
              <w:rPr>
                <w:b/>
                <w:sz w:val="18"/>
              </w:rPr>
              <w:t>)</w:t>
            </w:r>
          </w:p>
        </w:tc>
        <w:tc>
          <w:tcPr>
            <w:tcW w:w="3419" w:type="dxa"/>
            <w:shd w:val="clear" w:color="auto" w:fill="E0EEE0"/>
          </w:tcPr>
          <w:p>
            <w:pPr>
              <w:pStyle w:val="TableParagraph"/>
              <w:spacing w:line="216" w:lineRule="exact" w:before="37"/>
              <w:ind w:left="1385" w:right="360" w:hanging="1016"/>
              <w:rPr>
                <w:b/>
                <w:sz w:val="18"/>
              </w:rPr>
            </w:pPr>
            <w:r>
              <w:rPr>
                <w:b/>
                <w:sz w:val="18"/>
              </w:rPr>
              <w:t>Upper estimate of storage capacity (GtCO</w:t>
            </w:r>
            <w:r>
              <w:rPr>
                <w:b/>
                <w:position w:val="-5"/>
                <w:sz w:val="10"/>
              </w:rPr>
              <w:t>2</w:t>
            </w:r>
            <w:r>
              <w:rPr>
                <w:b/>
                <w:sz w:val="18"/>
              </w:rPr>
              <w:t>)</w:t>
            </w:r>
          </w:p>
        </w:tc>
      </w:tr>
      <w:tr>
        <w:trPr>
          <w:trHeight w:val="312" w:hRule="atLeast"/>
        </w:trPr>
        <w:tc>
          <w:tcPr>
            <w:tcW w:w="3419" w:type="dxa"/>
            <w:tcBorders>
              <w:bottom w:val="nil"/>
            </w:tcBorders>
            <w:shd w:val="clear" w:color="auto" w:fill="F9FCF9"/>
          </w:tcPr>
          <w:p>
            <w:pPr>
              <w:pStyle w:val="TableParagraph"/>
              <w:spacing w:before="42"/>
              <w:ind w:left="77"/>
              <w:rPr>
                <w:sz w:val="18"/>
              </w:rPr>
            </w:pPr>
            <w:r>
              <w:rPr>
                <w:sz w:val="18"/>
              </w:rPr>
              <w:t>Oil and gas fields</w:t>
            </w:r>
          </w:p>
        </w:tc>
        <w:tc>
          <w:tcPr>
            <w:tcW w:w="3419" w:type="dxa"/>
            <w:tcBorders>
              <w:bottom w:val="nil"/>
            </w:tcBorders>
            <w:shd w:val="clear" w:color="auto" w:fill="F9FCF9"/>
          </w:tcPr>
          <w:p>
            <w:pPr>
              <w:pStyle w:val="TableParagraph"/>
              <w:spacing w:before="42"/>
              <w:ind w:left="711" w:right="707"/>
              <w:jc w:val="center"/>
              <w:rPr>
                <w:sz w:val="10"/>
              </w:rPr>
            </w:pPr>
            <w:r>
              <w:rPr>
                <w:sz w:val="18"/>
              </w:rPr>
              <w:t>675</w:t>
            </w:r>
            <w:r>
              <w:rPr>
                <w:position w:val="6"/>
                <w:sz w:val="10"/>
              </w:rPr>
              <w:t>a</w:t>
            </w:r>
          </w:p>
        </w:tc>
        <w:tc>
          <w:tcPr>
            <w:tcW w:w="3419" w:type="dxa"/>
            <w:tcBorders>
              <w:bottom w:val="nil"/>
            </w:tcBorders>
            <w:shd w:val="clear" w:color="auto" w:fill="F9FCF9"/>
          </w:tcPr>
          <w:p>
            <w:pPr>
              <w:pStyle w:val="TableParagraph"/>
              <w:spacing w:before="42"/>
              <w:ind w:left="711" w:right="708"/>
              <w:jc w:val="center"/>
              <w:rPr>
                <w:sz w:val="10"/>
              </w:rPr>
            </w:pPr>
            <w:r>
              <w:rPr>
                <w:sz w:val="18"/>
              </w:rPr>
              <w:t>900</w:t>
            </w:r>
            <w:r>
              <w:rPr>
                <w:position w:val="6"/>
                <w:sz w:val="10"/>
              </w:rPr>
              <w:t>a</w:t>
            </w:r>
          </w:p>
        </w:tc>
      </w:tr>
      <w:tr>
        <w:trPr>
          <w:trHeight w:val="295" w:hRule="atLeast"/>
        </w:trPr>
        <w:tc>
          <w:tcPr>
            <w:tcW w:w="3419" w:type="dxa"/>
            <w:tcBorders>
              <w:top w:val="nil"/>
              <w:bottom w:val="nil"/>
            </w:tcBorders>
            <w:shd w:val="clear" w:color="auto" w:fill="F9FCF9"/>
          </w:tcPr>
          <w:p>
            <w:pPr>
              <w:pStyle w:val="TableParagraph"/>
              <w:spacing w:before="24"/>
              <w:ind w:left="77"/>
              <w:rPr>
                <w:sz w:val="18"/>
              </w:rPr>
            </w:pPr>
            <w:r>
              <w:rPr>
                <w:sz w:val="18"/>
              </w:rPr>
              <w:t>Unminable coal seams (ECBM)</w:t>
            </w:r>
          </w:p>
        </w:tc>
        <w:tc>
          <w:tcPr>
            <w:tcW w:w="3419" w:type="dxa"/>
            <w:tcBorders>
              <w:top w:val="nil"/>
              <w:bottom w:val="nil"/>
            </w:tcBorders>
            <w:shd w:val="clear" w:color="auto" w:fill="F9FCF9"/>
          </w:tcPr>
          <w:p>
            <w:pPr>
              <w:pStyle w:val="TableParagraph"/>
              <w:spacing w:before="24"/>
              <w:ind w:left="711" w:right="707"/>
              <w:jc w:val="center"/>
              <w:rPr>
                <w:sz w:val="18"/>
              </w:rPr>
            </w:pPr>
            <w:r>
              <w:rPr>
                <w:sz w:val="18"/>
              </w:rPr>
              <w:t>3-15</w:t>
            </w:r>
          </w:p>
        </w:tc>
        <w:tc>
          <w:tcPr>
            <w:tcW w:w="3419" w:type="dxa"/>
            <w:tcBorders>
              <w:top w:val="nil"/>
              <w:bottom w:val="nil"/>
            </w:tcBorders>
            <w:shd w:val="clear" w:color="auto" w:fill="F9FCF9"/>
          </w:tcPr>
          <w:p>
            <w:pPr>
              <w:pStyle w:val="TableParagraph"/>
              <w:spacing w:before="24"/>
              <w:ind w:left="711" w:right="708"/>
              <w:jc w:val="center"/>
              <w:rPr>
                <w:sz w:val="18"/>
              </w:rPr>
            </w:pPr>
            <w:r>
              <w:rPr>
                <w:sz w:val="18"/>
              </w:rPr>
              <w:t>200</w:t>
            </w:r>
          </w:p>
        </w:tc>
      </w:tr>
      <w:tr>
        <w:trPr>
          <w:trHeight w:val="267" w:hRule="atLeast"/>
        </w:trPr>
        <w:tc>
          <w:tcPr>
            <w:tcW w:w="3419" w:type="dxa"/>
            <w:tcBorders>
              <w:top w:val="nil"/>
            </w:tcBorders>
            <w:shd w:val="clear" w:color="auto" w:fill="F9FCF9"/>
          </w:tcPr>
          <w:p>
            <w:pPr>
              <w:pStyle w:val="TableParagraph"/>
              <w:spacing w:before="24"/>
              <w:ind w:left="77"/>
              <w:rPr>
                <w:sz w:val="18"/>
              </w:rPr>
            </w:pPr>
            <w:r>
              <w:rPr>
                <w:sz w:val="18"/>
              </w:rPr>
              <w:t>Deep saline formations</w:t>
            </w:r>
          </w:p>
        </w:tc>
        <w:tc>
          <w:tcPr>
            <w:tcW w:w="3419" w:type="dxa"/>
            <w:tcBorders>
              <w:top w:val="nil"/>
            </w:tcBorders>
            <w:shd w:val="clear" w:color="auto" w:fill="F9FCF9"/>
          </w:tcPr>
          <w:p>
            <w:pPr>
              <w:pStyle w:val="TableParagraph"/>
              <w:spacing w:before="24"/>
              <w:ind w:left="711" w:right="707"/>
              <w:jc w:val="center"/>
              <w:rPr>
                <w:sz w:val="18"/>
              </w:rPr>
            </w:pPr>
            <w:r>
              <w:rPr>
                <w:sz w:val="18"/>
              </w:rPr>
              <w:t>1000</w:t>
            </w:r>
          </w:p>
        </w:tc>
        <w:tc>
          <w:tcPr>
            <w:tcW w:w="3419" w:type="dxa"/>
            <w:tcBorders>
              <w:top w:val="nil"/>
            </w:tcBorders>
            <w:shd w:val="clear" w:color="auto" w:fill="F9FCF9"/>
          </w:tcPr>
          <w:p>
            <w:pPr>
              <w:pStyle w:val="TableParagraph"/>
              <w:spacing w:before="24"/>
              <w:ind w:left="711" w:right="708"/>
              <w:jc w:val="center"/>
              <w:rPr>
                <w:sz w:val="10"/>
              </w:rPr>
            </w:pPr>
            <w:r>
              <w:rPr>
                <w:sz w:val="18"/>
              </w:rPr>
              <w:t>Uncertain, but possibly 10</w:t>
            </w:r>
            <w:r>
              <w:rPr>
                <w:position w:val="6"/>
                <w:sz w:val="10"/>
              </w:rPr>
              <w:t>4</w:t>
            </w:r>
          </w:p>
        </w:tc>
      </w:tr>
    </w:tbl>
    <w:p>
      <w:pPr>
        <w:spacing w:before="60"/>
        <w:ind w:left="581" w:right="0" w:firstLine="0"/>
        <w:jc w:val="left"/>
        <w:rPr>
          <w:sz w:val="16"/>
        </w:rPr>
      </w:pPr>
      <w:r>
        <w:rPr>
          <w:position w:val="5"/>
          <w:sz w:val="9"/>
        </w:rPr>
        <w:t>a </w:t>
      </w:r>
      <w:r>
        <w:rPr>
          <w:sz w:val="16"/>
        </w:rPr>
        <w:t>These numbers would increase by 25% if “undiscovered” oil and gas fields were included in this assessment.</w:t>
      </w:r>
    </w:p>
    <w:p>
      <w:pPr>
        <w:spacing w:after="0"/>
        <w:jc w:val="left"/>
        <w:rPr>
          <w:sz w:val="16"/>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9"/>
        <w:jc w:val="both"/>
      </w:pPr>
      <w:r>
        <w:rPr/>
        <w:t>the</w:t>
      </w:r>
      <w:r>
        <w:rPr>
          <w:spacing w:val="-7"/>
        </w:rPr>
        <w:t> </w:t>
      </w:r>
      <w:r>
        <w:rPr/>
        <w:t>produced</w:t>
      </w:r>
      <w:r>
        <w:rPr>
          <w:spacing w:val="-7"/>
        </w:rPr>
        <w:t> </w:t>
      </w:r>
      <w:r>
        <w:rPr/>
        <w:t>reserves</w:t>
      </w:r>
      <w:r>
        <w:rPr>
          <w:spacing w:val="-7"/>
        </w:rPr>
        <w:t> </w:t>
      </w:r>
      <w:r>
        <w:rPr/>
        <w:t>(not</w:t>
      </w:r>
      <w:r>
        <w:rPr>
          <w:spacing w:val="-6"/>
        </w:rPr>
        <w:t> </w:t>
      </w:r>
      <w:r>
        <w:rPr/>
        <w:t>the</w:t>
      </w:r>
      <w:r>
        <w:rPr>
          <w:spacing w:val="-7"/>
        </w:rPr>
        <w:t> </w:t>
      </w:r>
      <w:r>
        <w:rPr/>
        <w:t>original</w:t>
      </w:r>
      <w:r>
        <w:rPr>
          <w:spacing w:val="-7"/>
        </w:rPr>
        <w:t> </w:t>
      </w:r>
      <w:r>
        <w:rPr/>
        <w:t>oil</w:t>
      </w:r>
      <w:r>
        <w:rPr>
          <w:spacing w:val="-6"/>
        </w:rPr>
        <w:t> </w:t>
      </w:r>
      <w:r>
        <w:rPr/>
        <w:t>or</w:t>
      </w:r>
      <w:r>
        <w:rPr>
          <w:spacing w:val="-7"/>
        </w:rPr>
        <w:t> </w:t>
      </w:r>
      <w:r>
        <w:rPr/>
        <w:t>gas</w:t>
      </w:r>
      <w:r>
        <w:rPr>
          <w:spacing w:val="-7"/>
        </w:rPr>
        <w:t> </w:t>
      </w:r>
      <w:r>
        <w:rPr/>
        <w:t>in</w:t>
      </w:r>
      <w:r>
        <w:rPr>
          <w:spacing w:val="-7"/>
        </w:rPr>
        <w:t> </w:t>
      </w:r>
      <w:r>
        <w:rPr/>
        <w:t>place)</w:t>
      </w:r>
      <w:r>
        <w:rPr>
          <w:spacing w:val="-6"/>
        </w:rPr>
        <w:t> </w:t>
      </w:r>
      <w:r>
        <w:rPr>
          <w:spacing w:val="-3"/>
        </w:rPr>
        <w:t>could </w:t>
      </w:r>
      <w:r>
        <w:rPr/>
        <w:t>be replaced by CO</w:t>
      </w:r>
      <w:r>
        <w:rPr>
          <w:position w:val="-6"/>
          <w:sz w:val="11"/>
        </w:rPr>
        <w:t>2 </w:t>
      </w:r>
      <w:r>
        <w:rPr/>
        <w:t>(theoretical capacity) for all reservoirs in </w:t>
      </w:r>
      <w:r>
        <w:rPr>
          <w:spacing w:val="-3"/>
        </w:rPr>
        <w:t>Western </w:t>
      </w:r>
      <w:r>
        <w:rPr/>
        <w:t>Canada, on the basis of </w:t>
      </w:r>
      <w:r>
        <w:rPr>
          <w:i/>
        </w:rPr>
        <w:t>in situ </w:t>
      </w:r>
      <w:r>
        <w:rPr/>
        <w:t>pressure, temperature and pore volume. Reduction coefficients were then applied    to account for aquifer invasion and all other effects </w:t>
      </w:r>
      <w:r>
        <w:rPr>
          <w:spacing w:val="-3"/>
        </w:rPr>
        <w:t>(effective </w:t>
      </w:r>
      <w:r>
        <w:rPr/>
        <w:t>capacity).</w:t>
      </w:r>
      <w:r>
        <w:rPr>
          <w:spacing w:val="-8"/>
        </w:rPr>
        <w:t> </w:t>
      </w:r>
      <w:r>
        <w:rPr/>
        <w:t>This</w:t>
      </w:r>
      <w:r>
        <w:rPr>
          <w:spacing w:val="-4"/>
        </w:rPr>
        <w:t> </w:t>
      </w:r>
      <w:r>
        <w:rPr/>
        <w:t>value</w:t>
      </w:r>
      <w:r>
        <w:rPr>
          <w:spacing w:val="-4"/>
        </w:rPr>
        <w:t> </w:t>
      </w:r>
      <w:r>
        <w:rPr/>
        <w:t>was</w:t>
      </w:r>
      <w:r>
        <w:rPr>
          <w:spacing w:val="-4"/>
        </w:rPr>
        <w:t> </w:t>
      </w:r>
      <w:r>
        <w:rPr/>
        <w:t>then</w:t>
      </w:r>
      <w:r>
        <w:rPr>
          <w:spacing w:val="-5"/>
        </w:rPr>
        <w:t> </w:t>
      </w:r>
      <w:r>
        <w:rPr/>
        <w:t>reduced</w:t>
      </w:r>
      <w:r>
        <w:rPr>
          <w:spacing w:val="-4"/>
        </w:rPr>
        <w:t> </w:t>
      </w:r>
      <w:r>
        <w:rPr/>
        <w:t>for</w:t>
      </w:r>
      <w:r>
        <w:rPr>
          <w:spacing w:val="-4"/>
        </w:rPr>
        <w:t> </w:t>
      </w:r>
      <w:r>
        <w:rPr/>
        <w:t>depth</w:t>
      </w:r>
      <w:r>
        <w:rPr>
          <w:spacing w:val="-4"/>
        </w:rPr>
        <w:t> </w:t>
      </w:r>
      <w:r>
        <w:rPr/>
        <w:t>(900–3500</w:t>
      </w:r>
      <w:r>
        <w:rPr>
          <w:spacing w:val="-4"/>
        </w:rPr>
        <w:t> </w:t>
      </w:r>
      <w:r>
        <w:rPr/>
        <w:t>m) and size (practical capacity) (Bachu and </w:t>
      </w:r>
      <w:r>
        <w:rPr>
          <w:spacing w:val="-4"/>
        </w:rPr>
        <w:t>Shaw,</w:t>
      </w:r>
      <w:r>
        <w:rPr>
          <w:spacing w:val="-1"/>
        </w:rPr>
        <w:t> </w:t>
      </w:r>
      <w:r>
        <w:rPr/>
        <w:t>2005).</w:t>
      </w:r>
    </w:p>
    <w:p>
      <w:pPr>
        <w:pStyle w:val="BodyText"/>
        <w:spacing w:line="240" w:lineRule="exact"/>
        <w:ind w:left="157" w:right="39" w:firstLine="283"/>
        <w:jc w:val="both"/>
      </w:pPr>
      <w:r>
        <w:rPr/>
        <w:t>The storage potential of northwestern Europe is estimated at more than 40 GtCO</w:t>
      </w:r>
      <w:r>
        <w:rPr>
          <w:position w:val="-6"/>
          <w:sz w:val="11"/>
        </w:rPr>
        <w:t>2 </w:t>
      </w:r>
      <w:r>
        <w:rPr/>
        <w:t>for gas reservoirs and 7 GtCO</w:t>
      </w:r>
      <w:r>
        <w:rPr>
          <w:position w:val="-6"/>
          <w:sz w:val="11"/>
        </w:rPr>
        <w:t>2 </w:t>
      </w:r>
      <w:r>
        <w:rPr/>
        <w:t>for oil fields (Wildenborg </w:t>
      </w:r>
      <w:r>
        <w:rPr>
          <w:i/>
        </w:rPr>
        <w:t>et al.</w:t>
      </w:r>
      <w:r>
        <w:rPr/>
        <w:t>, 2005b). The European estimates are based on all reserves (no significant fields occur above 800</w:t>
      </w:r>
      <w:r>
        <w:rPr>
          <w:spacing w:val="-36"/>
        </w:rPr>
        <w:t> </w:t>
      </w:r>
      <w:r>
        <w:rPr/>
        <w:t>m). Carbon</w:t>
      </w:r>
      <w:r>
        <w:rPr>
          <w:spacing w:val="-7"/>
        </w:rPr>
        <w:t> </w:t>
      </w:r>
      <w:r>
        <w:rPr/>
        <w:t>dioxide</w:t>
      </w:r>
      <w:r>
        <w:rPr>
          <w:spacing w:val="-7"/>
        </w:rPr>
        <w:t> </w:t>
      </w:r>
      <w:r>
        <w:rPr/>
        <w:t>density</w:t>
      </w:r>
      <w:r>
        <w:rPr>
          <w:spacing w:val="-7"/>
        </w:rPr>
        <w:t> </w:t>
      </w:r>
      <w:r>
        <w:rPr/>
        <w:t>was</w:t>
      </w:r>
      <w:r>
        <w:rPr>
          <w:spacing w:val="-6"/>
        </w:rPr>
        <w:t> </w:t>
      </w:r>
      <w:r>
        <w:rPr/>
        <w:t>calculated</w:t>
      </w:r>
      <w:r>
        <w:rPr>
          <w:spacing w:val="-8"/>
        </w:rPr>
        <w:t> </w:t>
      </w:r>
      <w:r>
        <w:rPr/>
        <w:t>from</w:t>
      </w:r>
      <w:r>
        <w:rPr>
          <w:spacing w:val="-7"/>
        </w:rPr>
        <w:t> </w:t>
      </w:r>
      <w:r>
        <w:rPr/>
        <w:t>the</w:t>
      </w:r>
      <w:r>
        <w:rPr>
          <w:spacing w:val="-7"/>
        </w:rPr>
        <w:t> </w:t>
      </w:r>
      <w:r>
        <w:rPr/>
        <w:t>depth,</w:t>
      </w:r>
      <w:r>
        <w:rPr>
          <w:spacing w:val="-6"/>
        </w:rPr>
        <w:t> </w:t>
      </w:r>
      <w:r>
        <w:rPr/>
        <w:t>pressure and temperature of fields in most cases; where these were not available,</w:t>
      </w:r>
      <w:r>
        <w:rPr>
          <w:spacing w:val="-9"/>
        </w:rPr>
        <w:t> </w:t>
      </w:r>
      <w:r>
        <w:rPr/>
        <w:t>a</w:t>
      </w:r>
      <w:r>
        <w:rPr>
          <w:spacing w:val="-8"/>
        </w:rPr>
        <w:t> </w:t>
      </w:r>
      <w:r>
        <w:rPr/>
        <w:t>density</w:t>
      </w:r>
      <w:r>
        <w:rPr>
          <w:spacing w:val="-8"/>
        </w:rPr>
        <w:t> </w:t>
      </w:r>
      <w:r>
        <w:rPr/>
        <w:t>of</w:t>
      </w:r>
      <w:r>
        <w:rPr>
          <w:spacing w:val="-8"/>
        </w:rPr>
        <w:t> </w:t>
      </w:r>
      <w:r>
        <w:rPr/>
        <w:t>700</w:t>
      </w:r>
      <w:r>
        <w:rPr>
          <w:spacing w:val="-8"/>
        </w:rPr>
        <w:t> </w:t>
      </w:r>
      <w:r>
        <w:rPr/>
        <w:t>kg</w:t>
      </w:r>
      <w:r>
        <w:rPr>
          <w:spacing w:val="-8"/>
        </w:rPr>
        <w:t> </w:t>
      </w:r>
      <w:r>
        <w:rPr/>
        <w:t>m</w:t>
      </w:r>
      <w:r>
        <w:rPr>
          <w:position w:val="7"/>
          <w:sz w:val="11"/>
        </w:rPr>
        <w:t>–3</w:t>
      </w:r>
      <w:r>
        <w:rPr>
          <w:spacing w:val="15"/>
          <w:position w:val="7"/>
          <w:sz w:val="11"/>
        </w:rPr>
        <w:t> </w:t>
      </w:r>
      <w:r>
        <w:rPr/>
        <w:t>was</w:t>
      </w:r>
      <w:r>
        <w:rPr>
          <w:spacing w:val="-8"/>
        </w:rPr>
        <w:t> </w:t>
      </w:r>
      <w:r>
        <w:rPr/>
        <w:t>used.</w:t>
      </w:r>
      <w:r>
        <w:rPr>
          <w:spacing w:val="-8"/>
        </w:rPr>
        <w:t> </w:t>
      </w:r>
      <w:r>
        <w:rPr/>
        <w:t>No</w:t>
      </w:r>
      <w:r>
        <w:rPr>
          <w:spacing w:val="-8"/>
        </w:rPr>
        <w:t> </w:t>
      </w:r>
      <w:r>
        <w:rPr/>
        <w:t>assumption</w:t>
      </w:r>
      <w:r>
        <w:rPr>
          <w:spacing w:val="-8"/>
        </w:rPr>
        <w:t> </w:t>
      </w:r>
      <w:r>
        <w:rPr/>
        <w:t>was made about the amount of oil recovered from the fields before CO</w:t>
      </w:r>
      <w:r>
        <w:rPr>
          <w:position w:val="-6"/>
          <w:sz w:val="11"/>
        </w:rPr>
        <w:t>2</w:t>
      </w:r>
      <w:r>
        <w:rPr>
          <w:spacing w:val="14"/>
          <w:position w:val="-6"/>
          <w:sz w:val="11"/>
        </w:rPr>
        <w:t> </w:t>
      </w:r>
      <w:r>
        <w:rPr/>
        <w:t>storage</w:t>
      </w:r>
      <w:r>
        <w:rPr>
          <w:spacing w:val="-8"/>
        </w:rPr>
        <w:t> </w:t>
      </w:r>
      <w:r>
        <w:rPr/>
        <w:t>was</w:t>
      </w:r>
      <w:r>
        <w:rPr>
          <w:spacing w:val="-9"/>
        </w:rPr>
        <w:t> </w:t>
      </w:r>
      <w:r>
        <w:rPr/>
        <w:t>initiated</w:t>
      </w:r>
      <w:r>
        <w:rPr>
          <w:spacing w:val="-9"/>
        </w:rPr>
        <w:t> </w:t>
      </w:r>
      <w:r>
        <w:rPr/>
        <w:t>and</w:t>
      </w:r>
      <w:r>
        <w:rPr>
          <w:spacing w:val="-7"/>
        </w:rPr>
        <w:t> </w:t>
      </w:r>
      <w:r>
        <w:rPr/>
        <w:t>tertiary</w:t>
      </w:r>
      <w:r>
        <w:rPr>
          <w:spacing w:val="-9"/>
        </w:rPr>
        <w:t> </w:t>
      </w:r>
      <w:r>
        <w:rPr/>
        <w:t>recovery</w:t>
      </w:r>
      <w:r>
        <w:rPr>
          <w:spacing w:val="-7"/>
        </w:rPr>
        <w:t> </w:t>
      </w:r>
      <w:r>
        <w:rPr/>
        <w:t>by</w:t>
      </w:r>
      <w:r>
        <w:rPr>
          <w:spacing w:val="-8"/>
        </w:rPr>
        <w:t> </w:t>
      </w:r>
      <w:r>
        <w:rPr/>
        <w:t>EOR</w:t>
      </w:r>
      <w:r>
        <w:rPr>
          <w:spacing w:val="-8"/>
        </w:rPr>
        <w:t> </w:t>
      </w:r>
      <w:r>
        <w:rPr/>
        <w:t>was</w:t>
      </w:r>
      <w:r>
        <w:rPr>
          <w:spacing w:val="-8"/>
        </w:rPr>
        <w:t> </w:t>
      </w:r>
      <w:r>
        <w:rPr/>
        <w:t>not included.</w:t>
      </w:r>
      <w:r>
        <w:rPr>
          <w:spacing w:val="-14"/>
        </w:rPr>
        <w:t> </w:t>
      </w:r>
      <w:r>
        <w:rPr/>
        <w:t>In</w:t>
      </w:r>
      <w:r>
        <w:rPr>
          <w:spacing w:val="-17"/>
        </w:rPr>
        <w:t> </w:t>
      </w:r>
      <w:r>
        <w:rPr>
          <w:spacing w:val="-3"/>
        </w:rPr>
        <w:t>Western</w:t>
      </w:r>
      <w:r>
        <w:rPr>
          <w:spacing w:val="-14"/>
        </w:rPr>
        <w:t> </w:t>
      </w:r>
      <w:r>
        <w:rPr/>
        <w:t>Canada,</w:t>
      </w:r>
      <w:r>
        <w:rPr>
          <w:spacing w:val="-14"/>
        </w:rPr>
        <w:t> </w:t>
      </w:r>
      <w:r>
        <w:rPr/>
        <w:t>the</w:t>
      </w:r>
      <w:r>
        <w:rPr>
          <w:spacing w:val="-14"/>
        </w:rPr>
        <w:t> </w:t>
      </w:r>
      <w:r>
        <w:rPr/>
        <w:t>practical</w:t>
      </w:r>
      <w:r>
        <w:rPr>
          <w:spacing w:val="-14"/>
        </w:rPr>
        <w:t> </w:t>
      </w:r>
      <w:r>
        <w:rPr/>
        <w:t>CO</w:t>
      </w:r>
      <w:r>
        <w:rPr>
          <w:position w:val="-6"/>
          <w:sz w:val="11"/>
        </w:rPr>
        <w:t>2</w:t>
      </w:r>
      <w:r>
        <w:rPr>
          <w:spacing w:val="10"/>
          <w:position w:val="-6"/>
          <w:sz w:val="11"/>
        </w:rPr>
        <w:t> </w:t>
      </w:r>
      <w:r>
        <w:rPr/>
        <w:t>storage</w:t>
      </w:r>
      <w:r>
        <w:rPr>
          <w:spacing w:val="-14"/>
        </w:rPr>
        <w:t> </w:t>
      </w:r>
      <w:r>
        <w:rPr/>
        <w:t>potential in the Alberta and Williston basins in reservoirs with capacity more</w:t>
      </w:r>
      <w:r>
        <w:rPr>
          <w:spacing w:val="-22"/>
        </w:rPr>
        <w:t> </w:t>
      </w:r>
      <w:r>
        <w:rPr/>
        <w:t>than</w:t>
      </w:r>
      <w:r>
        <w:rPr>
          <w:spacing w:val="-21"/>
        </w:rPr>
        <w:t> </w:t>
      </w:r>
      <w:r>
        <w:rPr/>
        <w:t>1</w:t>
      </w:r>
      <w:r>
        <w:rPr>
          <w:spacing w:val="-21"/>
        </w:rPr>
        <w:t> </w:t>
      </w:r>
      <w:r>
        <w:rPr/>
        <w:t>MtCO</w:t>
      </w:r>
      <w:r>
        <w:rPr>
          <w:position w:val="-6"/>
          <w:sz w:val="11"/>
        </w:rPr>
        <w:t>2</w:t>
      </w:r>
      <w:r>
        <w:rPr>
          <w:spacing w:val="1"/>
          <w:position w:val="-6"/>
          <w:sz w:val="11"/>
        </w:rPr>
        <w:t> </w:t>
      </w:r>
      <w:r>
        <w:rPr/>
        <w:t>each</w:t>
      </w:r>
      <w:r>
        <w:rPr>
          <w:spacing w:val="-22"/>
        </w:rPr>
        <w:t> </w:t>
      </w:r>
      <w:r>
        <w:rPr/>
        <w:t>was</w:t>
      </w:r>
      <w:r>
        <w:rPr>
          <w:spacing w:val="-21"/>
        </w:rPr>
        <w:t> </w:t>
      </w:r>
      <w:r>
        <w:rPr/>
        <w:t>estimated</w:t>
      </w:r>
      <w:r>
        <w:rPr>
          <w:spacing w:val="-21"/>
        </w:rPr>
        <w:t> </w:t>
      </w:r>
      <w:r>
        <w:rPr/>
        <w:t>to</w:t>
      </w:r>
      <w:r>
        <w:rPr>
          <w:spacing w:val="-21"/>
        </w:rPr>
        <w:t> </w:t>
      </w:r>
      <w:r>
        <w:rPr/>
        <w:t>be</w:t>
      </w:r>
      <w:r>
        <w:rPr>
          <w:spacing w:val="-22"/>
        </w:rPr>
        <w:t> </w:t>
      </w:r>
      <w:r>
        <w:rPr/>
        <w:t>about</w:t>
      </w:r>
      <w:r>
        <w:rPr>
          <w:spacing w:val="-21"/>
        </w:rPr>
        <w:t> </w:t>
      </w:r>
      <w:r>
        <w:rPr/>
        <w:t>1</w:t>
      </w:r>
      <w:r>
        <w:rPr>
          <w:spacing w:val="-21"/>
        </w:rPr>
        <w:t> </w:t>
      </w:r>
      <w:r>
        <w:rPr/>
        <w:t>GtCO</w:t>
      </w:r>
      <w:r>
        <w:rPr>
          <w:position w:val="-6"/>
          <w:sz w:val="11"/>
        </w:rPr>
        <w:t>2</w:t>
      </w:r>
      <w:r>
        <w:rPr>
          <w:spacing w:val="1"/>
          <w:position w:val="-6"/>
          <w:sz w:val="11"/>
        </w:rPr>
        <w:t> </w:t>
      </w:r>
      <w:r>
        <w:rPr/>
        <w:t>in</w:t>
      </w:r>
      <w:r>
        <w:rPr>
          <w:spacing w:val="-22"/>
        </w:rPr>
        <w:t> </w:t>
      </w:r>
      <w:r>
        <w:rPr/>
        <w:t>oil reservoirs and about 4 GtCO</w:t>
      </w:r>
      <w:r>
        <w:rPr>
          <w:position w:val="-6"/>
          <w:sz w:val="11"/>
        </w:rPr>
        <w:t>2 </w:t>
      </w:r>
      <w:r>
        <w:rPr/>
        <w:t>in gas reservoirs. The capacity in all</w:t>
      </w:r>
      <w:r>
        <w:rPr>
          <w:spacing w:val="-6"/>
        </w:rPr>
        <w:t> </w:t>
      </w:r>
      <w:r>
        <w:rPr/>
        <w:t>discovered</w:t>
      </w:r>
      <w:r>
        <w:rPr>
          <w:spacing w:val="-5"/>
        </w:rPr>
        <w:t> </w:t>
      </w:r>
      <w:r>
        <w:rPr/>
        <w:t>oil</w:t>
      </w:r>
      <w:r>
        <w:rPr>
          <w:spacing w:val="-5"/>
        </w:rPr>
        <w:t> </w:t>
      </w:r>
      <w:r>
        <w:rPr/>
        <w:t>and</w:t>
      </w:r>
      <w:r>
        <w:rPr>
          <w:spacing w:val="-5"/>
        </w:rPr>
        <w:t> </w:t>
      </w:r>
      <w:r>
        <w:rPr/>
        <w:t>gas</w:t>
      </w:r>
      <w:r>
        <w:rPr>
          <w:spacing w:val="-5"/>
        </w:rPr>
        <w:t> </w:t>
      </w:r>
      <w:r>
        <w:rPr/>
        <w:t>reservoirs</w:t>
      </w:r>
      <w:r>
        <w:rPr>
          <w:spacing w:val="-5"/>
        </w:rPr>
        <w:t> </w:t>
      </w:r>
      <w:r>
        <w:rPr/>
        <w:t>is</w:t>
      </w:r>
      <w:r>
        <w:rPr>
          <w:spacing w:val="-5"/>
        </w:rPr>
        <w:t> </w:t>
      </w:r>
      <w:r>
        <w:rPr/>
        <w:t>approximately</w:t>
      </w:r>
      <w:r>
        <w:rPr>
          <w:spacing w:val="-6"/>
        </w:rPr>
        <w:t> </w:t>
      </w:r>
      <w:r>
        <w:rPr/>
        <w:t>10</w:t>
      </w:r>
      <w:r>
        <w:rPr>
          <w:spacing w:val="-5"/>
        </w:rPr>
        <w:t> </w:t>
      </w:r>
      <w:r>
        <w:rPr>
          <w:spacing w:val="-4"/>
        </w:rPr>
        <w:t>GtCO</w:t>
      </w:r>
      <w:r>
        <w:rPr>
          <w:spacing w:val="-4"/>
          <w:position w:val="-6"/>
          <w:sz w:val="11"/>
        </w:rPr>
        <w:t>2 </w:t>
      </w:r>
      <w:r>
        <w:rPr/>
        <w:t>(Bachu </w:t>
      </w:r>
      <w:r>
        <w:rPr>
          <w:i/>
        </w:rPr>
        <w:t>et al.</w:t>
      </w:r>
      <w:r>
        <w:rPr/>
        <w:t>, 2004; Bachu and </w:t>
      </w:r>
      <w:r>
        <w:rPr>
          <w:spacing w:val="-4"/>
        </w:rPr>
        <w:t>Shaw, </w:t>
      </w:r>
      <w:r>
        <w:rPr/>
        <w:t>2005). For Canada, the CO</w:t>
      </w:r>
      <w:r>
        <w:rPr>
          <w:position w:val="-6"/>
          <w:sz w:val="11"/>
        </w:rPr>
        <w:t>2</w:t>
      </w:r>
      <w:r>
        <w:rPr>
          <w:spacing w:val="15"/>
          <w:position w:val="-6"/>
          <w:sz w:val="11"/>
        </w:rPr>
        <w:t> </w:t>
      </w:r>
      <w:r>
        <w:rPr/>
        <w:t>density</w:t>
      </w:r>
      <w:r>
        <w:rPr>
          <w:spacing w:val="-7"/>
        </w:rPr>
        <w:t> </w:t>
      </w:r>
      <w:r>
        <w:rPr/>
        <w:t>was</w:t>
      </w:r>
      <w:r>
        <w:rPr>
          <w:spacing w:val="-8"/>
        </w:rPr>
        <w:t> </w:t>
      </w:r>
      <w:r>
        <w:rPr/>
        <w:t>calculated</w:t>
      </w:r>
      <w:r>
        <w:rPr>
          <w:spacing w:val="-7"/>
        </w:rPr>
        <w:t> </w:t>
      </w:r>
      <w:r>
        <w:rPr/>
        <w:t>for</w:t>
      </w:r>
      <w:r>
        <w:rPr>
          <w:spacing w:val="-7"/>
        </w:rPr>
        <w:t> </w:t>
      </w:r>
      <w:r>
        <w:rPr/>
        <w:t>each</w:t>
      </w:r>
      <w:r>
        <w:rPr>
          <w:spacing w:val="-7"/>
        </w:rPr>
        <w:t> </w:t>
      </w:r>
      <w:r>
        <w:rPr/>
        <w:t>reservoir</w:t>
      </w:r>
      <w:r>
        <w:rPr>
          <w:spacing w:val="-8"/>
        </w:rPr>
        <w:t> </w:t>
      </w:r>
      <w:r>
        <w:rPr/>
        <w:t>from</w:t>
      </w:r>
      <w:r>
        <w:rPr>
          <w:spacing w:val="-7"/>
        </w:rPr>
        <w:t> </w:t>
      </w:r>
      <w:r>
        <w:rPr/>
        <w:t>the</w:t>
      </w:r>
      <w:r>
        <w:rPr>
          <w:spacing w:val="-7"/>
        </w:rPr>
        <w:t> </w:t>
      </w:r>
      <w:r>
        <w:rPr/>
        <w:t>pressure and temperature. The oil and gas recovery was that provided in the reserves databases or was based on actual production. For reservoirs suitable for EOR, an analytical method</w:t>
      </w:r>
      <w:r>
        <w:rPr>
          <w:spacing w:val="30"/>
        </w:rPr>
        <w:t> </w:t>
      </w:r>
      <w:r>
        <w:rPr/>
        <w:t>was developed to estimate how much would be produced and how much CO</w:t>
      </w:r>
      <w:r>
        <w:rPr>
          <w:position w:val="-6"/>
          <w:sz w:val="11"/>
        </w:rPr>
        <w:t>2 </w:t>
      </w:r>
      <w:r>
        <w:rPr/>
        <w:t>would be stored (Shaw and Bachu, 2002). In the United States, the total storage capacity in discovered oil and gas fields is estimated to be approximately 98 GtCO</w:t>
      </w:r>
      <w:r>
        <w:rPr>
          <w:position w:val="-6"/>
          <w:sz w:val="11"/>
        </w:rPr>
        <w:t>2 </w:t>
      </w:r>
      <w:r>
        <w:rPr/>
        <w:t>(Winter and</w:t>
      </w:r>
      <w:r>
        <w:rPr>
          <w:spacing w:val="-5"/>
        </w:rPr>
        <w:t> </w:t>
      </w:r>
      <w:r>
        <w:rPr/>
        <w:t>Bergman,</w:t>
      </w:r>
      <w:r>
        <w:rPr>
          <w:spacing w:val="-4"/>
        </w:rPr>
        <w:t> </w:t>
      </w:r>
      <w:r>
        <w:rPr/>
        <w:t>1993;</w:t>
      </w:r>
      <w:r>
        <w:rPr>
          <w:spacing w:val="-4"/>
        </w:rPr>
        <w:t> </w:t>
      </w:r>
      <w:r>
        <w:rPr/>
        <w:t>Bergman</w:t>
      </w:r>
      <w:r>
        <w:rPr>
          <w:spacing w:val="-5"/>
        </w:rPr>
        <w:t> </w:t>
      </w:r>
      <w:r>
        <w:rPr>
          <w:i/>
        </w:rPr>
        <w:t>et</w:t>
      </w:r>
      <w:r>
        <w:rPr>
          <w:i/>
          <w:spacing w:val="-4"/>
        </w:rPr>
        <w:t> </w:t>
      </w:r>
      <w:r>
        <w:rPr>
          <w:i/>
        </w:rPr>
        <w:t>al.</w:t>
      </w:r>
      <w:r>
        <w:rPr/>
        <w:t>,</w:t>
      </w:r>
      <w:r>
        <w:rPr>
          <w:spacing w:val="-4"/>
        </w:rPr>
        <w:t> </w:t>
      </w:r>
      <w:r>
        <w:rPr/>
        <w:t>1997).</w:t>
      </w:r>
      <w:r>
        <w:rPr>
          <w:spacing w:val="-5"/>
        </w:rPr>
        <w:t> </w:t>
      </w:r>
      <w:r>
        <w:rPr/>
        <w:t>Data</w:t>
      </w:r>
      <w:r>
        <w:rPr>
          <w:spacing w:val="-4"/>
        </w:rPr>
        <w:t> </w:t>
      </w:r>
      <w:r>
        <w:rPr/>
        <w:t>on</w:t>
      </w:r>
      <w:r>
        <w:rPr>
          <w:spacing w:val="-4"/>
        </w:rPr>
        <w:t> </w:t>
      </w:r>
      <w:r>
        <w:rPr/>
        <w:t>production to</w:t>
      </w:r>
      <w:r>
        <w:rPr>
          <w:spacing w:val="-11"/>
        </w:rPr>
        <w:t> </w:t>
      </w:r>
      <w:r>
        <w:rPr/>
        <w:t>date</w:t>
      </w:r>
      <w:r>
        <w:rPr>
          <w:spacing w:val="-11"/>
        </w:rPr>
        <w:t> </w:t>
      </w:r>
      <w:r>
        <w:rPr/>
        <w:t>and</w:t>
      </w:r>
      <w:r>
        <w:rPr>
          <w:spacing w:val="-11"/>
        </w:rPr>
        <w:t> </w:t>
      </w:r>
      <w:r>
        <w:rPr/>
        <w:t>known</w:t>
      </w:r>
      <w:r>
        <w:rPr>
          <w:spacing w:val="-11"/>
        </w:rPr>
        <w:t> </w:t>
      </w:r>
      <w:r>
        <w:rPr/>
        <w:t>reserves</w:t>
      </w:r>
      <w:r>
        <w:rPr>
          <w:spacing w:val="-11"/>
        </w:rPr>
        <w:t> </w:t>
      </w:r>
      <w:r>
        <w:rPr/>
        <w:t>and</w:t>
      </w:r>
      <w:r>
        <w:rPr>
          <w:spacing w:val="-11"/>
        </w:rPr>
        <w:t> </w:t>
      </w:r>
      <w:r>
        <w:rPr/>
        <w:t>resources</w:t>
      </w:r>
      <w:r>
        <w:rPr>
          <w:spacing w:val="-11"/>
        </w:rPr>
        <w:t> </w:t>
      </w:r>
      <w:r>
        <w:rPr/>
        <w:t>indicate</w:t>
      </w:r>
      <w:r>
        <w:rPr>
          <w:spacing w:val="-11"/>
        </w:rPr>
        <w:t> </w:t>
      </w:r>
      <w:r>
        <w:rPr/>
        <w:t>that</w:t>
      </w:r>
      <w:r>
        <w:rPr>
          <w:spacing w:val="-22"/>
        </w:rPr>
        <w:t> </w:t>
      </w:r>
      <w:r>
        <w:rPr/>
        <w:t>Australia has up to 15 GtCO</w:t>
      </w:r>
      <w:r>
        <w:rPr>
          <w:position w:val="-6"/>
          <w:sz w:val="11"/>
        </w:rPr>
        <w:t>2 </w:t>
      </w:r>
      <w:r>
        <w:rPr/>
        <w:t>storage capacity in gas reservoirs and 0.7 GtCO</w:t>
      </w:r>
      <w:r>
        <w:rPr>
          <w:position w:val="-6"/>
          <w:sz w:val="11"/>
        </w:rPr>
        <w:t>2</w:t>
      </w:r>
      <w:r>
        <w:rPr>
          <w:spacing w:val="10"/>
          <w:position w:val="-6"/>
          <w:sz w:val="11"/>
        </w:rPr>
        <w:t> </w:t>
      </w:r>
      <w:r>
        <w:rPr/>
        <w:t>in</w:t>
      </w:r>
      <w:r>
        <w:rPr>
          <w:spacing w:val="-11"/>
        </w:rPr>
        <w:t> </w:t>
      </w:r>
      <w:r>
        <w:rPr/>
        <w:t>oil</w:t>
      </w:r>
      <w:r>
        <w:rPr>
          <w:spacing w:val="-12"/>
        </w:rPr>
        <w:t> </w:t>
      </w:r>
      <w:r>
        <w:rPr/>
        <w:t>reservoirs.</w:t>
      </w:r>
      <w:r>
        <w:rPr>
          <w:spacing w:val="-15"/>
        </w:rPr>
        <w:t> </w:t>
      </w:r>
      <w:r>
        <w:rPr/>
        <w:t>The</w:t>
      </w:r>
      <w:r>
        <w:rPr>
          <w:spacing w:val="-22"/>
        </w:rPr>
        <w:t> </w:t>
      </w:r>
      <w:r>
        <w:rPr/>
        <w:t>Australian</w:t>
      </w:r>
      <w:r>
        <w:rPr>
          <w:spacing w:val="-11"/>
        </w:rPr>
        <w:t> </w:t>
      </w:r>
      <w:r>
        <w:rPr/>
        <w:t>estimates</w:t>
      </w:r>
      <w:r>
        <w:rPr>
          <w:spacing w:val="-12"/>
        </w:rPr>
        <w:t> </w:t>
      </w:r>
      <w:r>
        <w:rPr/>
        <w:t>used</w:t>
      </w:r>
      <w:r>
        <w:rPr>
          <w:spacing w:val="-12"/>
        </w:rPr>
        <w:t> </w:t>
      </w:r>
      <w:r>
        <w:rPr/>
        <w:t>field</w:t>
      </w:r>
      <w:r>
        <w:rPr>
          <w:spacing w:val="-11"/>
        </w:rPr>
        <w:t> </w:t>
      </w:r>
      <w:r>
        <w:rPr/>
        <w:t>data to recalculate the CO</w:t>
      </w:r>
      <w:r>
        <w:rPr>
          <w:position w:val="-6"/>
          <w:sz w:val="11"/>
        </w:rPr>
        <w:t>2 </w:t>
      </w:r>
      <w:r>
        <w:rPr/>
        <w:t>that could occupy the producible</w:t>
      </w:r>
      <w:r>
        <w:rPr>
          <w:spacing w:val="-21"/>
        </w:rPr>
        <w:t> </w:t>
      </w:r>
      <w:r>
        <w:rPr/>
        <w:t>volume at</w:t>
      </w:r>
      <w:r>
        <w:rPr>
          <w:spacing w:val="-21"/>
        </w:rPr>
        <w:t> </w:t>
      </w:r>
      <w:r>
        <w:rPr/>
        <w:t>field</w:t>
      </w:r>
      <w:r>
        <w:rPr>
          <w:spacing w:val="-22"/>
        </w:rPr>
        <w:t> </w:t>
      </w:r>
      <w:r>
        <w:rPr/>
        <w:t>conditions.</w:t>
      </w:r>
      <w:r>
        <w:rPr>
          <w:spacing w:val="-25"/>
        </w:rPr>
        <w:t> </w:t>
      </w:r>
      <w:r>
        <w:rPr/>
        <w:t>The</w:t>
      </w:r>
      <w:r>
        <w:rPr>
          <w:spacing w:val="-21"/>
        </w:rPr>
        <w:t> </w:t>
      </w:r>
      <w:r>
        <w:rPr/>
        <w:t>total</w:t>
      </w:r>
      <w:r>
        <w:rPr>
          <w:spacing w:val="-21"/>
        </w:rPr>
        <w:t> </w:t>
      </w:r>
      <w:r>
        <w:rPr/>
        <w:t>storage</w:t>
      </w:r>
      <w:r>
        <w:rPr>
          <w:spacing w:val="-22"/>
        </w:rPr>
        <w:t> </w:t>
      </w:r>
      <w:r>
        <w:rPr/>
        <w:t>capacity</w:t>
      </w:r>
      <w:r>
        <w:rPr>
          <w:spacing w:val="-21"/>
        </w:rPr>
        <w:t> </w:t>
      </w:r>
      <w:r>
        <w:rPr/>
        <w:t>in</w:t>
      </w:r>
      <w:r>
        <w:rPr>
          <w:spacing w:val="-21"/>
        </w:rPr>
        <w:t> </w:t>
      </w:r>
      <w:r>
        <w:rPr/>
        <w:t>discovered</w:t>
      </w:r>
      <w:r>
        <w:rPr>
          <w:spacing w:val="-21"/>
        </w:rPr>
        <w:t> </w:t>
      </w:r>
      <w:r>
        <w:rPr/>
        <w:t>fields for these regions with bottom-up assessments is 170</w:t>
      </w:r>
      <w:r>
        <w:rPr>
          <w:spacing w:val="-4"/>
        </w:rPr>
        <w:t> </w:t>
      </w:r>
      <w:r>
        <w:rPr/>
        <w:t>GtCO</w:t>
      </w:r>
      <w:r>
        <w:rPr>
          <w:position w:val="-6"/>
          <w:sz w:val="11"/>
        </w:rPr>
        <w:t>2</w:t>
      </w:r>
      <w:r>
        <w:rPr/>
        <w:t>.</w:t>
      </w:r>
    </w:p>
    <w:p>
      <w:pPr>
        <w:pStyle w:val="BodyText"/>
        <w:spacing w:line="249" w:lineRule="auto" w:before="5"/>
        <w:ind w:left="157" w:right="39" w:firstLine="283"/>
        <w:jc w:val="both"/>
      </w:pPr>
      <w:r>
        <w:rPr/>
        <w:t>Although</w:t>
      </w:r>
      <w:r>
        <w:rPr>
          <w:spacing w:val="-18"/>
        </w:rPr>
        <w:t> </w:t>
      </w:r>
      <w:r>
        <w:rPr/>
        <w:t>not</w:t>
      </w:r>
      <w:r>
        <w:rPr>
          <w:spacing w:val="-18"/>
        </w:rPr>
        <w:t> </w:t>
      </w:r>
      <w:r>
        <w:rPr/>
        <w:t>yet</w:t>
      </w:r>
      <w:r>
        <w:rPr>
          <w:spacing w:val="-18"/>
        </w:rPr>
        <w:t> </w:t>
      </w:r>
      <w:r>
        <w:rPr/>
        <w:t>assessed,</w:t>
      </w:r>
      <w:r>
        <w:rPr>
          <w:spacing w:val="-18"/>
        </w:rPr>
        <w:t> </w:t>
      </w:r>
      <w:r>
        <w:rPr/>
        <w:t>it</w:t>
      </w:r>
      <w:r>
        <w:rPr>
          <w:spacing w:val="-18"/>
        </w:rPr>
        <w:t> </w:t>
      </w:r>
      <w:r>
        <w:rPr/>
        <w:t>is</w:t>
      </w:r>
      <w:r>
        <w:rPr>
          <w:spacing w:val="-18"/>
        </w:rPr>
        <w:t> </w:t>
      </w:r>
      <w:r>
        <w:rPr/>
        <w:t>almost</w:t>
      </w:r>
      <w:r>
        <w:rPr>
          <w:spacing w:val="-18"/>
        </w:rPr>
        <w:t> </w:t>
      </w:r>
      <w:r>
        <w:rPr/>
        <w:t>certain</w:t>
      </w:r>
      <w:r>
        <w:rPr>
          <w:spacing w:val="-18"/>
        </w:rPr>
        <w:t> </w:t>
      </w:r>
      <w:r>
        <w:rPr/>
        <w:t>that</w:t>
      </w:r>
      <w:r>
        <w:rPr>
          <w:spacing w:val="-18"/>
        </w:rPr>
        <w:t> </w:t>
      </w:r>
      <w:r>
        <w:rPr/>
        <w:t>significant storage</w:t>
      </w:r>
      <w:r>
        <w:rPr>
          <w:spacing w:val="-7"/>
        </w:rPr>
        <w:t> </w:t>
      </w:r>
      <w:r>
        <w:rPr/>
        <w:t>potential</w:t>
      </w:r>
      <w:r>
        <w:rPr>
          <w:spacing w:val="-7"/>
        </w:rPr>
        <w:t> </w:t>
      </w:r>
      <w:r>
        <w:rPr/>
        <w:t>exists</w:t>
      </w:r>
      <w:r>
        <w:rPr>
          <w:spacing w:val="-6"/>
        </w:rPr>
        <w:t> </w:t>
      </w:r>
      <w:r>
        <w:rPr/>
        <w:t>in</w:t>
      </w:r>
      <w:r>
        <w:rPr>
          <w:spacing w:val="-7"/>
        </w:rPr>
        <w:t> </w:t>
      </w:r>
      <w:r>
        <w:rPr/>
        <w:t>all</w:t>
      </w:r>
      <w:r>
        <w:rPr>
          <w:spacing w:val="-6"/>
        </w:rPr>
        <w:t> </w:t>
      </w:r>
      <w:r>
        <w:rPr/>
        <w:t>other</w:t>
      </w:r>
      <w:r>
        <w:rPr>
          <w:spacing w:val="-7"/>
        </w:rPr>
        <w:t> </w:t>
      </w:r>
      <w:r>
        <w:rPr/>
        <w:t>oil</w:t>
      </w:r>
      <w:r>
        <w:rPr>
          <w:spacing w:val="-7"/>
        </w:rPr>
        <w:t> </w:t>
      </w:r>
      <w:r>
        <w:rPr/>
        <w:t>and</w:t>
      </w:r>
      <w:r>
        <w:rPr>
          <w:spacing w:val="-6"/>
        </w:rPr>
        <w:t> </w:t>
      </w:r>
      <w:r>
        <w:rPr/>
        <w:t>gas</w:t>
      </w:r>
      <w:r>
        <w:rPr>
          <w:spacing w:val="-7"/>
        </w:rPr>
        <w:t> </w:t>
      </w:r>
      <w:r>
        <w:rPr/>
        <w:t>provinces</w:t>
      </w:r>
      <w:r>
        <w:rPr>
          <w:spacing w:val="-6"/>
        </w:rPr>
        <w:t> </w:t>
      </w:r>
      <w:r>
        <w:rPr/>
        <w:t>around the world, such as the Middle East, Russia, Asia, Africa and Latin</w:t>
      </w:r>
      <w:r>
        <w:rPr>
          <w:spacing w:val="-12"/>
        </w:rPr>
        <w:t> </w:t>
      </w:r>
      <w:r>
        <w:rPr/>
        <w:t>America.</w:t>
      </w:r>
    </w:p>
    <w:p>
      <w:pPr>
        <w:pStyle w:val="BodyText"/>
        <w:spacing w:line="206" w:lineRule="auto" w:before="22"/>
        <w:ind w:left="157" w:right="39" w:firstLine="283"/>
        <w:jc w:val="both"/>
      </w:pPr>
      <w:r>
        <w:rPr/>
        <w:t>Global capacity for CO</w:t>
      </w:r>
      <w:r>
        <w:rPr>
          <w:position w:val="-6"/>
          <w:sz w:val="11"/>
        </w:rPr>
        <w:t>2</w:t>
      </w:r>
      <w:r>
        <w:rPr/>
        <w:t>-EOR opportunities is estimated to have a geological storage capacity of 61–123 GtCO</w:t>
      </w:r>
      <w:r>
        <w:rPr>
          <w:position w:val="-6"/>
          <w:sz w:val="11"/>
        </w:rPr>
        <w:t>2</w:t>
      </w:r>
      <w:r>
        <w:rPr/>
        <w:t>, although as practised </w:t>
      </w:r>
      <w:r>
        <w:rPr>
          <w:spacing w:val="-3"/>
        </w:rPr>
        <w:t>today, </w:t>
      </w:r>
      <w:r>
        <w:rPr/>
        <w:t>CO</w:t>
      </w:r>
      <w:r>
        <w:rPr>
          <w:position w:val="-6"/>
          <w:sz w:val="11"/>
        </w:rPr>
        <w:t>2</w:t>
      </w:r>
      <w:r>
        <w:rPr/>
        <w:t>-EOR is not engineered to maximize CO</w:t>
      </w:r>
      <w:r>
        <w:rPr>
          <w:position w:val="-6"/>
          <w:sz w:val="11"/>
        </w:rPr>
        <w:t>2 </w:t>
      </w:r>
      <w:r>
        <w:rPr/>
        <w:t>storage. In fact, it is optimized to maximize revenues from oil</w:t>
      </w:r>
      <w:r>
        <w:rPr>
          <w:spacing w:val="23"/>
        </w:rPr>
        <w:t> </w:t>
      </w:r>
      <w:r>
        <w:rPr/>
        <w:t>production,</w:t>
      </w:r>
      <w:r>
        <w:rPr>
          <w:spacing w:val="24"/>
        </w:rPr>
        <w:t> </w:t>
      </w:r>
      <w:r>
        <w:rPr/>
        <w:t>which</w:t>
      </w:r>
      <w:r>
        <w:rPr>
          <w:spacing w:val="23"/>
        </w:rPr>
        <w:t> </w:t>
      </w:r>
      <w:r>
        <w:rPr/>
        <w:t>in</w:t>
      </w:r>
      <w:r>
        <w:rPr>
          <w:spacing w:val="24"/>
        </w:rPr>
        <w:t> </w:t>
      </w:r>
      <w:r>
        <w:rPr/>
        <w:t>many</w:t>
      </w:r>
      <w:r>
        <w:rPr>
          <w:spacing w:val="24"/>
        </w:rPr>
        <w:t> </w:t>
      </w:r>
      <w:r>
        <w:rPr/>
        <w:t>cases</w:t>
      </w:r>
      <w:r>
        <w:rPr>
          <w:spacing w:val="23"/>
        </w:rPr>
        <w:t> </w:t>
      </w:r>
      <w:r>
        <w:rPr/>
        <w:t>requires</w:t>
      </w:r>
      <w:r>
        <w:rPr>
          <w:spacing w:val="24"/>
        </w:rPr>
        <w:t> </w:t>
      </w:r>
      <w:r>
        <w:rPr/>
        <w:t>minimizing</w:t>
      </w:r>
      <w:r>
        <w:rPr>
          <w:spacing w:val="24"/>
        </w:rPr>
        <w:t> </w:t>
      </w:r>
      <w:r>
        <w:rPr>
          <w:spacing w:val="-4"/>
        </w:rPr>
        <w:t>the</w:t>
      </w:r>
    </w:p>
    <w:p>
      <w:pPr>
        <w:pStyle w:val="BodyText"/>
        <w:spacing w:line="206" w:lineRule="auto" w:before="9"/>
        <w:ind w:left="157" w:right="38"/>
        <w:jc w:val="both"/>
      </w:pPr>
      <w:r>
        <w:rPr/>
        <w:t>amount of CO</w:t>
      </w:r>
      <w:r>
        <w:rPr>
          <w:position w:val="-6"/>
          <w:sz w:val="11"/>
        </w:rPr>
        <w:t>2 </w:t>
      </w:r>
      <w:r>
        <w:rPr/>
        <w:t>retained in the reservoir. In the future, if</w:t>
      </w:r>
      <w:r>
        <w:rPr>
          <w:spacing w:val="-15"/>
        </w:rPr>
        <w:t> </w:t>
      </w:r>
      <w:r>
        <w:rPr/>
        <w:t>storing CO</w:t>
      </w:r>
      <w:r>
        <w:rPr>
          <w:position w:val="-6"/>
          <w:sz w:val="11"/>
        </w:rPr>
        <w:t>2 </w:t>
      </w:r>
      <w:r>
        <w:rPr/>
        <w:t>has an economic value, co-optimizing CO</w:t>
      </w:r>
      <w:r>
        <w:rPr>
          <w:position w:val="-6"/>
          <w:sz w:val="11"/>
        </w:rPr>
        <w:t>2 </w:t>
      </w:r>
      <w:r>
        <w:rPr/>
        <w:t>storage and EOR</w:t>
      </w:r>
      <w:r>
        <w:rPr>
          <w:spacing w:val="31"/>
        </w:rPr>
        <w:t> </w:t>
      </w:r>
      <w:r>
        <w:rPr/>
        <w:t>may</w:t>
      </w:r>
      <w:r>
        <w:rPr>
          <w:spacing w:val="31"/>
        </w:rPr>
        <w:t> </w:t>
      </w:r>
      <w:r>
        <w:rPr/>
        <w:t>increase</w:t>
      </w:r>
      <w:r>
        <w:rPr>
          <w:spacing w:val="31"/>
        </w:rPr>
        <w:t> </w:t>
      </w:r>
      <w:r>
        <w:rPr/>
        <w:t>capacity</w:t>
      </w:r>
      <w:r>
        <w:rPr>
          <w:spacing w:val="31"/>
        </w:rPr>
        <w:t> </w:t>
      </w:r>
      <w:r>
        <w:rPr/>
        <w:t>estimates.</w:t>
      </w:r>
      <w:r>
        <w:rPr>
          <w:spacing w:val="31"/>
        </w:rPr>
        <w:t> </w:t>
      </w:r>
      <w:r>
        <w:rPr/>
        <w:t>In</w:t>
      </w:r>
      <w:r>
        <w:rPr>
          <w:spacing w:val="32"/>
        </w:rPr>
        <w:t> </w:t>
      </w:r>
      <w:r>
        <w:rPr/>
        <w:t>European</w:t>
      </w:r>
      <w:r>
        <w:rPr>
          <w:spacing w:val="31"/>
        </w:rPr>
        <w:t> </w:t>
      </w:r>
      <w:r>
        <w:rPr/>
        <w:t>capacity</w:t>
      </w:r>
    </w:p>
    <w:p>
      <w:pPr>
        <w:pStyle w:val="BodyText"/>
        <w:spacing w:line="240" w:lineRule="exact" w:before="2"/>
        <w:ind w:left="157" w:right="39"/>
        <w:jc w:val="both"/>
      </w:pPr>
      <w:r>
        <w:rPr/>
        <w:t>studies, it was considered likely that EOR would be attempted at all oil fields where CO</w:t>
      </w:r>
      <w:r>
        <w:rPr>
          <w:position w:val="-6"/>
          <w:sz w:val="11"/>
        </w:rPr>
        <w:t>2 </w:t>
      </w:r>
      <w:r>
        <w:rPr/>
        <w:t>storage took place, because it would generate additional revenue. The calculation in Wildenborg </w:t>
      </w:r>
      <w:r>
        <w:rPr>
          <w:i/>
          <w:spacing w:val="-6"/>
        </w:rPr>
        <w:t>et </w:t>
      </w:r>
      <w:r>
        <w:rPr>
          <w:i/>
        </w:rPr>
        <w:t>al. </w:t>
      </w:r>
      <w:r>
        <w:rPr/>
        <w:t>(2005b) allows for different recovery factors based on API (American Petroleum Institute) gravity of oil. For Canada, all 10,000 oil reservoirs in </w:t>
      </w:r>
      <w:r>
        <w:rPr>
          <w:spacing w:val="-3"/>
        </w:rPr>
        <w:t>Western </w:t>
      </w:r>
      <w:r>
        <w:rPr/>
        <w:t>Canada were screened for suitability</w:t>
      </w:r>
      <w:r>
        <w:rPr>
          <w:spacing w:val="14"/>
        </w:rPr>
        <w:t> </w:t>
      </w:r>
      <w:r>
        <w:rPr/>
        <w:t>for</w:t>
      </w:r>
      <w:r>
        <w:rPr>
          <w:spacing w:val="15"/>
        </w:rPr>
        <w:t> </w:t>
      </w:r>
      <w:r>
        <w:rPr/>
        <w:t>EOR</w:t>
      </w:r>
      <w:r>
        <w:rPr>
          <w:spacing w:val="15"/>
        </w:rPr>
        <w:t> </w:t>
      </w:r>
      <w:r>
        <w:rPr/>
        <w:t>on</w:t>
      </w:r>
      <w:r>
        <w:rPr>
          <w:spacing w:val="15"/>
        </w:rPr>
        <w:t> </w:t>
      </w:r>
      <w:r>
        <w:rPr/>
        <w:t>the</w:t>
      </w:r>
      <w:r>
        <w:rPr>
          <w:spacing w:val="15"/>
        </w:rPr>
        <w:t> </w:t>
      </w:r>
      <w:r>
        <w:rPr/>
        <w:t>basis</w:t>
      </w:r>
      <w:r>
        <w:rPr>
          <w:spacing w:val="15"/>
        </w:rPr>
        <w:t> </w:t>
      </w:r>
      <w:r>
        <w:rPr/>
        <w:t>of</w:t>
      </w:r>
      <w:r>
        <w:rPr>
          <w:spacing w:val="15"/>
        </w:rPr>
        <w:t> </w:t>
      </w:r>
      <w:r>
        <w:rPr/>
        <w:t>a</w:t>
      </w:r>
      <w:r>
        <w:rPr>
          <w:spacing w:val="15"/>
        </w:rPr>
        <w:t> </w:t>
      </w:r>
      <w:r>
        <w:rPr/>
        <w:t>set</w:t>
      </w:r>
      <w:r>
        <w:rPr>
          <w:spacing w:val="15"/>
        </w:rPr>
        <w:t> </w:t>
      </w:r>
      <w:r>
        <w:rPr/>
        <w:t>of</w:t>
      </w:r>
      <w:r>
        <w:rPr>
          <w:spacing w:val="15"/>
        </w:rPr>
        <w:t> </w:t>
      </w:r>
      <w:r>
        <w:rPr/>
        <w:t>criteria</w:t>
      </w:r>
      <w:r>
        <w:rPr>
          <w:spacing w:val="15"/>
        </w:rPr>
        <w:t> </w:t>
      </w:r>
      <w:r>
        <w:rPr/>
        <w:t>developed</w:t>
      </w:r>
    </w:p>
    <w:p>
      <w:pPr>
        <w:pStyle w:val="BodyText"/>
        <w:spacing w:line="249" w:lineRule="auto" w:before="63"/>
        <w:ind w:left="157" w:right="530"/>
        <w:jc w:val="both"/>
      </w:pPr>
      <w:r>
        <w:rPr/>
        <w:br w:type="column"/>
      </w:r>
      <w:r>
        <w:rPr/>
        <w:t>from EOR literature. Those oil reservoirs that passed were considered further in storage calculations (Shaw and Bachu, 2002).</w:t>
      </w:r>
    </w:p>
    <w:p>
      <w:pPr>
        <w:pStyle w:val="BodyText"/>
        <w:spacing w:line="225" w:lineRule="auto" w:before="14"/>
        <w:ind w:left="157" w:right="530" w:firstLine="283"/>
        <w:jc w:val="both"/>
      </w:pPr>
      <w:r>
        <w:rPr/>
        <w:t>Global estimates of storage capacity in oil reservoirs vary from 126 to 400 GtCO</w:t>
      </w:r>
      <w:r>
        <w:rPr>
          <w:position w:val="-6"/>
          <w:sz w:val="11"/>
        </w:rPr>
        <w:t>2 </w:t>
      </w:r>
      <w:r>
        <w:rPr/>
        <w:t>(Freund, 2001). These assessments, made on a top-down basis, include potential in undiscovered</w:t>
      </w:r>
    </w:p>
    <w:p>
      <w:pPr>
        <w:pStyle w:val="BodyText"/>
        <w:spacing w:line="240" w:lineRule="exact" w:before="4"/>
        <w:ind w:left="157" w:right="531"/>
        <w:jc w:val="both"/>
        <w:rPr>
          <w:sz w:val="11"/>
        </w:rPr>
      </w:pPr>
      <w:r>
        <w:rPr/>
        <w:t>reservoirs. Comparable global capacity for  CO</w:t>
      </w:r>
      <w:r>
        <w:rPr>
          <w:position w:val="-6"/>
          <w:sz w:val="11"/>
        </w:rPr>
        <w:t>2  </w:t>
      </w:r>
      <w:r>
        <w:rPr/>
        <w:t>storage  in gas reservoirs is estimated at 800  GtCO</w:t>
      </w:r>
      <w:r>
        <w:rPr>
          <w:position w:val="-6"/>
          <w:sz w:val="11"/>
        </w:rPr>
        <w:t>2  </w:t>
      </w:r>
      <w:r>
        <w:rPr/>
        <w:t>(Freund,  2001).  The combined estimate of total ultimate storage capacity in discovered oil and gas fields is therefore very likely 675–900 GtCO</w:t>
      </w:r>
      <w:r>
        <w:rPr>
          <w:position w:val="-6"/>
          <w:sz w:val="11"/>
        </w:rPr>
        <w:t>2</w:t>
      </w:r>
      <w:r>
        <w:rPr/>
        <w:t>. If undiscovered oil and gas fields are included, this figure would increase to 900–1200 GtCO</w:t>
      </w:r>
      <w:r>
        <w:rPr>
          <w:position w:val="-6"/>
          <w:sz w:val="11"/>
        </w:rPr>
        <w:t>2</w:t>
      </w:r>
      <w:r>
        <w:rPr/>
        <w:t>, but the confidence level would</w:t>
      </w:r>
      <w:r>
        <w:rPr>
          <w:spacing w:val="-2"/>
        </w:rPr>
        <w:t> </w:t>
      </w:r>
      <w:r>
        <w:rPr/>
        <w:t>decrease.</w:t>
      </w:r>
      <w:r>
        <w:rPr>
          <w:position w:val="7"/>
          <w:sz w:val="11"/>
        </w:rPr>
        <w:t>1</w:t>
      </w:r>
    </w:p>
    <w:p>
      <w:pPr>
        <w:pStyle w:val="BodyText"/>
        <w:spacing w:line="240" w:lineRule="exact"/>
        <w:ind w:left="157" w:right="530" w:firstLine="283"/>
        <w:jc w:val="both"/>
      </w:pPr>
      <w:r>
        <w:rPr/>
        <w:t>In comparison, more detailed regional estimates made </w:t>
      </w:r>
      <w:r>
        <w:rPr>
          <w:spacing w:val="-5"/>
        </w:rPr>
        <w:t>for </w:t>
      </w:r>
      <w:r>
        <w:rPr/>
        <w:t>northwestern Europe, United States, Australia and Canada indicate a total of about 170 GtCO</w:t>
      </w:r>
      <w:r>
        <w:rPr>
          <w:position w:val="-6"/>
          <w:sz w:val="11"/>
        </w:rPr>
        <w:t>2 </w:t>
      </w:r>
      <w:r>
        <w:rPr/>
        <w:t>storage capacity in their existing oil and gas fields, with the discovered oil and gas reserves of these countries accounting for 18.9% of the world total</w:t>
      </w:r>
      <w:r>
        <w:rPr>
          <w:spacing w:val="-9"/>
        </w:rPr>
        <w:t> </w:t>
      </w:r>
      <w:r>
        <w:rPr/>
        <w:t>(USGS,</w:t>
      </w:r>
      <w:r>
        <w:rPr>
          <w:spacing w:val="-8"/>
        </w:rPr>
        <w:t> </w:t>
      </w:r>
      <w:r>
        <w:rPr/>
        <w:t>2001a).</w:t>
      </w:r>
      <w:r>
        <w:rPr>
          <w:spacing w:val="-8"/>
        </w:rPr>
        <w:t> </w:t>
      </w:r>
      <w:r>
        <w:rPr/>
        <w:t>Global</w:t>
      </w:r>
      <w:r>
        <w:rPr>
          <w:spacing w:val="-8"/>
        </w:rPr>
        <w:t> </w:t>
      </w:r>
      <w:r>
        <w:rPr/>
        <w:t>storage</w:t>
      </w:r>
      <w:r>
        <w:rPr>
          <w:spacing w:val="-9"/>
        </w:rPr>
        <w:t> </w:t>
      </w:r>
      <w:r>
        <w:rPr/>
        <w:t>estimates</w:t>
      </w:r>
      <w:r>
        <w:rPr>
          <w:spacing w:val="-9"/>
        </w:rPr>
        <w:t> </w:t>
      </w:r>
      <w:r>
        <w:rPr/>
        <w:t>that</w:t>
      </w:r>
      <w:r>
        <w:rPr>
          <w:spacing w:val="-8"/>
        </w:rPr>
        <w:t> </w:t>
      </w:r>
      <w:r>
        <w:rPr/>
        <w:t>are</w:t>
      </w:r>
      <w:r>
        <w:rPr>
          <w:spacing w:val="-8"/>
        </w:rPr>
        <w:t> </w:t>
      </w:r>
      <w:r>
        <w:rPr/>
        <w:t>based</w:t>
      </w:r>
      <w:r>
        <w:rPr>
          <w:spacing w:val="-8"/>
        </w:rPr>
        <w:t> </w:t>
      </w:r>
      <w:r>
        <w:rPr/>
        <w:t>on proportionality suggest that discovered worldwide oil and gas reservoirs have a capacity of 900 GtCO</w:t>
      </w:r>
      <w:r>
        <w:rPr>
          <w:position w:val="-6"/>
          <w:sz w:val="11"/>
        </w:rPr>
        <w:t>2</w:t>
      </w:r>
      <w:r>
        <w:rPr/>
        <w:t>, which is comparable to the global estimates by Freund (2001) of 800 GtCO</w:t>
      </w:r>
      <w:r>
        <w:rPr>
          <w:position w:val="-6"/>
          <w:sz w:val="11"/>
        </w:rPr>
        <w:t>2 </w:t>
      </w:r>
      <w:r>
        <w:rPr/>
        <w:t>for gas (Stevens </w:t>
      </w:r>
      <w:r>
        <w:rPr>
          <w:i/>
        </w:rPr>
        <w:t>et al.</w:t>
      </w:r>
      <w:r>
        <w:rPr/>
        <w:t>, 2000) and 123 GtCO</w:t>
      </w:r>
      <w:r>
        <w:rPr>
          <w:position w:val="-6"/>
          <w:sz w:val="11"/>
        </w:rPr>
        <w:t>2 </w:t>
      </w:r>
      <w:r>
        <w:rPr/>
        <w:t>for oil and is assessed as a reliable value, although water invasion was not always taken into account.</w:t>
      </w:r>
    </w:p>
    <w:p>
      <w:pPr>
        <w:pStyle w:val="BodyText"/>
        <w:spacing w:before="4"/>
        <w:rPr>
          <w:sz w:val="21"/>
        </w:rPr>
      </w:pPr>
    </w:p>
    <w:p>
      <w:pPr>
        <w:pStyle w:val="ListParagraph"/>
        <w:numPr>
          <w:ilvl w:val="3"/>
          <w:numId w:val="4"/>
        </w:numPr>
        <w:tabs>
          <w:tab w:pos="977" w:val="left" w:leader="none"/>
        </w:tabs>
        <w:spacing w:line="240" w:lineRule="auto" w:before="0" w:after="0"/>
        <w:ind w:left="977" w:right="0" w:hanging="820"/>
        <w:jc w:val="both"/>
        <w:rPr>
          <w:i/>
          <w:sz w:val="20"/>
        </w:rPr>
      </w:pPr>
      <w:r>
        <w:rPr>
          <w:i/>
          <w:sz w:val="20"/>
        </w:rPr>
        <w:t>Storage in deep saline</w:t>
      </w:r>
      <w:r>
        <w:rPr>
          <w:i/>
          <w:spacing w:val="-2"/>
          <w:sz w:val="20"/>
        </w:rPr>
        <w:t> </w:t>
      </w:r>
      <w:r>
        <w:rPr>
          <w:i/>
          <w:sz w:val="20"/>
        </w:rPr>
        <w:t>formations</w:t>
      </w:r>
    </w:p>
    <w:p>
      <w:pPr>
        <w:pStyle w:val="BodyText"/>
        <w:spacing w:line="240" w:lineRule="exact" w:before="5"/>
        <w:ind w:left="157" w:right="531"/>
        <w:jc w:val="both"/>
      </w:pPr>
      <w:r>
        <w:rPr/>
        <w:t>Saline formations occur in sedimentary basins throughout the world, both onshore and on the continental shelves (Chapter 2 and</w:t>
      </w:r>
      <w:r>
        <w:rPr>
          <w:spacing w:val="-8"/>
        </w:rPr>
        <w:t> </w:t>
      </w:r>
      <w:r>
        <w:rPr/>
        <w:t>Section</w:t>
      </w:r>
      <w:r>
        <w:rPr>
          <w:spacing w:val="-9"/>
        </w:rPr>
        <w:t> </w:t>
      </w:r>
      <w:r>
        <w:rPr/>
        <w:t>5.3.3)</w:t>
      </w:r>
      <w:r>
        <w:rPr>
          <w:spacing w:val="-7"/>
        </w:rPr>
        <w:t> </w:t>
      </w:r>
      <w:r>
        <w:rPr/>
        <w:t>and</w:t>
      </w:r>
      <w:r>
        <w:rPr>
          <w:spacing w:val="-8"/>
        </w:rPr>
        <w:t> </w:t>
      </w:r>
      <w:r>
        <w:rPr/>
        <w:t>are</w:t>
      </w:r>
      <w:r>
        <w:rPr>
          <w:spacing w:val="-8"/>
        </w:rPr>
        <w:t> </w:t>
      </w:r>
      <w:r>
        <w:rPr/>
        <w:t>not</w:t>
      </w:r>
      <w:r>
        <w:rPr>
          <w:spacing w:val="-7"/>
        </w:rPr>
        <w:t> </w:t>
      </w:r>
      <w:r>
        <w:rPr/>
        <w:t>limited</w:t>
      </w:r>
      <w:r>
        <w:rPr>
          <w:spacing w:val="-8"/>
        </w:rPr>
        <w:t> </w:t>
      </w:r>
      <w:r>
        <w:rPr/>
        <w:t>to</w:t>
      </w:r>
      <w:r>
        <w:rPr>
          <w:spacing w:val="-8"/>
        </w:rPr>
        <w:t> </w:t>
      </w:r>
      <w:r>
        <w:rPr/>
        <w:t>hydrocarbon</w:t>
      </w:r>
      <w:r>
        <w:rPr>
          <w:spacing w:val="-7"/>
        </w:rPr>
        <w:t> </w:t>
      </w:r>
      <w:r>
        <w:rPr/>
        <w:t>provinces or</w:t>
      </w:r>
      <w:r>
        <w:rPr>
          <w:spacing w:val="-9"/>
        </w:rPr>
        <w:t> </w:t>
      </w:r>
      <w:r>
        <w:rPr/>
        <w:t>coal</w:t>
      </w:r>
      <w:r>
        <w:rPr>
          <w:spacing w:val="-9"/>
        </w:rPr>
        <w:t> </w:t>
      </w:r>
      <w:r>
        <w:rPr/>
        <w:t>basins.</w:t>
      </w:r>
      <w:r>
        <w:rPr>
          <w:spacing w:val="-9"/>
        </w:rPr>
        <w:t> </w:t>
      </w:r>
      <w:r>
        <w:rPr/>
        <w:t>However,</w:t>
      </w:r>
      <w:r>
        <w:rPr>
          <w:spacing w:val="-9"/>
        </w:rPr>
        <w:t> </w:t>
      </w:r>
      <w:r>
        <w:rPr/>
        <w:t>estimating</w:t>
      </w:r>
      <w:r>
        <w:rPr>
          <w:spacing w:val="-9"/>
        </w:rPr>
        <w:t> </w:t>
      </w:r>
      <w:r>
        <w:rPr/>
        <w:t>the</w:t>
      </w:r>
      <w:r>
        <w:rPr>
          <w:spacing w:val="-9"/>
        </w:rPr>
        <w:t> </w:t>
      </w:r>
      <w:r>
        <w:rPr/>
        <w:t>CO</w:t>
      </w:r>
      <w:r>
        <w:rPr>
          <w:position w:val="-6"/>
          <w:sz w:val="11"/>
        </w:rPr>
        <w:t>2</w:t>
      </w:r>
      <w:r>
        <w:rPr>
          <w:spacing w:val="13"/>
          <w:position w:val="-6"/>
          <w:sz w:val="11"/>
        </w:rPr>
        <w:t> </w:t>
      </w:r>
      <w:r>
        <w:rPr/>
        <w:t>storage</w:t>
      </w:r>
      <w:r>
        <w:rPr>
          <w:spacing w:val="-9"/>
        </w:rPr>
        <w:t> </w:t>
      </w:r>
      <w:r>
        <w:rPr/>
        <w:t>capacity</w:t>
      </w:r>
      <w:r>
        <w:rPr>
          <w:spacing w:val="-9"/>
        </w:rPr>
        <w:t> </w:t>
      </w:r>
      <w:r>
        <w:rPr/>
        <w:t>of deep</w:t>
      </w:r>
      <w:r>
        <w:rPr>
          <w:spacing w:val="-12"/>
        </w:rPr>
        <w:t> </w:t>
      </w:r>
      <w:r>
        <w:rPr/>
        <w:t>saline</w:t>
      </w:r>
      <w:r>
        <w:rPr>
          <w:spacing w:val="-12"/>
        </w:rPr>
        <w:t> </w:t>
      </w:r>
      <w:r>
        <w:rPr/>
        <w:t>formations</w:t>
      </w:r>
      <w:r>
        <w:rPr>
          <w:spacing w:val="-11"/>
        </w:rPr>
        <w:t> </w:t>
      </w:r>
      <w:r>
        <w:rPr/>
        <w:t>is</w:t>
      </w:r>
      <w:r>
        <w:rPr>
          <w:spacing w:val="-12"/>
        </w:rPr>
        <w:t> </w:t>
      </w:r>
      <w:r>
        <w:rPr/>
        <w:t>presently</w:t>
      </w:r>
      <w:r>
        <w:rPr>
          <w:spacing w:val="-11"/>
        </w:rPr>
        <w:t> </w:t>
      </w:r>
      <w:r>
        <w:rPr/>
        <w:t>a</w:t>
      </w:r>
      <w:r>
        <w:rPr>
          <w:spacing w:val="-12"/>
        </w:rPr>
        <w:t> </w:t>
      </w:r>
      <w:r>
        <w:rPr/>
        <w:t>challenge</w:t>
      </w:r>
      <w:r>
        <w:rPr>
          <w:spacing w:val="-11"/>
        </w:rPr>
        <w:t> </w:t>
      </w:r>
      <w:r>
        <w:rPr/>
        <w:t>for</w:t>
      </w:r>
      <w:r>
        <w:rPr>
          <w:spacing w:val="-12"/>
        </w:rPr>
        <w:t> </w:t>
      </w:r>
      <w:r>
        <w:rPr/>
        <w:t>the</w:t>
      </w:r>
      <w:r>
        <w:rPr>
          <w:spacing w:val="-11"/>
        </w:rPr>
        <w:t> </w:t>
      </w:r>
      <w:r>
        <w:rPr/>
        <w:t>following reasons:</w:t>
      </w:r>
    </w:p>
    <w:p>
      <w:pPr>
        <w:pStyle w:val="ListParagraph"/>
        <w:numPr>
          <w:ilvl w:val="0"/>
          <w:numId w:val="6"/>
        </w:numPr>
        <w:tabs>
          <w:tab w:pos="441" w:val="left" w:leader="none"/>
        </w:tabs>
        <w:spacing w:line="249" w:lineRule="auto" w:before="0" w:after="0"/>
        <w:ind w:left="440" w:right="530" w:hanging="284"/>
        <w:jc w:val="both"/>
        <w:rPr>
          <w:sz w:val="20"/>
        </w:rPr>
      </w:pPr>
      <w:r>
        <w:rPr>
          <w:sz w:val="20"/>
        </w:rPr>
        <w:t>There are multiple mechanisms for storage, including physical trapping beneath low permeability caprock, dissolution and mineralization;</w:t>
      </w:r>
    </w:p>
    <w:p>
      <w:pPr>
        <w:pStyle w:val="ListParagraph"/>
        <w:numPr>
          <w:ilvl w:val="0"/>
          <w:numId w:val="6"/>
        </w:numPr>
        <w:tabs>
          <w:tab w:pos="441" w:val="left" w:leader="none"/>
        </w:tabs>
        <w:spacing w:line="232" w:lineRule="exact" w:before="0" w:after="0"/>
        <w:ind w:left="440" w:right="0" w:hanging="284"/>
        <w:jc w:val="both"/>
        <w:rPr>
          <w:sz w:val="20"/>
        </w:rPr>
      </w:pPr>
      <w:r>
        <w:rPr>
          <w:sz w:val="20"/>
        </w:rPr>
        <w:t>These mechanisms operate both simultaneously and</w:t>
      </w:r>
      <w:r>
        <w:rPr>
          <w:spacing w:val="40"/>
          <w:sz w:val="20"/>
        </w:rPr>
        <w:t> </w:t>
      </w:r>
      <w:r>
        <w:rPr>
          <w:sz w:val="20"/>
        </w:rPr>
        <w:t>on</w:t>
      </w:r>
    </w:p>
    <w:p>
      <w:pPr>
        <w:pStyle w:val="BodyText"/>
        <w:spacing w:line="240" w:lineRule="exact"/>
        <w:ind w:left="440" w:right="531"/>
        <w:jc w:val="both"/>
      </w:pPr>
      <w:r>
        <w:rPr/>
        <w:t>different time scales, such that the time frame of CO</w:t>
      </w:r>
      <w:r>
        <w:rPr>
          <w:position w:val="-6"/>
          <w:sz w:val="11"/>
        </w:rPr>
        <w:t>2 </w:t>
      </w:r>
      <w:r>
        <w:rPr/>
        <w:t>storage affects the capacity estimate; volumetric storage is important initially, but later CO</w:t>
      </w:r>
      <w:r>
        <w:rPr>
          <w:position w:val="-6"/>
          <w:sz w:val="11"/>
        </w:rPr>
        <w:t>2 </w:t>
      </w:r>
      <w:r>
        <w:rPr/>
        <w:t>dissolves and reacts with minerals;</w:t>
      </w:r>
    </w:p>
    <w:p>
      <w:pPr>
        <w:pStyle w:val="ListParagraph"/>
        <w:numPr>
          <w:ilvl w:val="0"/>
          <w:numId w:val="6"/>
        </w:numPr>
        <w:tabs>
          <w:tab w:pos="441" w:val="left" w:leader="none"/>
        </w:tabs>
        <w:spacing w:line="249" w:lineRule="auto" w:before="0" w:after="0"/>
        <w:ind w:left="440" w:right="530" w:hanging="284"/>
        <w:jc w:val="both"/>
        <w:rPr>
          <w:sz w:val="20"/>
        </w:rPr>
      </w:pPr>
      <w:r>
        <w:rPr>
          <w:sz w:val="20"/>
        </w:rPr>
        <w:t>Relations</w:t>
      </w:r>
      <w:r>
        <w:rPr>
          <w:spacing w:val="-31"/>
          <w:sz w:val="20"/>
        </w:rPr>
        <w:t> </w:t>
      </w:r>
      <w:r>
        <w:rPr>
          <w:sz w:val="20"/>
        </w:rPr>
        <w:t>and</w:t>
      </w:r>
      <w:r>
        <w:rPr>
          <w:spacing w:val="-31"/>
          <w:sz w:val="20"/>
        </w:rPr>
        <w:t> </w:t>
      </w:r>
      <w:r>
        <w:rPr>
          <w:sz w:val="20"/>
        </w:rPr>
        <w:t>interactions</w:t>
      </w:r>
      <w:r>
        <w:rPr>
          <w:spacing w:val="-31"/>
          <w:sz w:val="20"/>
        </w:rPr>
        <w:t> </w:t>
      </w:r>
      <w:r>
        <w:rPr>
          <w:sz w:val="20"/>
        </w:rPr>
        <w:t>between</w:t>
      </w:r>
      <w:r>
        <w:rPr>
          <w:spacing w:val="-31"/>
          <w:sz w:val="20"/>
        </w:rPr>
        <w:t> </w:t>
      </w:r>
      <w:r>
        <w:rPr>
          <w:sz w:val="20"/>
        </w:rPr>
        <w:t>these</w:t>
      </w:r>
      <w:r>
        <w:rPr>
          <w:spacing w:val="-31"/>
          <w:sz w:val="20"/>
        </w:rPr>
        <w:t> </w:t>
      </w:r>
      <w:r>
        <w:rPr>
          <w:sz w:val="20"/>
        </w:rPr>
        <w:t>various</w:t>
      </w:r>
      <w:r>
        <w:rPr>
          <w:spacing w:val="-31"/>
          <w:sz w:val="20"/>
        </w:rPr>
        <w:t> </w:t>
      </w:r>
      <w:r>
        <w:rPr>
          <w:sz w:val="20"/>
        </w:rPr>
        <w:t>mechanisms are</w:t>
      </w:r>
      <w:r>
        <w:rPr>
          <w:spacing w:val="-17"/>
          <w:sz w:val="20"/>
        </w:rPr>
        <w:t> </w:t>
      </w:r>
      <w:r>
        <w:rPr>
          <w:sz w:val="20"/>
        </w:rPr>
        <w:t>very</w:t>
      </w:r>
      <w:r>
        <w:rPr>
          <w:spacing w:val="-16"/>
          <w:sz w:val="20"/>
        </w:rPr>
        <w:t> </w:t>
      </w:r>
      <w:r>
        <w:rPr>
          <w:sz w:val="20"/>
        </w:rPr>
        <w:t>complex,</w:t>
      </w:r>
      <w:r>
        <w:rPr>
          <w:spacing w:val="-16"/>
          <w:sz w:val="20"/>
        </w:rPr>
        <w:t> </w:t>
      </w:r>
      <w:r>
        <w:rPr>
          <w:sz w:val="20"/>
        </w:rPr>
        <w:t>evolve</w:t>
      </w:r>
      <w:r>
        <w:rPr>
          <w:spacing w:val="-17"/>
          <w:sz w:val="20"/>
        </w:rPr>
        <w:t> </w:t>
      </w:r>
      <w:r>
        <w:rPr>
          <w:sz w:val="20"/>
        </w:rPr>
        <w:t>with</w:t>
      </w:r>
      <w:r>
        <w:rPr>
          <w:spacing w:val="-16"/>
          <w:sz w:val="20"/>
        </w:rPr>
        <w:t> </w:t>
      </w:r>
      <w:r>
        <w:rPr>
          <w:sz w:val="20"/>
        </w:rPr>
        <w:t>time</w:t>
      </w:r>
      <w:r>
        <w:rPr>
          <w:spacing w:val="-16"/>
          <w:sz w:val="20"/>
        </w:rPr>
        <w:t> </w:t>
      </w:r>
      <w:r>
        <w:rPr>
          <w:sz w:val="20"/>
        </w:rPr>
        <w:t>and</w:t>
      </w:r>
      <w:r>
        <w:rPr>
          <w:spacing w:val="-16"/>
          <w:sz w:val="20"/>
        </w:rPr>
        <w:t> </w:t>
      </w:r>
      <w:r>
        <w:rPr>
          <w:sz w:val="20"/>
        </w:rPr>
        <w:t>are</w:t>
      </w:r>
      <w:r>
        <w:rPr>
          <w:spacing w:val="-17"/>
          <w:sz w:val="20"/>
        </w:rPr>
        <w:t> </w:t>
      </w:r>
      <w:r>
        <w:rPr>
          <w:sz w:val="20"/>
        </w:rPr>
        <w:t>highly</w:t>
      </w:r>
      <w:r>
        <w:rPr>
          <w:spacing w:val="-16"/>
          <w:sz w:val="20"/>
        </w:rPr>
        <w:t> </w:t>
      </w:r>
      <w:r>
        <w:rPr>
          <w:sz w:val="20"/>
        </w:rPr>
        <w:t>dependent on local conditions;</w:t>
      </w:r>
    </w:p>
    <w:p>
      <w:pPr>
        <w:pStyle w:val="ListParagraph"/>
        <w:numPr>
          <w:ilvl w:val="0"/>
          <w:numId w:val="6"/>
        </w:numPr>
        <w:tabs>
          <w:tab w:pos="441" w:val="left" w:leader="none"/>
        </w:tabs>
        <w:spacing w:line="232" w:lineRule="exact" w:before="0" w:after="0"/>
        <w:ind w:left="440" w:right="0" w:hanging="284"/>
        <w:jc w:val="both"/>
        <w:rPr>
          <w:sz w:val="20"/>
        </w:rPr>
      </w:pPr>
      <w:r>
        <w:rPr>
          <w:sz w:val="20"/>
        </w:rPr>
        <w:t>There</w:t>
      </w:r>
      <w:r>
        <w:rPr>
          <w:spacing w:val="-24"/>
          <w:sz w:val="20"/>
        </w:rPr>
        <w:t> </w:t>
      </w:r>
      <w:r>
        <w:rPr>
          <w:sz w:val="20"/>
        </w:rPr>
        <w:t>is</w:t>
      </w:r>
      <w:r>
        <w:rPr>
          <w:spacing w:val="-23"/>
          <w:sz w:val="20"/>
        </w:rPr>
        <w:t> </w:t>
      </w:r>
      <w:r>
        <w:rPr>
          <w:sz w:val="20"/>
        </w:rPr>
        <w:t>no</w:t>
      </w:r>
      <w:r>
        <w:rPr>
          <w:spacing w:val="-23"/>
          <w:sz w:val="20"/>
        </w:rPr>
        <w:t> </w:t>
      </w:r>
      <w:r>
        <w:rPr>
          <w:sz w:val="20"/>
        </w:rPr>
        <w:t>single,</w:t>
      </w:r>
      <w:r>
        <w:rPr>
          <w:spacing w:val="-23"/>
          <w:sz w:val="20"/>
        </w:rPr>
        <w:t> </w:t>
      </w:r>
      <w:r>
        <w:rPr>
          <w:sz w:val="20"/>
        </w:rPr>
        <w:t>consistent,</w:t>
      </w:r>
      <w:r>
        <w:rPr>
          <w:spacing w:val="-24"/>
          <w:sz w:val="20"/>
        </w:rPr>
        <w:t> </w:t>
      </w:r>
      <w:r>
        <w:rPr>
          <w:sz w:val="20"/>
        </w:rPr>
        <w:t>broadly</w:t>
      </w:r>
      <w:r>
        <w:rPr>
          <w:spacing w:val="-23"/>
          <w:sz w:val="20"/>
        </w:rPr>
        <w:t> </w:t>
      </w:r>
      <w:r>
        <w:rPr>
          <w:sz w:val="20"/>
        </w:rPr>
        <w:t>available</w:t>
      </w:r>
      <w:r>
        <w:rPr>
          <w:spacing w:val="-23"/>
          <w:sz w:val="20"/>
        </w:rPr>
        <w:t> </w:t>
      </w:r>
      <w:r>
        <w:rPr>
          <w:sz w:val="20"/>
        </w:rPr>
        <w:t>methodology</w:t>
      </w:r>
    </w:p>
    <w:p>
      <w:pPr>
        <w:pStyle w:val="BodyText"/>
        <w:spacing w:line="206" w:lineRule="auto" w:before="14"/>
        <w:ind w:left="440" w:right="532"/>
        <w:jc w:val="both"/>
      </w:pPr>
      <w:r>
        <w:rPr/>
        <w:t>for estimating CO</w:t>
      </w:r>
      <w:r>
        <w:rPr>
          <w:position w:val="-6"/>
          <w:sz w:val="11"/>
        </w:rPr>
        <w:t>2 </w:t>
      </w:r>
      <w:r>
        <w:rPr/>
        <w:t>storage capacity (various studies have used different methods that do not allow comparison).</w:t>
      </w:r>
    </w:p>
    <w:p>
      <w:pPr>
        <w:pStyle w:val="ListParagraph"/>
        <w:numPr>
          <w:ilvl w:val="0"/>
          <w:numId w:val="6"/>
        </w:numPr>
        <w:tabs>
          <w:tab w:pos="441" w:val="left" w:leader="none"/>
        </w:tabs>
        <w:spacing w:line="249" w:lineRule="auto" w:before="1" w:after="0"/>
        <w:ind w:left="440" w:right="532" w:hanging="284"/>
        <w:jc w:val="both"/>
        <w:rPr>
          <w:sz w:val="20"/>
        </w:rPr>
      </w:pPr>
      <w:r>
        <w:rPr>
          <w:sz w:val="20"/>
        </w:rPr>
        <w:t>Only limited seismic and well data are normally available (unlike data on oil and gas reservoirs).</w:t>
      </w:r>
    </w:p>
    <w:p>
      <w:pPr>
        <w:pStyle w:val="BodyText"/>
        <w:spacing w:before="6"/>
        <w:rPr>
          <w:sz w:val="22"/>
        </w:rPr>
      </w:pPr>
    </w:p>
    <w:p>
      <w:pPr>
        <w:pStyle w:val="BodyText"/>
        <w:spacing w:line="206" w:lineRule="auto"/>
        <w:ind w:left="157" w:right="531"/>
        <w:jc w:val="both"/>
      </w:pPr>
      <w:r>
        <w:rPr>
          <w:spacing w:val="-7"/>
        </w:rPr>
        <w:t>To </w:t>
      </w:r>
      <w:r>
        <w:rPr/>
        <w:t>understand the difficulties in assessing CO</w:t>
      </w:r>
      <w:r>
        <w:rPr>
          <w:position w:val="-6"/>
          <w:sz w:val="11"/>
        </w:rPr>
        <w:t>2 </w:t>
      </w:r>
      <w:r>
        <w:rPr/>
        <w:t>storage capacity in deep saline formations, we need to understand the interplay</w:t>
      </w:r>
    </w:p>
    <w:p>
      <w:pPr>
        <w:pStyle w:val="BodyText"/>
        <w:spacing w:before="5"/>
        <w:rPr>
          <w:sz w:val="29"/>
        </w:rPr>
      </w:pPr>
      <w:r>
        <w:rPr/>
        <w:pict>
          <v:shape style="position:absolute;margin-left:303.165009pt;margin-top:19.397806pt;width:72pt;height:.1pt;mso-position-horizontal-relative:page;mso-position-vertical-relative:paragraph;z-index:-251609088;mso-wrap-distance-left:0;mso-wrap-distance-right:0" coordorigin="6063,388" coordsize="1440,0" path="m6063,388l7503,388e" filled="false" stroked="true" strokeweight="1pt" strokecolor="#000000">
            <v:path arrowok="t"/>
            <v:stroke dashstyle="solid"/>
            <w10:wrap type="topAndBottom"/>
          </v:shape>
        </w:pict>
      </w:r>
    </w:p>
    <w:p>
      <w:pPr>
        <w:spacing w:line="261" w:lineRule="auto" w:before="11"/>
        <w:ind w:left="157" w:right="531" w:firstLine="0"/>
        <w:jc w:val="both"/>
        <w:rPr>
          <w:sz w:val="16"/>
        </w:rPr>
      </w:pPr>
      <w:r>
        <w:rPr>
          <w:position w:val="5"/>
          <w:sz w:val="9"/>
        </w:rPr>
        <w:t>1 </w:t>
      </w:r>
      <w:r>
        <w:rPr>
          <w:sz w:val="16"/>
        </w:rPr>
        <w:t>Estimates of the undiscovered oil and gas are based on the USGS assessment that</w:t>
      </w:r>
      <w:r>
        <w:rPr>
          <w:spacing w:val="-6"/>
          <w:sz w:val="16"/>
        </w:rPr>
        <w:t> </w:t>
      </w:r>
      <w:r>
        <w:rPr>
          <w:sz w:val="16"/>
        </w:rPr>
        <w:t>30%</w:t>
      </w:r>
      <w:r>
        <w:rPr>
          <w:spacing w:val="-6"/>
          <w:sz w:val="16"/>
        </w:rPr>
        <w:t> </w:t>
      </w:r>
      <w:r>
        <w:rPr>
          <w:sz w:val="16"/>
        </w:rPr>
        <w:t>more</w:t>
      </w:r>
      <w:r>
        <w:rPr>
          <w:spacing w:val="-6"/>
          <w:sz w:val="16"/>
        </w:rPr>
        <w:t> </w:t>
      </w:r>
      <w:r>
        <w:rPr>
          <w:sz w:val="16"/>
        </w:rPr>
        <w:t>oil</w:t>
      </w:r>
      <w:r>
        <w:rPr>
          <w:spacing w:val="-6"/>
          <w:sz w:val="16"/>
        </w:rPr>
        <w:t> </w:t>
      </w:r>
      <w:r>
        <w:rPr>
          <w:sz w:val="16"/>
        </w:rPr>
        <w:t>and</w:t>
      </w:r>
      <w:r>
        <w:rPr>
          <w:spacing w:val="-6"/>
          <w:sz w:val="16"/>
        </w:rPr>
        <w:t> </w:t>
      </w:r>
      <w:r>
        <w:rPr>
          <w:sz w:val="16"/>
        </w:rPr>
        <w:t>gas</w:t>
      </w:r>
      <w:r>
        <w:rPr>
          <w:spacing w:val="-6"/>
          <w:sz w:val="16"/>
        </w:rPr>
        <w:t> </w:t>
      </w:r>
      <w:r>
        <w:rPr>
          <w:sz w:val="16"/>
        </w:rPr>
        <w:t>will</w:t>
      </w:r>
      <w:r>
        <w:rPr>
          <w:spacing w:val="-6"/>
          <w:sz w:val="16"/>
        </w:rPr>
        <w:t> </w:t>
      </w:r>
      <w:r>
        <w:rPr>
          <w:sz w:val="16"/>
        </w:rPr>
        <w:t>be</w:t>
      </w:r>
      <w:r>
        <w:rPr>
          <w:spacing w:val="-6"/>
          <w:sz w:val="16"/>
        </w:rPr>
        <w:t> </w:t>
      </w:r>
      <w:r>
        <w:rPr>
          <w:sz w:val="16"/>
        </w:rPr>
        <w:t>discovered,</w:t>
      </w:r>
      <w:r>
        <w:rPr>
          <w:spacing w:val="-6"/>
          <w:sz w:val="16"/>
        </w:rPr>
        <w:t> </w:t>
      </w:r>
      <w:r>
        <w:rPr>
          <w:sz w:val="16"/>
        </w:rPr>
        <w:t>compared</w:t>
      </w:r>
      <w:r>
        <w:rPr>
          <w:spacing w:val="-6"/>
          <w:sz w:val="16"/>
        </w:rPr>
        <w:t> </w:t>
      </w:r>
      <w:r>
        <w:rPr>
          <w:sz w:val="16"/>
        </w:rPr>
        <w:t>to</w:t>
      </w:r>
      <w:r>
        <w:rPr>
          <w:spacing w:val="-6"/>
          <w:sz w:val="16"/>
        </w:rPr>
        <w:t> </w:t>
      </w:r>
      <w:r>
        <w:rPr>
          <w:sz w:val="16"/>
        </w:rPr>
        <w:t>the</w:t>
      </w:r>
      <w:r>
        <w:rPr>
          <w:spacing w:val="-6"/>
          <w:sz w:val="16"/>
        </w:rPr>
        <w:t> </w:t>
      </w:r>
      <w:r>
        <w:rPr>
          <w:sz w:val="16"/>
        </w:rPr>
        <w:t>resources</w:t>
      </w:r>
      <w:r>
        <w:rPr>
          <w:spacing w:val="-6"/>
          <w:sz w:val="16"/>
        </w:rPr>
        <w:t> </w:t>
      </w:r>
      <w:r>
        <w:rPr>
          <w:spacing w:val="-3"/>
          <w:sz w:val="16"/>
        </w:rPr>
        <w:t>known </w:t>
      </w:r>
      <w:r>
        <w:rPr>
          <w:sz w:val="16"/>
        </w:rPr>
        <w:t>today.</w:t>
      </w:r>
    </w:p>
    <w:p>
      <w:pPr>
        <w:spacing w:after="0" w:line="261" w:lineRule="auto"/>
        <w:jc w:val="both"/>
        <w:rPr>
          <w:sz w:val="16"/>
        </w:rPr>
        <w:sectPr>
          <w:type w:val="continuous"/>
          <w:pgSz w:w="12240" w:h="15840"/>
          <w:pgMar w:top="400" w:bottom="280" w:left="580" w:right="600"/>
          <w:cols w:num="2" w:equalWidth="0">
            <w:col w:w="5243" w:space="84"/>
            <w:col w:w="5733"/>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before="11"/>
        <w:rPr>
          <w:sz w:val="6"/>
        </w:rPr>
      </w:pPr>
    </w:p>
    <w:p>
      <w:pPr>
        <w:pStyle w:val="BodyText"/>
        <w:ind w:left="559" w:right="-58"/>
      </w:pPr>
      <w:r>
        <w:rPr/>
        <w:pict>
          <v:group style="width:252.4pt;height:158.85pt;mso-position-horizontal-relative:char;mso-position-vertical-relative:line" coordorigin="0,0" coordsize="5048,3177">
            <v:line style="position:absolute" from="2006,2542" to="2006,253" stroked="true" strokeweight=".49pt" strokecolor="#000000">
              <v:stroke dashstyle="solid"/>
            </v:line>
            <v:line style="position:absolute" from="3943,2542" to="3943,253" stroked="true" strokeweight=".49pt" strokecolor="#000000">
              <v:stroke dashstyle="solid"/>
            </v:line>
            <v:line style="position:absolute" from="3555,2542" to="3555,253" stroked="true" strokeweight=".49pt" strokecolor="#000000">
              <v:stroke dashstyle="solid"/>
            </v:line>
            <v:line style="position:absolute" from="3168,2542" to="3168,253" stroked="true" strokeweight=".49pt" strokecolor="#000000">
              <v:stroke dashstyle="solid"/>
            </v:line>
            <v:line style="position:absolute" from="2781,2542" to="2781,253" stroked="true" strokeweight=".49pt" strokecolor="#000000">
              <v:stroke dashstyle="solid"/>
            </v:line>
            <v:line style="position:absolute" from="2394,2542" to="2394,253" stroked="true" strokeweight=".49pt" strokecolor="#000000">
              <v:stroke dashstyle="solid"/>
            </v:line>
            <v:line style="position:absolute" from="4330,2542" to="4330,253" stroked="true" strokeweight=".49pt" strokecolor="#000000">
              <v:stroke dashstyle="solid"/>
            </v:line>
            <v:line style="position:absolute" from="1854,2488" to="4850,2488" stroked="true" strokeweight=".784pt" strokecolor="#000000">
              <v:stroke dashstyle="solid"/>
            </v:line>
            <v:shape style="position:absolute;left:4815;top:2420;width:120;height:136" type="#_x0000_t75" stroked="false">
              <v:imagedata r:id="rId136" o:title=""/>
            </v:shape>
            <v:line style="position:absolute" from="1854,298" to="1854,2488" stroked="true" strokeweight=".784pt" strokecolor="#000000">
              <v:stroke dashstyle="solid"/>
            </v:line>
            <v:shape style="position:absolute;left:1787;top:211;width:133;height:122" type="#_x0000_t75" stroked="false">
              <v:imagedata r:id="rId137" o:title=""/>
            </v:shape>
            <v:shape style="position:absolute;left:1856;top:1565;width:3008;height:187" type="#_x0000_t75" stroked="false">
              <v:imagedata r:id="rId138" o:title=""/>
            </v:shape>
            <v:shape style="position:absolute;left:1860;top:701;width:3005;height:177" type="#_x0000_t75" stroked="false">
              <v:imagedata r:id="rId139" o:title=""/>
            </v:shape>
            <v:shape style="position:absolute;left:2034;top:1886;width:2833;height:99" type="#_x0000_t75" stroked="false">
              <v:imagedata r:id="rId140" o:title=""/>
            </v:shape>
            <v:shape style="position:absolute;left:1867;top:1280;width:2997;height:178" type="#_x0000_t75" stroked="false">
              <v:imagedata r:id="rId141" o:title=""/>
            </v:shape>
            <v:shape style="position:absolute;left:1859;top:347;width:807;height:178" coordorigin="1860,347" coordsize="807,178" path="m2667,347l1860,525,2667,525,2667,347xe" filled="true" fillcolor="#b75640" stroked="false">
              <v:path arrowok="t"/>
              <v:fill type="solid"/>
            </v:shape>
            <v:shape style="position:absolute;left:1860;top:979;width:3005;height:177" type="#_x0000_t75" stroked="false">
              <v:imagedata r:id="rId142" o:title=""/>
            </v:shape>
            <v:shape style="position:absolute;left:1860;top:2179;width:3005;height:178" type="#_x0000_t75" stroked="false">
              <v:imagedata r:id="rId143" o:title=""/>
            </v:shape>
            <v:shape style="position:absolute;left:1135;top:387;width:616;height:164" type="#_x0000_t75" stroked="false">
              <v:imagedata r:id="rId144" o:title=""/>
            </v:shape>
            <v:shape style="position:absolute;left:967;top:700;width:340;height:164" type="#_x0000_t75" stroked="false">
              <v:imagedata r:id="rId145" o:title=""/>
            </v:shape>
            <v:shape style="position:absolute;left:1364;top:699;width:380;height:168" type="#_x0000_t75" stroked="false">
              <v:imagedata r:id="rId146" o:title=""/>
            </v:shape>
            <v:shape style="position:absolute;left:460;top:1014;width:1290;height:166" type="#_x0000_t75" stroked="false">
              <v:imagedata r:id="rId147" o:title=""/>
            </v:shape>
            <v:shape style="position:absolute;left:930;top:1328;width:102;height:127" coordorigin="931,1328" coordsize="102,127" path="m980,1328l931,1328,931,1455,980,1455,995,1453,1007,1447,1016,1440,948,1440,948,1343,1016,1343,1012,1339,1003,1333,992,1329,980,1328xm1016,1343l990,1343,999,1347,1011,1365,1014,1377,1014,1396,1014,1401,1012,1413,1009,1420,1002,1431,997,1436,991,1438,987,1439,982,1440,1016,1440,1017,1438,1024,1426,1029,1415,1032,1403,1032,1389,1031,1377,1029,1366,1025,1356,1019,1347,1016,1343xe" filled="true" fillcolor="#000000" stroked="false">
              <v:path arrowok="t"/>
              <v:fill type="solid"/>
            </v:shape>
            <v:shape style="position:absolute;left:1052;top:1327;width:16;height:127" coordorigin="1053,1328" coordsize="16,127" path="m1068,1363l1053,1363,1053,1455,1068,1455,1068,1363xm1068,1328l1053,1328,1053,1346,1068,1346,1068,1328xe" filled="true" fillcolor="#000000" stroked="false">
              <v:path arrowok="t"/>
              <v:fill type="solid"/>
            </v:shape>
            <v:shape style="position:absolute;left:1085;top:1359;width:76;height:98" coordorigin="1086,1360" coordsize="76,98" path="m1100,1425l1086,1425,1086,1434,1089,1442,1100,1455,1110,1458,1136,1458,1146,1455,1156,1444,1115,1444,1108,1442,1102,1434,1101,1430,1100,1425xm1136,1360l1112,1360,1104,1362,1091,1373,1088,1380,1088,1396,1091,1402,1098,1406,1102,1409,1107,1411,1134,1418,1139,1419,1141,1420,1144,1422,1146,1425,1146,1434,1144,1438,1135,1443,1130,1444,1156,1444,1158,1443,1161,1436,1161,1419,1158,1413,1148,1406,1141,1404,1115,1398,1112,1396,1110,1395,1106,1392,1104,1389,1104,1382,1105,1379,1111,1374,1116,1373,1153,1373,1146,1364,1136,1360xm1153,1373l1130,1373,1136,1375,1140,1379,1142,1382,1143,1385,1143,1389,1158,1389,1158,1383,1156,1377,1153,1373xe" filled="true" fillcolor="#000000" stroked="false">
              <v:path arrowok="t"/>
              <v:fill type="solid"/>
            </v:shape>
            <v:shape style="position:absolute;left:1172;top:1359;width:76;height:98" coordorigin="1172,1360" coordsize="76,98" path="m1187,1425l1172,1425,1172,1434,1175,1442,1187,1455,1196,1458,1223,1458,1232,1455,1243,1444,1201,1444,1194,1442,1188,1434,1187,1430,1187,1425xm1223,1360l1198,1360,1190,1362,1178,1373,1174,1380,1174,1396,1178,1402,1184,1406,1188,1409,1194,1411,1221,1418,1225,1419,1227,1420,1231,1422,1232,1425,1232,1434,1230,1438,1222,1443,1216,1444,1243,1444,1244,1443,1247,1436,1247,1419,1244,1413,1235,1406,1227,1404,1202,1398,1198,1396,1196,1395,1192,1392,1190,1389,1190,1382,1192,1379,1198,1374,1202,1373,1240,1373,1233,1364,1223,1360xm1240,1373l1217,1373,1223,1375,1226,1379,1228,1382,1230,1385,1230,1389,1244,1389,1244,1383,1243,1377,1240,1373xe" filled="true" fillcolor="#000000" stroked="false">
              <v:path arrowok="t"/>
              <v:fill type="solid"/>
            </v:shape>
            <v:shape style="position:absolute;left:1257;top:1359;width:84;height:98" coordorigin="1258,1360" coordsize="84,98" path="m1312,1360l1287,1360,1277,1364,1262,1383,1258,1395,1258,1425,1261,1436,1276,1453,1286,1458,1313,1458,1324,1453,1330,1444,1291,1444,1284,1441,1276,1428,1273,1420,1273,1400,1276,1391,1284,1377,1291,1373,1331,1373,1321,1364,1312,1360xm1331,1373l1310,1373,1318,1377,1324,1391,1326,1398,1326,1416,1324,1425,1317,1440,1310,1444,1330,1444,1338,1434,1341,1421,1341,1391,1337,1379,1331,1373xe" filled="true" fillcolor="#000000" stroked="false">
              <v:path arrowok="t"/>
              <v:fill type="solid"/>
            </v:shape>
            <v:rect style="position:absolute;left:1360;top:1327;width:16;height:127" filled="true" fillcolor="#000000" stroked="false">
              <v:fill type="solid"/>
            </v:rect>
            <v:shape style="position:absolute;left:1398;top:1362;width:72;height:95" coordorigin="1398,1362" coordsize="72,95" path="m1414,1362l1398,1362,1398,1433,1400,1439,1407,1453,1415,1457,1436,1457,1443,1455,1451,1448,1454,1445,1454,1444,1423,1444,1418,1441,1414,1432,1414,1428,1414,1362xm1470,1441l1456,1441,1455,1455,1470,1455,1470,1441xm1470,1362l1454,1362,1454,1417,1453,1424,1448,1439,1441,1444,1454,1444,1456,1441,1470,1441,1470,1362xe" filled="true" fillcolor="#000000" stroked="false">
              <v:path arrowok="t"/>
              <v:fill type="solid"/>
            </v:shape>
            <v:shape style="position:absolute;left:1485;top:1336;width:42;height:120" coordorigin="1485,1337" coordsize="42,120" path="m1513,1375l1497,1375,1497,1442,1499,1447,1504,1454,1508,1456,1518,1456,1520,1456,1523,1456,1525,1455,1527,1455,1527,1442,1519,1442,1517,1442,1514,1440,1513,1438,1513,1375xm1527,1442l1525,1442,1523,1442,1519,1442,1527,1442,1527,1442xm1527,1362l1485,1362,1485,1375,1527,1375,1527,1362xm1513,1337l1497,1337,1497,1362,1513,1362,1513,1337xe" filled="true" fillcolor="#000000" stroked="false">
              <v:path arrowok="t"/>
              <v:fill type="solid"/>
            </v:shape>
            <v:shape style="position:absolute;left:1542;top:1327;width:16;height:127" coordorigin="1543,1328" coordsize="16,127" path="m1558,1363l1543,1363,1543,1455,1558,1455,1558,1363xm1558,1328l1543,1328,1543,1346,1558,1346,1558,1328xe" filled="true" fillcolor="#000000" stroked="false">
              <v:path arrowok="t"/>
              <v:fill type="solid"/>
            </v:shape>
            <v:shape style="position:absolute;left:1574;top:1359;width:84;height:98" coordorigin="1575,1360" coordsize="84,98" path="m1629,1360l1604,1360,1594,1364,1579,1383,1575,1395,1575,1425,1578,1436,1593,1453,1603,1458,1630,1458,1641,1453,1647,1444,1608,1444,1601,1441,1593,1428,1590,1420,1590,1400,1593,1391,1601,1377,1608,1373,1648,1373,1638,1364,1629,1360xm1648,1373l1627,1373,1635,1377,1641,1391,1643,1398,1643,1416,1641,1425,1634,1440,1627,1444,1647,1444,1655,1434,1658,1421,1658,1391,1654,1379,1648,1373xe" filled="true" fillcolor="#000000" stroked="false">
              <v:path arrowok="t"/>
              <v:fill type="solid"/>
            </v:shape>
            <v:shape style="position:absolute;left:1677;top:1360;width:74;height:95" coordorigin="1677,1360" coordsize="74,95" path="m1692,1362l1677,1362,1677,1455,1692,1455,1692,1400,1693,1396,1694,1389,1696,1386,1702,1379,1705,1377,1709,1376,1692,1376,1692,1362xm1747,1374l1725,1374,1730,1377,1735,1386,1736,1391,1736,1455,1751,1455,1751,1386,1750,1379,1747,1374xm1734,1360l1715,1360,1710,1362,1701,1366,1696,1370,1692,1376,1709,1376,1712,1375,1715,1374,1747,1374,1743,1365,1734,1360xe" filled="true" fillcolor="#000000" stroked="false">
              <v:path arrowok="t"/>
              <v:fill type="solid"/>
            </v:shape>
            <v:shape style="position:absolute;left:69;top:1638;width:1681;height:189" type="#_x0000_t75" stroked="false">
              <v:imagedata r:id="rId148" o:title=""/>
            </v:shape>
            <v:shape style="position:absolute;left:708;top:1955;width:1042;height:130" type="#_x0000_t75" stroked="false">
              <v:imagedata r:id="rId149" o:title=""/>
            </v:shape>
            <v:shape style="position:absolute;left:938;top:2268;width:111;height:127" coordorigin="939,2269" coordsize="111,127" path="m1004,2269l985,2269,939,2395,956,2395,969,2357,1035,2357,1030,2343,974,2343,994,2288,1011,2288,1004,2269xm1035,2357l1018,2357,1031,2395,1049,2395,1035,2357xm1011,2288l994,2288,1013,2343,1030,2343,1011,2288xe" filled="true" fillcolor="#000000" stroked="false">
              <v:path arrowok="t"/>
              <v:fill type="solid"/>
            </v:shape>
            <v:shape style="position:absolute;left:1056;top:2268;width:80;height:130" coordorigin="1056,2269" coordsize="80,130" path="m1102,2301l1082,2301,1073,2306,1059,2326,1056,2338,1056,2365,1060,2377,1074,2394,1083,2399,1099,2399,1105,2397,1114,2392,1118,2388,1120,2385,1089,2385,1082,2382,1074,2368,1072,2361,1072,2339,1074,2330,1084,2318,1090,2315,1121,2315,1118,2311,1115,2308,1107,2303,1102,2301xm1136,2382l1122,2382,1122,2395,1136,2395,1136,2382xm1136,2269l1121,2269,1121,2315,1104,2315,1110,2318,1114,2323,1119,2329,1121,2338,1121,2361,1119,2370,1110,2382,1105,2385,1120,2385,1122,2382,1136,2382,1136,2269xe" filled="true" fillcolor="#000000" stroked="false">
              <v:path arrowok="t"/>
              <v:fill type="solid"/>
            </v:shape>
            <v:shape style="position:absolute;left:1152;top:2300;width:76;height:98" coordorigin="1153,2301" coordsize="76,98" path="m1168,2366l1153,2366,1153,2375,1156,2383,1168,2395,1177,2399,1203,2399,1213,2396,1224,2385,1182,2385,1175,2383,1169,2375,1168,2371,1168,2366xm1204,2301l1179,2301,1171,2303,1158,2314,1155,2321,1155,2337,1159,2343,1165,2347,1169,2350,1175,2352,1201,2358,1206,2360,1208,2361,1211,2363,1213,2366,1213,2375,1211,2379,1202,2384,1197,2385,1224,2385,1225,2384,1228,2377,1228,2360,1225,2354,1216,2347,1208,2345,1182,2338,1179,2337,1173,2333,1171,2330,1171,2322,1172,2320,1178,2315,1183,2314,1220,2314,1213,2305,1204,2301xm1220,2314l1197,2314,1204,2316,1207,2320,1209,2323,1210,2326,1211,2330,1225,2330,1225,2324,1223,2318,1220,2314xe" filled="true" fillcolor="#000000" stroked="false">
              <v:path arrowok="t"/>
              <v:fill type="solid"/>
            </v:shape>
            <v:shape style="position:absolute;left:1238;top:2300;width:84;height:98" coordorigin="1239,2301" coordsize="84,98" path="m1293,2301l1268,2301,1258,2305,1242,2323,1239,2336,1239,2366,1242,2377,1257,2394,1267,2399,1294,2399,1305,2394,1311,2385,1271,2385,1265,2382,1256,2369,1254,2361,1254,2341,1256,2332,1265,2318,1271,2314,1312,2314,1302,2304,1293,2301xm1312,2314l1291,2314,1298,2318,1305,2332,1307,2339,1307,2357,1305,2366,1297,2381,1290,2385,1311,2385,1319,2374,1322,2362,1322,2332,1318,2320,1312,2314xe" filled="true" fillcolor="#000000" stroked="false">
              <v:path arrowok="t"/>
              <v:fill type="solid"/>
            </v:shape>
            <v:shape style="position:absolute;left:1341;top:2301;width:45;height:95" coordorigin="1341,2301" coordsize="45,95" path="m1356,2303l1341,2303,1341,2395,1357,2395,1357,2336,1359,2330,1367,2320,1369,2319,1356,2319,1356,2303xm1375,2301l1369,2303,1360,2312,1357,2316,1356,2319,1369,2319,1373,2317,1386,2317,1386,2301,1381,2301,1375,2301xm1386,2317l1382,2317,1383,2317,1386,2318,1386,2317xe" filled="true" fillcolor="#000000" stroked="false">
              <v:path arrowok="t"/>
              <v:fill type="solid"/>
            </v:shape>
            <v:shape style="position:absolute;left:1397;top:2300;width:80;height:132" coordorigin="1397,2301" coordsize="80,132" path="m1412,2304l1397,2304,1397,2432,1413,2432,1413,2385,1466,2385,1466,2385,1426,2385,1419,2380,1413,2366,1412,2361,1412,2344,1413,2336,1419,2320,1425,2316,1412,2316,1412,2304xm1466,2385l1413,2385,1416,2389,1419,2392,1422,2394,1426,2397,1432,2399,1447,2399,1455,2396,1461,2390,1466,2385xm1467,2314l1447,2314,1454,2319,1458,2330,1460,2335,1461,2341,1461,2361,1459,2370,1450,2382,1444,2385,1466,2385,1468,2383,1473,2373,1476,2361,1477,2347,1477,2332,1473,2321,1467,2314xm1450,2301l1433,2301,1427,2303,1422,2306,1419,2308,1415,2311,1412,2316,1425,2316,1426,2314,1467,2314,1459,2305,1450,2301xe" filled="true" fillcolor="#000000" stroked="false">
              <v:path arrowok="t"/>
              <v:fill type="solid"/>
            </v:shape>
            <v:shape style="position:absolute;left:1485;top:2277;width:42;height:120" coordorigin="1485,2278" coordsize="42,120" path="m1513,2316l1497,2316,1497,2383,1499,2388,1504,2395,1508,2397,1518,2397,1520,2397,1523,2396,1525,2396,1527,2395,1527,2383,1519,2383,1517,2383,1514,2381,1513,2379,1513,2316xm1527,2383l1525,2383,1524,2383,1519,2383,1527,2383,1527,2383xm1527,2303l1485,2303,1485,2316,1527,2316,1527,2303xm1513,2278l1497,2278,1497,2303,1513,2303,1513,2278xe" filled="true" fillcolor="#000000" stroked="false">
              <v:path arrowok="t"/>
              <v:fill type="solid"/>
            </v:shape>
            <v:shape style="position:absolute;left:1542;top:2268;width:16;height:127" coordorigin="1543,2269" coordsize="16,127" path="m1558,2304l1543,2304,1543,2395,1558,2395,1558,2304xm1558,2269l1543,2269,1543,2287,1558,2287,1558,2269xe" filled="true" fillcolor="#000000" stroked="false">
              <v:path arrowok="t"/>
              <v:fill type="solid"/>
            </v:shape>
            <v:shape style="position:absolute;left:1574;top:2300;width:84;height:98" coordorigin="1575,2301" coordsize="84,98" path="m1629,2301l1604,2301,1594,2305,1579,2323,1575,2336,1575,2366,1578,2377,1593,2394,1603,2399,1630,2399,1641,2394,1647,2385,1608,2385,1601,2382,1593,2369,1590,2361,1590,2341,1593,2332,1601,2318,1608,2314,1648,2314,1638,2304,1629,2301xm1648,2314l1627,2314,1635,2318,1641,2332,1643,2339,1643,2357,1641,2366,1634,2381,1627,2385,1647,2385,1655,2374,1658,2362,1658,2332,1654,2320,1648,2314xe" filled="true" fillcolor="#000000" stroked="false">
              <v:path arrowok="t"/>
              <v:fill type="solid"/>
            </v:shape>
            <v:shape style="position:absolute;left:1677;top:2301;width:74;height:95" coordorigin="1677,2301" coordsize="74,95" path="m1692,2303l1677,2303,1677,2395,1692,2395,1692,2341,1693,2337,1694,2333,1694,2330,1696,2327,1702,2320,1705,2318,1709,2316,1692,2316,1692,2303xm1747,2315l1725,2315,1730,2318,1735,2327,1736,2332,1736,2395,1751,2395,1751,2327,1750,2320,1747,2315xm1734,2301l1715,2301,1710,2302,1701,2307,1696,2311,1692,2316,1709,2316,1712,2316,1715,2315,1747,2315,1743,2306,1734,2301xe" filled="true" fillcolor="#000000" stroked="false">
              <v:path arrowok="t"/>
              <v:fill type="solid"/>
            </v:shape>
            <v:shape style="position:absolute;left:1967;top:2583;width:46;height:123" coordorigin="1967,2584" coordsize="46,123" path="m2013,2584l2000,2584,1998,2593,1995,2599,1986,2604,1978,2606,1967,2607,1967,2619,1996,2619,1996,2706,2013,2706,2013,2584xe" filled="true" fillcolor="#000000" stroked="false">
              <v:path arrowok="t"/>
              <v:fill type="solid"/>
            </v:shape>
            <v:shape style="position:absolute;left:2314;top:2583;width:46;height:123" coordorigin="2314,2584" coordsize="46,123" path="m2360,2584l2348,2584,2345,2593,2342,2599,2333,2604,2325,2606,2314,2607,2314,2619,2343,2619,2343,2706,2360,2706,2360,2584xe" filled="true" fillcolor="#000000" stroked="false">
              <v:path arrowok="t"/>
              <v:fill type="solid"/>
            </v:shape>
            <v:shape style="position:absolute;left:2401;top:2576;width:130;height:134" type="#_x0000_t75" stroked="false">
              <v:imagedata r:id="rId150" o:title=""/>
            </v:shape>
            <v:shape style="position:absolute;left:2710;top:2583;width:46;height:123" coordorigin="2711,2584" coordsize="46,123" path="m2756,2584l2744,2584,2742,2593,2739,2599,2730,2604,2722,2606,2711,2607,2711,2619,2740,2619,2740,2706,2756,2706,2756,2584xe" filled="true" fillcolor="#000000" stroked="false">
              <v:path arrowok="t"/>
              <v:fill type="solid"/>
            </v:shape>
            <v:shape style="position:absolute;left:2797;top:2575;width:146;height:135" type="#_x0000_t75" stroked="false">
              <v:imagedata r:id="rId151" o:title=""/>
            </v:shape>
            <v:shape style="position:absolute;left:3103;top:2583;width:46;height:123" coordorigin="3104,2584" coordsize="46,123" path="m3149,2584l3137,2584,3135,2593,3132,2599,3123,2604,3115,2606,3104,2607,3104,2619,3133,2619,3133,2706,3149,2706,3149,2584xe" filled="true" fillcolor="#000000" stroked="false">
              <v:path arrowok="t"/>
              <v:fill type="solid"/>
            </v:shape>
            <v:shape style="position:absolute;left:3190;top:2575;width:146;height:135" type="#_x0000_t75" stroked="false">
              <v:imagedata r:id="rId152" o:title=""/>
            </v:shape>
            <v:shape style="position:absolute;left:3490;top:2583;width:46;height:123" coordorigin="3491,2584" coordsize="46,123" path="m3536,2584l3524,2584,3522,2593,3519,2599,3510,2604,3502,2606,3491,2607,3491,2619,3520,2619,3520,2706,3536,2706,3536,2584xe" filled="true" fillcolor="#000000" stroked="false">
              <v:path arrowok="t"/>
              <v:fill type="solid"/>
            </v:shape>
            <v:shape style="position:absolute;left:3577;top:2575;width:147;height:135" type="#_x0000_t75" stroked="false">
              <v:imagedata r:id="rId153" o:title=""/>
            </v:shape>
            <v:shape style="position:absolute;left:3890;top:2583;width:46;height:123" coordorigin="3890,2584" coordsize="46,123" path="m3936,2584l3924,2584,3921,2593,3918,2599,3909,2604,3901,2606,3890,2607,3890,2619,3919,2619,3919,2706,3936,2706,3936,2584xe" filled="true" fillcolor="#000000" stroked="false">
              <v:path arrowok="t"/>
              <v:fill type="solid"/>
            </v:shape>
            <v:shape style="position:absolute;left:3976;top:2577;width:146;height:133" type="#_x0000_t75" stroked="false">
              <v:imagedata r:id="rId154" o:title=""/>
            </v:shape>
            <v:shape style="position:absolute;left:4276;top:2583;width:46;height:123" coordorigin="4277,2584" coordsize="46,123" path="m4323,2584l4310,2584,4308,2593,4305,2599,4296,2604,4288,2606,4277,2607,4277,2619,4306,2619,4306,2706,4323,2706,4323,2584xe" filled="true" fillcolor="#000000" stroked="false">
              <v:path arrowok="t"/>
              <v:fill type="solid"/>
            </v:shape>
            <v:shape style="position:absolute;left:4363;top:2575;width:146;height:135" type="#_x0000_t75" stroked="false">
              <v:imagedata r:id="rId155" o:title=""/>
            </v:shape>
            <v:shape style="position:absolute;left:2886;top:2821;width:969;height:167" type="#_x0000_t75" stroked="false">
              <v:imagedata r:id="rId156" o:title=""/>
            </v:shape>
            <v:rect style="position:absolute;left:5;top:5;width:5038;height:3167" filled="false" stroked="true" strokeweight=".5pt" strokecolor="#000000">
              <v:stroke dashstyle="solid"/>
            </v:rect>
          </v:group>
        </w:pict>
      </w:r>
      <w:r>
        <w:rPr/>
      </w:r>
    </w:p>
    <w:p>
      <w:pPr>
        <w:spacing w:before="22"/>
        <w:ind w:left="564" w:right="0" w:firstLine="0"/>
        <w:jc w:val="left"/>
        <w:rPr>
          <w:sz w:val="10"/>
        </w:rPr>
      </w:pPr>
      <w:r>
        <w:rPr>
          <w:b/>
          <w:sz w:val="18"/>
        </w:rPr>
        <w:t>Figure 5.18 </w:t>
      </w:r>
      <w:r>
        <w:rPr>
          <w:sz w:val="18"/>
        </w:rPr>
        <w:t>Schematic showing the time evolution of various CO</w:t>
      </w:r>
      <w:r>
        <w:rPr>
          <w:position w:val="-5"/>
          <w:sz w:val="10"/>
        </w:rPr>
        <w:t>2</w:t>
      </w:r>
    </w:p>
    <w:p>
      <w:pPr>
        <w:pStyle w:val="BodyText"/>
        <w:spacing w:line="240" w:lineRule="exact" w:before="58"/>
        <w:ind w:left="232" w:right="133"/>
        <w:jc w:val="both"/>
      </w:pPr>
      <w:r>
        <w:rPr/>
        <w:br w:type="column"/>
      </w:r>
      <w:r>
        <w:rPr/>
        <w:t>the</w:t>
      </w:r>
      <w:r>
        <w:rPr>
          <w:spacing w:val="-10"/>
        </w:rPr>
        <w:t> </w:t>
      </w:r>
      <w:r>
        <w:rPr/>
        <w:t>amount</w:t>
      </w:r>
      <w:r>
        <w:rPr>
          <w:spacing w:val="-9"/>
        </w:rPr>
        <w:t> </w:t>
      </w:r>
      <w:r>
        <w:rPr/>
        <w:t>trapped</w:t>
      </w:r>
      <w:r>
        <w:rPr>
          <w:spacing w:val="-10"/>
        </w:rPr>
        <w:t> </w:t>
      </w:r>
      <w:r>
        <w:rPr/>
        <w:t>(estimated</w:t>
      </w:r>
      <w:r>
        <w:rPr>
          <w:spacing w:val="-10"/>
        </w:rPr>
        <w:t> </w:t>
      </w:r>
      <w:r>
        <w:rPr/>
        <w:t>to</w:t>
      </w:r>
      <w:r>
        <w:rPr>
          <w:spacing w:val="-9"/>
        </w:rPr>
        <w:t> </w:t>
      </w:r>
      <w:r>
        <w:rPr/>
        <w:t>be</w:t>
      </w:r>
      <w:r>
        <w:rPr>
          <w:spacing w:val="-9"/>
        </w:rPr>
        <w:t> </w:t>
      </w:r>
      <w:r>
        <w:rPr/>
        <w:t>3%)</w:t>
      </w:r>
      <w:r>
        <w:rPr>
          <w:spacing w:val="-10"/>
        </w:rPr>
        <w:t> </w:t>
      </w:r>
      <w:r>
        <w:rPr/>
        <w:t>and</w:t>
      </w:r>
      <w:r>
        <w:rPr>
          <w:spacing w:val="-9"/>
        </w:rPr>
        <w:t> </w:t>
      </w:r>
      <w:r>
        <w:rPr/>
        <w:t>storage</w:t>
      </w:r>
      <w:r>
        <w:rPr>
          <w:spacing w:val="-10"/>
        </w:rPr>
        <w:t> </w:t>
      </w:r>
      <w:r>
        <w:rPr/>
        <w:t>efficiency, estimated as 2–6% (2% for closed aquifer with permeability barriers; 6% for open aquifer with almost infinite extent), 4% if open/closed status is not known. The volume in traps is assumed to be proportional to the total pore volume, which may not necessarily be correct. Early estimates of the total </w:t>
      </w:r>
      <w:r>
        <w:rPr>
          <w:spacing w:val="-7"/>
        </w:rPr>
        <w:t>US </w:t>
      </w:r>
      <w:r>
        <w:rPr/>
        <w:t>storage capacity in deep saline formations suggested a total of up to 500 GtCO</w:t>
      </w:r>
      <w:r>
        <w:rPr>
          <w:position w:val="-6"/>
          <w:sz w:val="11"/>
        </w:rPr>
        <w:t>2 </w:t>
      </w:r>
      <w:r>
        <w:rPr/>
        <w:t>(Bergman and </w:t>
      </w:r>
      <w:r>
        <w:rPr>
          <w:spacing w:val="-3"/>
        </w:rPr>
        <w:t>Winter, </w:t>
      </w:r>
      <w:r>
        <w:rPr/>
        <w:t>1995). A more recent estimate</w:t>
      </w:r>
      <w:r>
        <w:rPr>
          <w:spacing w:val="-10"/>
        </w:rPr>
        <w:t> </w:t>
      </w:r>
      <w:r>
        <w:rPr/>
        <w:t>of</w:t>
      </w:r>
      <w:r>
        <w:rPr>
          <w:spacing w:val="-10"/>
        </w:rPr>
        <w:t> </w:t>
      </w:r>
      <w:r>
        <w:rPr/>
        <w:t>the</w:t>
      </w:r>
      <w:r>
        <w:rPr>
          <w:spacing w:val="-10"/>
        </w:rPr>
        <w:t> </w:t>
      </w:r>
      <w:r>
        <w:rPr/>
        <w:t>capacity</w:t>
      </w:r>
      <w:r>
        <w:rPr>
          <w:spacing w:val="-10"/>
        </w:rPr>
        <w:t> </w:t>
      </w:r>
      <w:r>
        <w:rPr/>
        <w:t>of</w:t>
      </w:r>
      <w:r>
        <w:rPr>
          <w:spacing w:val="-10"/>
        </w:rPr>
        <w:t> </w:t>
      </w:r>
      <w:r>
        <w:rPr/>
        <w:t>a</w:t>
      </w:r>
      <w:r>
        <w:rPr>
          <w:spacing w:val="-10"/>
        </w:rPr>
        <w:t> </w:t>
      </w:r>
      <w:r>
        <w:rPr/>
        <w:t>single</w:t>
      </w:r>
      <w:r>
        <w:rPr>
          <w:spacing w:val="-10"/>
        </w:rPr>
        <w:t> </w:t>
      </w:r>
      <w:r>
        <w:rPr/>
        <w:t>deep</w:t>
      </w:r>
      <w:r>
        <w:rPr>
          <w:spacing w:val="-10"/>
        </w:rPr>
        <w:t> </w:t>
      </w:r>
      <w:r>
        <w:rPr/>
        <w:t>formation</w:t>
      </w:r>
      <w:r>
        <w:rPr>
          <w:spacing w:val="-10"/>
        </w:rPr>
        <w:t> </w:t>
      </w:r>
      <w:r>
        <w:rPr/>
        <w:t>in</w:t>
      </w:r>
      <w:r>
        <w:rPr>
          <w:spacing w:val="-10"/>
        </w:rPr>
        <w:t> </w:t>
      </w:r>
      <w:r>
        <w:rPr/>
        <w:t>the</w:t>
      </w:r>
      <w:r>
        <w:rPr>
          <w:spacing w:val="-10"/>
        </w:rPr>
        <w:t> </w:t>
      </w:r>
      <w:r>
        <w:rPr/>
        <w:t>United States, the Mount Simon Sandstone, is 160–800 GtCO</w:t>
      </w:r>
      <w:r>
        <w:rPr>
          <w:position w:val="-6"/>
          <w:sz w:val="11"/>
        </w:rPr>
        <w:t>2 </w:t>
      </w:r>
      <w:r>
        <w:rPr/>
        <w:t>(Gupta </w:t>
      </w:r>
      <w:r>
        <w:rPr>
          <w:i/>
        </w:rPr>
        <w:t>et al.</w:t>
      </w:r>
      <w:r>
        <w:rPr/>
        <w:t>, 1999), suggesting that the total US storage capacity  may be higher than earlier estimates. Assuming that CO</w:t>
      </w:r>
      <w:r>
        <w:rPr>
          <w:position w:val="-6"/>
          <w:sz w:val="11"/>
        </w:rPr>
        <w:t>2 </w:t>
      </w:r>
      <w:r>
        <w:rPr/>
        <w:t>will dissolve</w:t>
      </w:r>
      <w:r>
        <w:rPr>
          <w:spacing w:val="-4"/>
        </w:rPr>
        <w:t> </w:t>
      </w:r>
      <w:r>
        <w:rPr/>
        <w:t>to</w:t>
      </w:r>
      <w:r>
        <w:rPr>
          <w:spacing w:val="-4"/>
        </w:rPr>
        <w:t> </w:t>
      </w:r>
      <w:r>
        <w:rPr/>
        <w:t>saturation</w:t>
      </w:r>
      <w:r>
        <w:rPr>
          <w:spacing w:val="-3"/>
        </w:rPr>
        <w:t> </w:t>
      </w:r>
      <w:r>
        <w:rPr/>
        <w:t>in</w:t>
      </w:r>
      <w:r>
        <w:rPr>
          <w:spacing w:val="-4"/>
        </w:rPr>
        <w:t> </w:t>
      </w:r>
      <w:r>
        <w:rPr/>
        <w:t>all</w:t>
      </w:r>
      <w:r>
        <w:rPr>
          <w:spacing w:val="-3"/>
        </w:rPr>
        <w:t> </w:t>
      </w:r>
      <w:r>
        <w:rPr/>
        <w:t>deep</w:t>
      </w:r>
      <w:r>
        <w:rPr>
          <w:spacing w:val="-4"/>
        </w:rPr>
        <w:t> </w:t>
      </w:r>
      <w:r>
        <w:rPr/>
        <w:t>formations,</w:t>
      </w:r>
      <w:r>
        <w:rPr>
          <w:spacing w:val="-3"/>
        </w:rPr>
        <w:t> </w:t>
      </w:r>
      <w:r>
        <w:rPr/>
        <w:t>Bachu</w:t>
      </w:r>
      <w:r>
        <w:rPr>
          <w:spacing w:val="-4"/>
        </w:rPr>
        <w:t> </w:t>
      </w:r>
      <w:r>
        <w:rPr/>
        <w:t>and</w:t>
      </w:r>
      <w:r>
        <w:rPr>
          <w:spacing w:val="-14"/>
        </w:rPr>
        <w:t> </w:t>
      </w:r>
      <w:r>
        <w:rPr/>
        <w:t>Adams (2003) estimated the storage capacity of the Alberta basin in </w:t>
      </w:r>
      <w:r>
        <w:rPr>
          <w:spacing w:val="-3"/>
        </w:rPr>
        <w:t>Western</w:t>
      </w:r>
      <w:r>
        <w:rPr>
          <w:spacing w:val="15"/>
        </w:rPr>
        <w:t> </w:t>
      </w:r>
      <w:r>
        <w:rPr/>
        <w:t>Canada</w:t>
      </w:r>
      <w:r>
        <w:rPr>
          <w:spacing w:val="16"/>
        </w:rPr>
        <w:t> </w:t>
      </w:r>
      <w:r>
        <w:rPr/>
        <w:t>to</w:t>
      </w:r>
      <w:r>
        <w:rPr>
          <w:spacing w:val="16"/>
        </w:rPr>
        <w:t> </w:t>
      </w:r>
      <w:r>
        <w:rPr/>
        <w:t>be</w:t>
      </w:r>
      <w:r>
        <w:rPr>
          <w:spacing w:val="16"/>
        </w:rPr>
        <w:t> </w:t>
      </w:r>
      <w:r>
        <w:rPr/>
        <w:t>approximately</w:t>
      </w:r>
      <w:r>
        <w:rPr>
          <w:spacing w:val="16"/>
        </w:rPr>
        <w:t> </w:t>
      </w:r>
      <w:r>
        <w:rPr/>
        <w:t>4000</w:t>
      </w:r>
      <w:r>
        <w:rPr>
          <w:spacing w:val="15"/>
        </w:rPr>
        <w:t> </w:t>
      </w:r>
      <w:r>
        <w:rPr/>
        <w:t>GtCO</w:t>
      </w:r>
      <w:r>
        <w:rPr>
          <w:spacing w:val="7"/>
        </w:rPr>
        <w:t> </w:t>
      </w:r>
      <w:r>
        <w:rPr/>
        <w:t>,</w:t>
      </w:r>
      <w:r>
        <w:rPr>
          <w:spacing w:val="16"/>
        </w:rPr>
        <w:t> </w:t>
      </w:r>
      <w:r>
        <w:rPr/>
        <w:t>which</w:t>
      </w:r>
      <w:r>
        <w:rPr>
          <w:spacing w:val="16"/>
        </w:rPr>
        <w:t> </w:t>
      </w:r>
      <w:r>
        <w:rPr/>
        <w:t>is</w:t>
      </w:r>
      <w:r>
        <w:rPr>
          <w:spacing w:val="16"/>
        </w:rPr>
        <w:t> </w:t>
      </w:r>
      <w:r>
        <w:rPr/>
        <w:t>a</w:t>
      </w:r>
    </w:p>
    <w:p>
      <w:pPr>
        <w:spacing w:after="0" w:line="240" w:lineRule="exact"/>
        <w:jc w:val="both"/>
        <w:sectPr>
          <w:type w:val="continuous"/>
          <w:pgSz w:w="12240" w:h="15840"/>
          <w:pgMar w:top="400" w:bottom="280" w:left="580" w:right="600"/>
          <w:cols w:num="2" w:equalWidth="0">
            <w:col w:w="5608" w:space="40"/>
            <w:col w:w="5412"/>
          </w:cols>
        </w:sectPr>
      </w:pPr>
    </w:p>
    <w:p>
      <w:pPr>
        <w:spacing w:line="70" w:lineRule="exact" w:before="0"/>
        <w:ind w:left="564" w:right="0" w:firstLine="0"/>
        <w:jc w:val="both"/>
        <w:rPr>
          <w:sz w:val="18"/>
        </w:rPr>
      </w:pPr>
      <w:r>
        <w:rPr>
          <w:sz w:val="18"/>
        </w:rPr>
        <w:t>storage mechanisms operating in deep saline formations, during</w:t>
      </w:r>
    </w:p>
    <w:p>
      <w:pPr>
        <w:spacing w:line="254" w:lineRule="auto" w:before="13"/>
        <w:ind w:left="564" w:right="0" w:firstLine="0"/>
        <w:jc w:val="both"/>
        <w:rPr>
          <w:sz w:val="18"/>
        </w:rPr>
      </w:pPr>
      <w:r>
        <w:rPr>
          <w:sz w:val="18"/>
        </w:rPr>
        <w:t>and after injection. Assessing storage capacity is complicated by the different time and spatial scales over which these processes occur.</w:t>
      </w:r>
    </w:p>
    <w:p>
      <w:pPr>
        <w:pStyle w:val="BodyText"/>
        <w:spacing w:before="2"/>
        <w:rPr>
          <w:sz w:val="17"/>
        </w:rPr>
      </w:pPr>
    </w:p>
    <w:p>
      <w:pPr>
        <w:pStyle w:val="BodyText"/>
        <w:spacing w:line="240" w:lineRule="exact"/>
        <w:ind w:left="553" w:right="7"/>
        <w:jc w:val="both"/>
      </w:pPr>
      <w:r>
        <w:rPr/>
        <w:t>of the various trapping mechanisms during the evolution </w:t>
      </w:r>
      <w:r>
        <w:rPr>
          <w:spacing w:val="-6"/>
        </w:rPr>
        <w:t>of      </w:t>
      </w:r>
      <w:r>
        <w:rPr/>
        <w:t>a CO</w:t>
      </w:r>
      <w:r>
        <w:rPr>
          <w:position w:val="-6"/>
          <w:sz w:val="11"/>
        </w:rPr>
        <w:t>2 </w:t>
      </w:r>
      <w:r>
        <w:rPr/>
        <w:t>plume (Section 5.2 and Figure 5.18). In addition, the storage capacity of deep saline formations can be determined only on a case-by-case basis.</w:t>
      </w:r>
    </w:p>
    <w:p>
      <w:pPr>
        <w:pStyle w:val="BodyText"/>
        <w:spacing w:line="240" w:lineRule="exact"/>
        <w:ind w:left="553" w:right="7" w:firstLine="283"/>
        <w:jc w:val="both"/>
      </w:pPr>
      <w:r>
        <w:rPr>
          <w:spacing w:val="-7"/>
        </w:rPr>
        <w:t>To </w:t>
      </w:r>
      <w:r>
        <w:rPr/>
        <w:t>date, most of  the  estimates  of  CO</w:t>
      </w:r>
      <w:r>
        <w:rPr>
          <w:position w:val="-6"/>
          <w:sz w:val="11"/>
        </w:rPr>
        <w:t>2  </w:t>
      </w:r>
      <w:r>
        <w:rPr/>
        <w:t>storage  capacity in deep saline formations focus on physical trapping and/or dissolution. These estimates make the simplifying assumption that no geochemical reactions take place concurrent with CO</w:t>
      </w:r>
      <w:r>
        <w:rPr>
          <w:position w:val="-6"/>
          <w:sz w:val="11"/>
        </w:rPr>
        <w:t>2 </w:t>
      </w:r>
      <w:r>
        <w:rPr/>
        <w:t>injection,</w:t>
      </w:r>
      <w:r>
        <w:rPr>
          <w:spacing w:val="-6"/>
        </w:rPr>
        <w:t> </w:t>
      </w:r>
      <w:r>
        <w:rPr/>
        <w:t>flow</w:t>
      </w:r>
      <w:r>
        <w:rPr>
          <w:spacing w:val="-5"/>
        </w:rPr>
        <w:t> </w:t>
      </w:r>
      <w:r>
        <w:rPr/>
        <w:t>and</w:t>
      </w:r>
      <w:r>
        <w:rPr>
          <w:spacing w:val="-5"/>
        </w:rPr>
        <w:t> </w:t>
      </w:r>
      <w:r>
        <w:rPr/>
        <w:t>dissolution.</w:t>
      </w:r>
      <w:r>
        <w:rPr>
          <w:spacing w:val="-5"/>
        </w:rPr>
        <w:t> </w:t>
      </w:r>
      <w:r>
        <w:rPr/>
        <w:t>Some</w:t>
      </w:r>
      <w:r>
        <w:rPr>
          <w:spacing w:val="-5"/>
        </w:rPr>
        <w:t> </w:t>
      </w:r>
      <w:r>
        <w:rPr/>
        <w:t>recent</w:t>
      </w:r>
      <w:r>
        <w:rPr>
          <w:spacing w:val="-5"/>
        </w:rPr>
        <w:t> </w:t>
      </w:r>
      <w:r>
        <w:rPr/>
        <w:t>work</w:t>
      </w:r>
      <w:r>
        <w:rPr>
          <w:spacing w:val="-6"/>
        </w:rPr>
        <w:t> </w:t>
      </w:r>
      <w:r>
        <w:rPr/>
        <w:t>suggests</w:t>
      </w:r>
      <w:r>
        <w:rPr>
          <w:spacing w:val="-5"/>
        </w:rPr>
        <w:t> </w:t>
      </w:r>
      <w:r>
        <w:rPr/>
        <w:t>that it can take several thousand years for geochemical reactions to have a significant impact (Xu </w:t>
      </w:r>
      <w:r>
        <w:rPr>
          <w:i/>
        </w:rPr>
        <w:t>et al.</w:t>
      </w:r>
      <w:r>
        <w:rPr/>
        <w:t>, 2003). The CO</w:t>
      </w:r>
      <w:r>
        <w:rPr>
          <w:position w:val="-6"/>
          <w:sz w:val="11"/>
        </w:rPr>
        <w:t>2 </w:t>
      </w:r>
      <w:r>
        <w:rPr/>
        <w:t>storage capacity from mineral trapping can be comparable to the capacity in solution per unit volume of sedimentary rock when formation porosity is taken into account (Bachu and Adams, 2003; Perkins </w:t>
      </w:r>
      <w:r>
        <w:rPr>
          <w:i/>
        </w:rPr>
        <w:t>et al.</w:t>
      </w:r>
      <w:r>
        <w:rPr/>
        <w:t>, 2005), although the rates and time frames of these two processes are</w:t>
      </w:r>
      <w:r>
        <w:rPr>
          <w:spacing w:val="-1"/>
        </w:rPr>
        <w:t> </w:t>
      </w:r>
      <w:r>
        <w:rPr/>
        <w:t>different.</w:t>
      </w:r>
    </w:p>
    <w:p>
      <w:pPr>
        <w:pStyle w:val="BodyText"/>
        <w:spacing w:line="240" w:lineRule="exact"/>
        <w:ind w:left="553" w:right="8" w:firstLine="283"/>
        <w:jc w:val="both"/>
      </w:pPr>
      <w:r>
        <w:rPr/>
        <w:t>More than 14 global assessments of capacity have been made by using these types of approaches (IEA-GHG, </w:t>
      </w:r>
      <w:r>
        <w:rPr>
          <w:spacing w:val="-3"/>
        </w:rPr>
        <w:t>2004). </w:t>
      </w:r>
      <w:r>
        <w:rPr/>
        <w:t>The range of estimates from these studies is large (200–56,000 GtCO</w:t>
      </w:r>
      <w:r>
        <w:rPr>
          <w:position w:val="-6"/>
          <w:sz w:val="11"/>
        </w:rPr>
        <w:t>2</w:t>
      </w:r>
      <w:r>
        <w:rPr/>
        <w:t>), reflecting both the different assumptions used to</w:t>
      </w:r>
      <w:r>
        <w:rPr>
          <w:spacing w:val="-15"/>
        </w:rPr>
        <w:t> </w:t>
      </w:r>
      <w:r>
        <w:rPr/>
        <w:t>make these estimates and the uncertainty in the parameters. Most </w:t>
      </w:r>
      <w:r>
        <w:rPr>
          <w:spacing w:val="-6"/>
        </w:rPr>
        <w:t>of </w:t>
      </w:r>
      <w:r>
        <w:rPr/>
        <w:t>the estimates are in the range of several hundred Gtonnes of CO</w:t>
      </w:r>
      <w:r>
        <w:rPr>
          <w:position w:val="-6"/>
          <w:sz w:val="11"/>
        </w:rPr>
        <w:t>2</w:t>
      </w:r>
      <w:r>
        <w:rPr/>
        <w:t>. </w:t>
      </w:r>
      <w:r>
        <w:rPr>
          <w:spacing w:val="-3"/>
        </w:rPr>
        <w:t>Volumetric </w:t>
      </w:r>
      <w:r>
        <w:rPr/>
        <w:t>capacity estimates that are based on local, reservoir-scale numerical simulations of CO</w:t>
      </w:r>
      <w:r>
        <w:rPr>
          <w:position w:val="-6"/>
          <w:sz w:val="11"/>
        </w:rPr>
        <w:t>2 </w:t>
      </w:r>
      <w:r>
        <w:rPr/>
        <w:t>injection suggest occupancy</w:t>
      </w:r>
      <w:r>
        <w:rPr>
          <w:spacing w:val="-18"/>
        </w:rPr>
        <w:t> </w:t>
      </w:r>
      <w:r>
        <w:rPr/>
        <w:t>of</w:t>
      </w:r>
      <w:r>
        <w:rPr>
          <w:spacing w:val="-17"/>
        </w:rPr>
        <w:t> </w:t>
      </w:r>
      <w:r>
        <w:rPr/>
        <w:t>the</w:t>
      </w:r>
      <w:r>
        <w:rPr>
          <w:spacing w:val="-17"/>
        </w:rPr>
        <w:t> </w:t>
      </w:r>
      <w:r>
        <w:rPr/>
        <w:t>pore</w:t>
      </w:r>
      <w:r>
        <w:rPr>
          <w:spacing w:val="-17"/>
        </w:rPr>
        <w:t> </w:t>
      </w:r>
      <w:r>
        <w:rPr/>
        <w:t>space</w:t>
      </w:r>
      <w:r>
        <w:rPr>
          <w:spacing w:val="-17"/>
        </w:rPr>
        <w:t> </w:t>
      </w:r>
      <w:r>
        <w:rPr/>
        <w:t>by</w:t>
      </w:r>
      <w:r>
        <w:rPr>
          <w:spacing w:val="-17"/>
        </w:rPr>
        <w:t> </w:t>
      </w:r>
      <w:r>
        <w:rPr/>
        <w:t>CO</w:t>
      </w:r>
      <w:r>
        <w:rPr>
          <w:position w:val="-6"/>
          <w:sz w:val="11"/>
        </w:rPr>
        <w:t>2</w:t>
      </w:r>
      <w:r>
        <w:rPr>
          <w:spacing w:val="5"/>
          <w:position w:val="-6"/>
          <w:sz w:val="11"/>
        </w:rPr>
        <w:t> </w:t>
      </w:r>
      <w:r>
        <w:rPr/>
        <w:t>on</w:t>
      </w:r>
      <w:r>
        <w:rPr>
          <w:spacing w:val="-17"/>
        </w:rPr>
        <w:t> </w:t>
      </w:r>
      <w:r>
        <w:rPr/>
        <w:t>the</w:t>
      </w:r>
      <w:r>
        <w:rPr>
          <w:spacing w:val="-17"/>
        </w:rPr>
        <w:t> </w:t>
      </w:r>
      <w:r>
        <w:rPr/>
        <w:t>order</w:t>
      </w:r>
      <w:r>
        <w:rPr>
          <w:spacing w:val="-17"/>
        </w:rPr>
        <w:t> </w:t>
      </w:r>
      <w:r>
        <w:rPr/>
        <w:t>of</w:t>
      </w:r>
      <w:r>
        <w:rPr>
          <w:spacing w:val="-17"/>
        </w:rPr>
        <w:t> </w:t>
      </w:r>
      <w:r>
        <w:rPr/>
        <w:t>a</w:t>
      </w:r>
      <w:r>
        <w:rPr>
          <w:spacing w:val="-17"/>
        </w:rPr>
        <w:t> </w:t>
      </w:r>
      <w:r>
        <w:rPr/>
        <w:t>few</w:t>
      </w:r>
      <w:r>
        <w:rPr>
          <w:spacing w:val="-17"/>
        </w:rPr>
        <w:t> </w:t>
      </w:r>
      <w:r>
        <w:rPr/>
        <w:t>percent as a result of gravity segregation and viscous fingering (van der </w:t>
      </w:r>
      <w:r>
        <w:rPr>
          <w:spacing w:val="-3"/>
        </w:rPr>
        <w:t>Meer, </w:t>
      </w:r>
      <w:r>
        <w:rPr/>
        <w:t>1992, 1995; Krom </w:t>
      </w:r>
      <w:r>
        <w:rPr>
          <w:i/>
        </w:rPr>
        <w:t>et al.</w:t>
      </w:r>
      <w:r>
        <w:rPr/>
        <w:t>, 1993; Ispen and Jacobsen, 1996). Koide </w:t>
      </w:r>
      <w:r>
        <w:rPr>
          <w:i/>
        </w:rPr>
        <w:t>et al. </w:t>
      </w:r>
      <w:r>
        <w:rPr/>
        <w:t>(1992) used the areal method of projecting natural</w:t>
      </w:r>
      <w:r>
        <w:rPr>
          <w:spacing w:val="-7"/>
        </w:rPr>
        <w:t> </w:t>
      </w:r>
      <w:r>
        <w:rPr/>
        <w:t>resources</w:t>
      </w:r>
      <w:r>
        <w:rPr>
          <w:spacing w:val="-7"/>
        </w:rPr>
        <w:t> </w:t>
      </w:r>
      <w:r>
        <w:rPr/>
        <w:t>reserves</w:t>
      </w:r>
      <w:r>
        <w:rPr>
          <w:spacing w:val="-7"/>
        </w:rPr>
        <w:t> </w:t>
      </w:r>
      <w:r>
        <w:rPr/>
        <w:t>and</w:t>
      </w:r>
      <w:r>
        <w:rPr>
          <w:spacing w:val="-7"/>
        </w:rPr>
        <w:t> </w:t>
      </w:r>
      <w:r>
        <w:rPr/>
        <w:t>assumed</w:t>
      </w:r>
      <w:r>
        <w:rPr>
          <w:spacing w:val="-7"/>
        </w:rPr>
        <w:t> </w:t>
      </w:r>
      <w:r>
        <w:rPr/>
        <w:t>that</w:t>
      </w:r>
      <w:r>
        <w:rPr>
          <w:spacing w:val="-7"/>
        </w:rPr>
        <w:t> </w:t>
      </w:r>
      <w:r>
        <w:rPr/>
        <w:t>1%</w:t>
      </w:r>
      <w:r>
        <w:rPr>
          <w:spacing w:val="-7"/>
        </w:rPr>
        <w:t> </w:t>
      </w:r>
      <w:r>
        <w:rPr/>
        <w:t>of</w:t>
      </w:r>
      <w:r>
        <w:rPr>
          <w:spacing w:val="-7"/>
        </w:rPr>
        <w:t> </w:t>
      </w:r>
      <w:r>
        <w:rPr/>
        <w:t>the</w:t>
      </w:r>
      <w:r>
        <w:rPr>
          <w:spacing w:val="-7"/>
        </w:rPr>
        <w:t> </w:t>
      </w:r>
      <w:r>
        <w:rPr/>
        <w:t>total</w:t>
      </w:r>
      <w:r>
        <w:rPr>
          <w:spacing w:val="-7"/>
        </w:rPr>
        <w:t> </w:t>
      </w:r>
      <w:r>
        <w:rPr>
          <w:spacing w:val="-3"/>
        </w:rPr>
        <w:t>area </w:t>
      </w:r>
      <w:r>
        <w:rPr/>
        <w:t>of the </w:t>
      </w:r>
      <w:r>
        <w:rPr>
          <w:spacing w:val="-3"/>
        </w:rPr>
        <w:t>world’s </w:t>
      </w:r>
      <w:r>
        <w:rPr/>
        <w:t>sedimentary basins can be used for CO</w:t>
      </w:r>
      <w:r>
        <w:rPr>
          <w:position w:val="-6"/>
          <w:sz w:val="11"/>
        </w:rPr>
        <w:t>2 </w:t>
      </w:r>
      <w:r>
        <w:rPr/>
        <w:t>storage. Other studies considered that 2–6% of formation area can be used for CO</w:t>
      </w:r>
      <w:r>
        <w:rPr>
          <w:position w:val="-6"/>
          <w:sz w:val="11"/>
        </w:rPr>
        <w:t>2 </w:t>
      </w:r>
      <w:r>
        <w:rPr/>
        <w:t>storage. However, Bradshaw and Dance (2005) have</w:t>
      </w:r>
      <w:r>
        <w:rPr>
          <w:spacing w:val="-11"/>
        </w:rPr>
        <w:t> </w:t>
      </w:r>
      <w:r>
        <w:rPr/>
        <w:t>shown</w:t>
      </w:r>
      <w:r>
        <w:rPr>
          <w:spacing w:val="-10"/>
        </w:rPr>
        <w:t> </w:t>
      </w:r>
      <w:r>
        <w:rPr/>
        <w:t>there</w:t>
      </w:r>
      <w:r>
        <w:rPr>
          <w:spacing w:val="-10"/>
        </w:rPr>
        <w:t> </w:t>
      </w:r>
      <w:r>
        <w:rPr/>
        <w:t>is</w:t>
      </w:r>
      <w:r>
        <w:rPr>
          <w:spacing w:val="-11"/>
        </w:rPr>
        <w:t> </w:t>
      </w:r>
      <w:r>
        <w:rPr/>
        <w:t>no</w:t>
      </w:r>
      <w:r>
        <w:rPr>
          <w:spacing w:val="-10"/>
        </w:rPr>
        <w:t> </w:t>
      </w:r>
      <w:r>
        <w:rPr/>
        <w:t>correlation</w:t>
      </w:r>
      <w:r>
        <w:rPr>
          <w:spacing w:val="-11"/>
        </w:rPr>
        <w:t> </w:t>
      </w:r>
      <w:r>
        <w:rPr/>
        <w:t>between</w:t>
      </w:r>
      <w:r>
        <w:rPr>
          <w:spacing w:val="-11"/>
        </w:rPr>
        <w:t> </w:t>
      </w:r>
      <w:r>
        <w:rPr/>
        <w:t>geographic</w:t>
      </w:r>
      <w:r>
        <w:rPr>
          <w:spacing w:val="-10"/>
        </w:rPr>
        <w:t> </w:t>
      </w:r>
      <w:r>
        <w:rPr/>
        <w:t>area</w:t>
      </w:r>
      <w:r>
        <w:rPr>
          <w:spacing w:val="-10"/>
        </w:rPr>
        <w:t> </w:t>
      </w:r>
      <w:r>
        <w:rPr/>
        <w:t>of</w:t>
      </w:r>
      <w:r>
        <w:rPr>
          <w:spacing w:val="-10"/>
        </w:rPr>
        <w:t> </w:t>
      </w:r>
      <w:r>
        <w:rPr>
          <w:spacing w:val="-11"/>
        </w:rPr>
        <w:t>a </w:t>
      </w:r>
      <w:r>
        <w:rPr/>
        <w:t>sedimentary basin and its capacity for either hydrocarbons (oil and gas reserves) or CO</w:t>
      </w:r>
      <w:r>
        <w:rPr>
          <w:position w:val="-6"/>
          <w:sz w:val="11"/>
        </w:rPr>
        <w:t>2</w:t>
      </w:r>
      <w:r>
        <w:rPr>
          <w:spacing w:val="21"/>
          <w:position w:val="-6"/>
          <w:sz w:val="11"/>
        </w:rPr>
        <w:t> </w:t>
      </w:r>
      <w:r>
        <w:rPr/>
        <w:t>storage.</w:t>
      </w:r>
    </w:p>
    <w:p>
      <w:pPr>
        <w:pStyle w:val="BodyText"/>
        <w:spacing w:line="225" w:lineRule="auto" w:before="17"/>
        <w:ind w:left="553" w:right="8" w:firstLine="283"/>
        <w:jc w:val="both"/>
      </w:pPr>
      <w:r>
        <w:rPr/>
        <w:t>The storage capacity of Europe has been estimated as 30– 577 GtCO</w:t>
      </w:r>
      <w:r>
        <w:rPr>
          <w:position w:val="-6"/>
          <w:sz w:val="11"/>
        </w:rPr>
        <w:t>2 </w:t>
      </w:r>
      <w:r>
        <w:rPr/>
        <w:t>(Holloway, 1996; Bøe </w:t>
      </w:r>
      <w:r>
        <w:rPr>
          <w:i/>
        </w:rPr>
        <w:t>et al.</w:t>
      </w:r>
      <w:r>
        <w:rPr/>
        <w:t>, 2002; Wildenborg </w:t>
      </w:r>
      <w:r>
        <w:rPr>
          <w:i/>
        </w:rPr>
        <w:t>et </w:t>
      </w:r>
      <w:r>
        <w:rPr>
          <w:i/>
        </w:rPr>
        <w:t>al.</w:t>
      </w:r>
      <w:r>
        <w:rPr/>
        <w:t>, 2005b). The main uncertainties for Europe are estimates of</w:t>
      </w:r>
    </w:p>
    <w:p>
      <w:pPr>
        <w:spacing w:line="24" w:lineRule="exact" w:before="0"/>
        <w:ind w:left="0" w:right="1094" w:firstLine="0"/>
        <w:jc w:val="right"/>
        <w:rPr>
          <w:sz w:val="11"/>
        </w:rPr>
      </w:pPr>
      <w:r>
        <w:rPr/>
        <w:br w:type="column"/>
      </w:r>
      <w:r>
        <w:rPr>
          <w:w w:val="105"/>
          <w:sz w:val="11"/>
        </w:rPr>
        <w:t>2</w:t>
      </w:r>
    </w:p>
    <w:p>
      <w:pPr>
        <w:pStyle w:val="BodyText"/>
        <w:spacing w:line="211" w:lineRule="exact"/>
        <w:ind w:left="232"/>
        <w:jc w:val="both"/>
      </w:pPr>
      <w:r>
        <w:rPr/>
        <w:t>theoretical maximum assuming that all the pore water in the</w:t>
      </w:r>
    </w:p>
    <w:p>
      <w:pPr>
        <w:pStyle w:val="BodyText"/>
        <w:spacing w:line="240" w:lineRule="exact" w:before="4"/>
        <w:ind w:left="232" w:right="134"/>
        <w:jc w:val="both"/>
      </w:pPr>
      <w:r>
        <w:rPr/>
        <w:t>Alberta Basin could become saturated with CO</w:t>
      </w:r>
      <w:r>
        <w:rPr>
          <w:position w:val="-6"/>
          <w:sz w:val="11"/>
        </w:rPr>
        <w:t>2</w:t>
      </w:r>
      <w:r>
        <w:rPr/>
        <w:t>, which is not likely. An Australian storage capacity estimate of 740 GtCO</w:t>
      </w:r>
      <w:r>
        <w:rPr>
          <w:position w:val="-6"/>
          <w:sz w:val="11"/>
        </w:rPr>
        <w:t>2 </w:t>
      </w:r>
      <w:r>
        <w:rPr/>
        <w:t>was determined by a cumulative risked-capacity approach for 65 potentially viable sites from 48 basins (Bradshaw </w:t>
      </w:r>
      <w:r>
        <w:rPr>
          <w:i/>
        </w:rPr>
        <w:t>et al.</w:t>
      </w:r>
      <w:r>
        <w:rPr/>
        <w:t>, 2003).</w:t>
      </w:r>
      <w:r>
        <w:rPr>
          <w:spacing w:val="-9"/>
        </w:rPr>
        <w:t> </w:t>
      </w:r>
      <w:r>
        <w:rPr/>
        <w:t>The</w:t>
      </w:r>
      <w:r>
        <w:rPr>
          <w:spacing w:val="-5"/>
        </w:rPr>
        <w:t> </w:t>
      </w:r>
      <w:r>
        <w:rPr/>
        <w:t>total</w:t>
      </w:r>
      <w:r>
        <w:rPr>
          <w:spacing w:val="-6"/>
        </w:rPr>
        <w:t> </w:t>
      </w:r>
      <w:r>
        <w:rPr/>
        <w:t>capacity</w:t>
      </w:r>
      <w:r>
        <w:rPr>
          <w:spacing w:val="-5"/>
        </w:rPr>
        <w:t> </w:t>
      </w:r>
      <w:r>
        <w:rPr/>
        <w:t>in</w:t>
      </w:r>
      <w:r>
        <w:rPr>
          <w:spacing w:val="-5"/>
        </w:rPr>
        <w:t> </w:t>
      </w:r>
      <w:r>
        <w:rPr/>
        <w:t>Japan</w:t>
      </w:r>
      <w:r>
        <w:rPr>
          <w:spacing w:val="-6"/>
        </w:rPr>
        <w:t> </w:t>
      </w:r>
      <w:r>
        <w:rPr/>
        <w:t>has</w:t>
      </w:r>
      <w:r>
        <w:rPr>
          <w:spacing w:val="-4"/>
        </w:rPr>
        <w:t> </w:t>
      </w:r>
      <w:r>
        <w:rPr/>
        <w:t>been</w:t>
      </w:r>
      <w:r>
        <w:rPr>
          <w:spacing w:val="-6"/>
        </w:rPr>
        <w:t> </w:t>
      </w:r>
      <w:r>
        <w:rPr/>
        <w:t>estimated</w:t>
      </w:r>
      <w:r>
        <w:rPr>
          <w:spacing w:val="-5"/>
        </w:rPr>
        <w:t> </w:t>
      </w:r>
      <w:r>
        <w:rPr/>
        <w:t>as</w:t>
      </w:r>
      <w:r>
        <w:rPr>
          <w:spacing w:val="-4"/>
        </w:rPr>
        <w:t> </w:t>
      </w:r>
      <w:r>
        <w:rPr/>
        <w:t>1.5–80 GtCO</w:t>
      </w:r>
      <w:r>
        <w:rPr>
          <w:position w:val="-6"/>
          <w:sz w:val="11"/>
        </w:rPr>
        <w:t>2</w:t>
      </w:r>
      <w:r>
        <w:rPr/>
        <w:t>, mostly in offshore formations (Tanaka </w:t>
      </w:r>
      <w:r>
        <w:rPr>
          <w:i/>
        </w:rPr>
        <w:t>et al.</w:t>
      </w:r>
      <w:r>
        <w:rPr/>
        <w:t>,</w:t>
      </w:r>
      <w:r>
        <w:rPr>
          <w:spacing w:val="-13"/>
        </w:rPr>
        <w:t> </w:t>
      </w:r>
      <w:r>
        <w:rPr/>
        <w:t>1995).</w:t>
      </w:r>
    </w:p>
    <w:p>
      <w:pPr>
        <w:pStyle w:val="BodyText"/>
        <w:spacing w:line="240" w:lineRule="exact"/>
        <w:ind w:left="232" w:right="133" w:firstLine="283"/>
        <w:jc w:val="both"/>
      </w:pPr>
      <w:r>
        <w:rPr/>
        <w:t>Within these wide ranges, the lower figure is generally the estimated storage capacity of volumetric traps within the deep saline</w:t>
      </w:r>
      <w:r>
        <w:rPr>
          <w:spacing w:val="-19"/>
        </w:rPr>
        <w:t> </w:t>
      </w:r>
      <w:r>
        <w:rPr/>
        <w:t>formations,</w:t>
      </w:r>
      <w:r>
        <w:rPr>
          <w:spacing w:val="-18"/>
        </w:rPr>
        <w:t> </w:t>
      </w:r>
      <w:r>
        <w:rPr/>
        <w:t>where</w:t>
      </w:r>
      <w:r>
        <w:rPr>
          <w:spacing w:val="-18"/>
        </w:rPr>
        <w:t> </w:t>
      </w:r>
      <w:r>
        <w:rPr/>
        <w:t>free-phase</w:t>
      </w:r>
      <w:r>
        <w:rPr>
          <w:spacing w:val="-18"/>
        </w:rPr>
        <w:t> </w:t>
      </w:r>
      <w:r>
        <w:rPr/>
        <w:t>CO</w:t>
      </w:r>
      <w:r>
        <w:rPr>
          <w:position w:val="-6"/>
          <w:sz w:val="11"/>
        </w:rPr>
        <w:t>2</w:t>
      </w:r>
      <w:r>
        <w:rPr>
          <w:spacing w:val="4"/>
          <w:position w:val="-6"/>
          <w:sz w:val="11"/>
        </w:rPr>
        <w:t> </w:t>
      </w:r>
      <w:r>
        <w:rPr/>
        <w:t>would</w:t>
      </w:r>
      <w:r>
        <w:rPr>
          <w:spacing w:val="-18"/>
        </w:rPr>
        <w:t> </w:t>
      </w:r>
      <w:r>
        <w:rPr/>
        <w:t>accumulate.</w:t>
      </w:r>
      <w:r>
        <w:rPr>
          <w:spacing w:val="-22"/>
        </w:rPr>
        <w:t> </w:t>
      </w:r>
      <w:r>
        <w:rPr/>
        <w:t>The larger</w:t>
      </w:r>
      <w:r>
        <w:rPr>
          <w:spacing w:val="-10"/>
        </w:rPr>
        <w:t> </w:t>
      </w:r>
      <w:r>
        <w:rPr/>
        <w:t>figure</w:t>
      </w:r>
      <w:r>
        <w:rPr>
          <w:spacing w:val="-9"/>
        </w:rPr>
        <w:t> </w:t>
      </w:r>
      <w:r>
        <w:rPr/>
        <w:t>is</w:t>
      </w:r>
      <w:r>
        <w:rPr>
          <w:spacing w:val="-9"/>
        </w:rPr>
        <w:t> </w:t>
      </w:r>
      <w:r>
        <w:rPr/>
        <w:t>based</w:t>
      </w:r>
      <w:r>
        <w:rPr>
          <w:spacing w:val="-9"/>
        </w:rPr>
        <w:t> </w:t>
      </w:r>
      <w:r>
        <w:rPr/>
        <w:t>on</w:t>
      </w:r>
      <w:r>
        <w:rPr>
          <w:spacing w:val="-9"/>
        </w:rPr>
        <w:t> </w:t>
      </w:r>
      <w:r>
        <w:rPr/>
        <w:t>additional</w:t>
      </w:r>
      <w:r>
        <w:rPr>
          <w:spacing w:val="-9"/>
        </w:rPr>
        <w:t> </w:t>
      </w:r>
      <w:r>
        <w:rPr/>
        <w:t>storage</w:t>
      </w:r>
      <w:r>
        <w:rPr>
          <w:spacing w:val="-10"/>
        </w:rPr>
        <w:t> </w:t>
      </w:r>
      <w:r>
        <w:rPr/>
        <w:t>mechanisms,</w:t>
      </w:r>
      <w:r>
        <w:rPr>
          <w:spacing w:val="-9"/>
        </w:rPr>
        <w:t> </w:t>
      </w:r>
      <w:r>
        <w:rPr/>
        <w:t>mainly dissolution but also mineral trapping. The various methods </w:t>
      </w:r>
      <w:r>
        <w:rPr>
          <w:spacing w:val="-4"/>
        </w:rPr>
        <w:t>and </w:t>
      </w:r>
      <w:r>
        <w:rPr/>
        <w:t>data</w:t>
      </w:r>
      <w:r>
        <w:rPr>
          <w:spacing w:val="-5"/>
        </w:rPr>
        <w:t> </w:t>
      </w:r>
      <w:r>
        <w:rPr/>
        <w:t>used</w:t>
      </w:r>
      <w:r>
        <w:rPr>
          <w:spacing w:val="-5"/>
        </w:rPr>
        <w:t> </w:t>
      </w:r>
      <w:r>
        <w:rPr/>
        <w:t>in</w:t>
      </w:r>
      <w:r>
        <w:rPr>
          <w:spacing w:val="-5"/>
        </w:rPr>
        <w:t> </w:t>
      </w:r>
      <w:r>
        <w:rPr/>
        <w:t>these</w:t>
      </w:r>
      <w:r>
        <w:rPr>
          <w:spacing w:val="-5"/>
        </w:rPr>
        <w:t> </w:t>
      </w:r>
      <w:r>
        <w:rPr/>
        <w:t>capacity</w:t>
      </w:r>
      <w:r>
        <w:rPr>
          <w:spacing w:val="-5"/>
        </w:rPr>
        <w:t> </w:t>
      </w:r>
      <w:r>
        <w:rPr/>
        <w:t>estimates</w:t>
      </w:r>
      <w:r>
        <w:rPr>
          <w:spacing w:val="-5"/>
        </w:rPr>
        <w:t> </w:t>
      </w:r>
      <w:r>
        <w:rPr/>
        <w:t>demonstrate</w:t>
      </w:r>
      <w:r>
        <w:rPr>
          <w:spacing w:val="-5"/>
        </w:rPr>
        <w:t> </w:t>
      </w:r>
      <w:r>
        <w:rPr/>
        <w:t>a</w:t>
      </w:r>
      <w:r>
        <w:rPr>
          <w:spacing w:val="-5"/>
        </w:rPr>
        <w:t> </w:t>
      </w:r>
      <w:r>
        <w:rPr/>
        <w:t>high</w:t>
      </w:r>
      <w:r>
        <w:rPr>
          <w:spacing w:val="-5"/>
        </w:rPr>
        <w:t> </w:t>
      </w:r>
      <w:r>
        <w:rPr/>
        <w:t>degree of uncertainty in estimating regional or global storage capacity in deep saline formations. In the examples from Europe and Japan, the maximum estimate is 15 to 50 times larger than the low estimate. </w:t>
      </w:r>
      <w:r>
        <w:rPr>
          <w:spacing w:val="-3"/>
        </w:rPr>
        <w:t>Similarly, </w:t>
      </w:r>
      <w:r>
        <w:rPr/>
        <w:t>global estimates of storage capacity show a wide range, 100–200,000 GtCO</w:t>
      </w:r>
      <w:r>
        <w:rPr>
          <w:position w:val="-6"/>
          <w:sz w:val="11"/>
        </w:rPr>
        <w:t>2</w:t>
      </w:r>
      <w:r>
        <w:rPr/>
        <w:t>, reflecting different methodologies, levels of uncertainties and considerations </w:t>
      </w:r>
      <w:r>
        <w:rPr>
          <w:spacing w:val="-7"/>
        </w:rPr>
        <w:t>of </w:t>
      </w:r>
      <w:r>
        <w:rPr/>
        <w:t>effective trapping</w:t>
      </w:r>
      <w:r>
        <w:rPr>
          <w:spacing w:val="-1"/>
        </w:rPr>
        <w:t> </w:t>
      </w:r>
      <w:r>
        <w:rPr/>
        <w:t>mechanisms.</w:t>
      </w:r>
    </w:p>
    <w:p>
      <w:pPr>
        <w:pStyle w:val="BodyText"/>
        <w:spacing w:line="240" w:lineRule="exact"/>
        <w:ind w:left="232" w:right="133" w:firstLine="283"/>
        <w:jc w:val="both"/>
      </w:pPr>
      <w:r>
        <w:rPr/>
        <w:t>The assessment of this report is that it is very likely </w:t>
      </w:r>
      <w:r>
        <w:rPr>
          <w:spacing w:val="-4"/>
        </w:rPr>
        <w:t>that </w:t>
      </w:r>
      <w:r>
        <w:rPr/>
        <w:t>global</w:t>
      </w:r>
      <w:r>
        <w:rPr>
          <w:spacing w:val="-14"/>
        </w:rPr>
        <w:t> </w:t>
      </w:r>
      <w:r>
        <w:rPr/>
        <w:t>storage</w:t>
      </w:r>
      <w:r>
        <w:rPr>
          <w:spacing w:val="-13"/>
        </w:rPr>
        <w:t> </w:t>
      </w:r>
      <w:r>
        <w:rPr/>
        <w:t>capacity</w:t>
      </w:r>
      <w:r>
        <w:rPr>
          <w:spacing w:val="-13"/>
        </w:rPr>
        <w:t> </w:t>
      </w:r>
      <w:r>
        <w:rPr/>
        <w:t>in</w:t>
      </w:r>
      <w:r>
        <w:rPr>
          <w:spacing w:val="-13"/>
        </w:rPr>
        <w:t> </w:t>
      </w:r>
      <w:r>
        <w:rPr/>
        <w:t>deep</w:t>
      </w:r>
      <w:r>
        <w:rPr>
          <w:spacing w:val="-13"/>
        </w:rPr>
        <w:t> </w:t>
      </w:r>
      <w:r>
        <w:rPr/>
        <w:t>saline</w:t>
      </w:r>
      <w:r>
        <w:rPr>
          <w:spacing w:val="-13"/>
        </w:rPr>
        <w:t> </w:t>
      </w:r>
      <w:r>
        <w:rPr/>
        <w:t>formations</w:t>
      </w:r>
      <w:r>
        <w:rPr>
          <w:spacing w:val="-13"/>
        </w:rPr>
        <w:t> </w:t>
      </w:r>
      <w:r>
        <w:rPr/>
        <w:t>is</w:t>
      </w:r>
      <w:r>
        <w:rPr>
          <w:spacing w:val="-13"/>
        </w:rPr>
        <w:t> </w:t>
      </w:r>
      <w:r>
        <w:rPr/>
        <w:t>at</w:t>
      </w:r>
      <w:r>
        <w:rPr>
          <w:spacing w:val="-13"/>
        </w:rPr>
        <w:t> </w:t>
      </w:r>
      <w:r>
        <w:rPr/>
        <w:t>least</w:t>
      </w:r>
      <w:r>
        <w:rPr>
          <w:spacing w:val="-13"/>
        </w:rPr>
        <w:t> </w:t>
      </w:r>
      <w:r>
        <w:rPr/>
        <w:t>1000 GtCO</w:t>
      </w:r>
      <w:r>
        <w:rPr>
          <w:position w:val="-6"/>
          <w:sz w:val="11"/>
        </w:rPr>
        <w:t>2</w:t>
      </w:r>
      <w:r>
        <w:rPr/>
        <w:t>. Confidence in this assessment comes from the fact </w:t>
      </w:r>
      <w:r>
        <w:rPr>
          <w:spacing w:val="-4"/>
        </w:rPr>
        <w:t>that </w:t>
      </w:r>
      <w:r>
        <w:rPr/>
        <w:t>oil and gas fields ‘discovered’ have a global storage capacity of approximately 675–900 GtCO</w:t>
      </w:r>
      <w:r>
        <w:rPr>
          <w:position w:val="-6"/>
          <w:sz w:val="11"/>
        </w:rPr>
        <w:t>2  </w:t>
      </w:r>
      <w:r>
        <w:rPr/>
        <w:t>and that they occupy only   a small fraction of the pore volume in sedimentary basins, the rest being occupied by brackish water and brine. Moreover,  oil and gas reservoirs occur only in about half of the </w:t>
      </w:r>
      <w:r>
        <w:rPr>
          <w:spacing w:val="-3"/>
        </w:rPr>
        <w:t>world’s </w:t>
      </w:r>
      <w:r>
        <w:rPr/>
        <w:t>sedimentary basins. Additionally, regional estimates suggest that significant storage capacity is available. Significantly more storage capacity is likely to be available in deep saline formations. The literature is not adequate to support a robust estimate of the maximum geological storage capacity. Some studies suggest that it might be little more than 1000 GtCO</w:t>
      </w:r>
      <w:r>
        <w:rPr>
          <w:position w:val="-6"/>
          <w:sz w:val="11"/>
        </w:rPr>
        <w:t>2</w:t>
      </w:r>
      <w:r>
        <w:rPr/>
        <w:t>, while others indicate that the upper figure could be an order  of magnitude higher. More detailed regional and local capacity assessments are required to resolve this issue.</w:t>
      </w:r>
    </w:p>
    <w:p>
      <w:pPr>
        <w:pStyle w:val="BodyText"/>
        <w:spacing w:before="4"/>
        <w:rPr>
          <w:sz w:val="21"/>
        </w:rPr>
      </w:pPr>
    </w:p>
    <w:p>
      <w:pPr>
        <w:pStyle w:val="ListParagraph"/>
        <w:numPr>
          <w:ilvl w:val="3"/>
          <w:numId w:val="4"/>
        </w:numPr>
        <w:tabs>
          <w:tab w:pos="1051" w:val="left" w:leader="none"/>
          <w:tab w:pos="1053" w:val="left" w:leader="none"/>
        </w:tabs>
        <w:spacing w:line="240" w:lineRule="auto" w:before="0" w:after="0"/>
        <w:ind w:left="1052" w:right="0" w:hanging="821"/>
        <w:jc w:val="left"/>
        <w:rPr>
          <w:i/>
          <w:sz w:val="20"/>
        </w:rPr>
      </w:pPr>
      <w:r>
        <w:rPr>
          <w:i/>
          <w:sz w:val="20"/>
        </w:rPr>
        <w:t>Storage in coal</w:t>
      </w:r>
    </w:p>
    <w:p>
      <w:pPr>
        <w:pStyle w:val="BodyText"/>
        <w:spacing w:line="206" w:lineRule="auto" w:before="29"/>
        <w:ind w:left="232" w:right="134"/>
        <w:jc w:val="both"/>
        <w:rPr>
          <w:sz w:val="11"/>
        </w:rPr>
      </w:pPr>
      <w:r>
        <w:rPr/>
        <w:t>No commercial CO</w:t>
      </w:r>
      <w:r>
        <w:rPr>
          <w:position w:val="-6"/>
          <w:sz w:val="11"/>
        </w:rPr>
        <w:t>2</w:t>
      </w:r>
      <w:r>
        <w:rPr/>
        <w:t>-ECBM operations exist and a comprehensive realistic assessment of the potential for CO</w:t>
      </w:r>
      <w:r>
        <w:rPr>
          <w:position w:val="-6"/>
          <w:sz w:val="11"/>
        </w:rPr>
        <w:t>2</w:t>
      </w:r>
    </w:p>
    <w:p>
      <w:pPr>
        <w:spacing w:after="0" w:line="206" w:lineRule="auto"/>
        <w:jc w:val="both"/>
        <w:rPr>
          <w:sz w:val="11"/>
        </w:rPr>
        <w:sectPr>
          <w:type w:val="continuous"/>
          <w:pgSz w:w="12240" w:h="15840"/>
          <w:pgMar w:top="400" w:bottom="280" w:left="580" w:right="600"/>
          <w:cols w:num="2" w:equalWidth="0">
            <w:col w:w="5609" w:space="40"/>
            <w:col w:w="5411"/>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jc w:val="both"/>
      </w:pPr>
      <w:bookmarkStart w:name="5.3.8 Matching of CO2 sources and geolog" w:id="56"/>
      <w:bookmarkEnd w:id="56"/>
      <w:r>
        <w:rPr/>
      </w:r>
      <w:r>
        <w:rPr/>
        <w:t>storage in coal formations has not yet been made. </w:t>
      </w:r>
      <w:r>
        <w:rPr>
          <w:spacing w:val="-3"/>
        </w:rPr>
        <w:t>Normally, </w:t>
      </w:r>
      <w:r>
        <w:rPr/>
        <w:t>commercial</w:t>
      </w:r>
      <w:r>
        <w:rPr>
          <w:spacing w:val="-23"/>
        </w:rPr>
        <w:t> </w:t>
      </w:r>
      <w:r>
        <w:rPr/>
        <w:t>CBM</w:t>
      </w:r>
      <w:r>
        <w:rPr>
          <w:spacing w:val="-23"/>
        </w:rPr>
        <w:t> </w:t>
      </w:r>
      <w:r>
        <w:rPr/>
        <w:t>reservoirs</w:t>
      </w:r>
      <w:r>
        <w:rPr>
          <w:spacing w:val="-23"/>
        </w:rPr>
        <w:t> </w:t>
      </w:r>
      <w:r>
        <w:rPr/>
        <w:t>are</w:t>
      </w:r>
      <w:r>
        <w:rPr>
          <w:spacing w:val="-22"/>
        </w:rPr>
        <w:t> </w:t>
      </w:r>
      <w:r>
        <w:rPr/>
        <w:t>shallower</w:t>
      </w:r>
      <w:r>
        <w:rPr>
          <w:spacing w:val="-23"/>
        </w:rPr>
        <w:t> </w:t>
      </w:r>
      <w:r>
        <w:rPr/>
        <w:t>than</w:t>
      </w:r>
      <w:r>
        <w:rPr>
          <w:spacing w:val="-23"/>
        </w:rPr>
        <w:t> </w:t>
      </w:r>
      <w:r>
        <w:rPr/>
        <w:t>1500</w:t>
      </w:r>
      <w:r>
        <w:rPr>
          <w:spacing w:val="-22"/>
        </w:rPr>
        <w:t> </w:t>
      </w:r>
      <w:r>
        <w:rPr/>
        <w:t>m,</w:t>
      </w:r>
      <w:r>
        <w:rPr>
          <w:spacing w:val="-23"/>
        </w:rPr>
        <w:t> </w:t>
      </w:r>
      <w:r>
        <w:rPr/>
        <w:t>whereas coal mining in Europe and elsewhere has reached depths </w:t>
      </w:r>
      <w:r>
        <w:rPr>
          <w:spacing w:val="-6"/>
        </w:rPr>
        <w:t>of </w:t>
      </w:r>
      <w:r>
        <w:rPr/>
        <w:t>1000 m. Because CO</w:t>
      </w:r>
      <w:r>
        <w:rPr>
          <w:position w:val="-6"/>
          <w:sz w:val="11"/>
        </w:rPr>
        <w:t>2 </w:t>
      </w:r>
      <w:r>
        <w:rPr/>
        <w:t>should not be stored in coals that could be</w:t>
      </w:r>
      <w:r>
        <w:rPr>
          <w:spacing w:val="-5"/>
        </w:rPr>
        <w:t> </w:t>
      </w:r>
      <w:r>
        <w:rPr/>
        <w:t>potentially</w:t>
      </w:r>
      <w:r>
        <w:rPr>
          <w:spacing w:val="-5"/>
        </w:rPr>
        <w:t> </w:t>
      </w:r>
      <w:r>
        <w:rPr/>
        <w:t>mined,</w:t>
      </w:r>
      <w:r>
        <w:rPr>
          <w:spacing w:val="-4"/>
        </w:rPr>
        <w:t> </w:t>
      </w:r>
      <w:r>
        <w:rPr/>
        <w:t>there</w:t>
      </w:r>
      <w:r>
        <w:rPr>
          <w:spacing w:val="-5"/>
        </w:rPr>
        <w:t> </w:t>
      </w:r>
      <w:r>
        <w:rPr/>
        <w:t>is</w:t>
      </w:r>
      <w:r>
        <w:rPr>
          <w:spacing w:val="-5"/>
        </w:rPr>
        <w:t> </w:t>
      </w:r>
      <w:r>
        <w:rPr/>
        <w:t>a</w:t>
      </w:r>
      <w:r>
        <w:rPr>
          <w:spacing w:val="-4"/>
        </w:rPr>
        <w:t> </w:t>
      </w:r>
      <w:r>
        <w:rPr/>
        <w:t>relatively</w:t>
      </w:r>
      <w:r>
        <w:rPr>
          <w:spacing w:val="-5"/>
        </w:rPr>
        <w:t> </w:t>
      </w:r>
      <w:r>
        <w:rPr/>
        <w:t>narrow</w:t>
      </w:r>
      <w:r>
        <w:rPr>
          <w:spacing w:val="-5"/>
        </w:rPr>
        <w:t> </w:t>
      </w:r>
      <w:r>
        <w:rPr/>
        <w:t>depth</w:t>
      </w:r>
      <w:r>
        <w:rPr>
          <w:spacing w:val="-4"/>
        </w:rPr>
        <w:t> </w:t>
      </w:r>
      <w:r>
        <w:rPr/>
        <w:t>window for CO</w:t>
      </w:r>
      <w:r>
        <w:rPr>
          <w:position w:val="-6"/>
          <w:sz w:val="11"/>
        </w:rPr>
        <w:t>2</w:t>
      </w:r>
      <w:r>
        <w:rPr>
          <w:spacing w:val="22"/>
          <w:position w:val="-6"/>
          <w:sz w:val="11"/>
        </w:rPr>
        <w:t> </w:t>
      </w:r>
      <w:r>
        <w:rPr/>
        <w:t>storage.</w:t>
      </w:r>
    </w:p>
    <w:p>
      <w:pPr>
        <w:pStyle w:val="BodyText"/>
        <w:spacing w:before="5"/>
        <w:ind w:left="440"/>
        <w:jc w:val="both"/>
      </w:pPr>
      <w:r>
        <w:rPr/>
        <w:t>Assuming that bituminous coals can adsorb twice as much</w:t>
      </w:r>
    </w:p>
    <w:p>
      <w:pPr>
        <w:pStyle w:val="BodyText"/>
        <w:spacing w:line="240" w:lineRule="exact" w:before="58"/>
        <w:ind w:left="157" w:right="530"/>
        <w:jc w:val="both"/>
      </w:pPr>
      <w:r>
        <w:rPr/>
        <w:br w:type="column"/>
      </w:r>
      <w:r>
        <w:rPr/>
        <w:t>Results for the </w:t>
      </w:r>
      <w:r>
        <w:rPr>
          <w:spacing w:val="-3"/>
        </w:rPr>
        <w:t>Western </w:t>
      </w:r>
      <w:r>
        <w:rPr/>
        <w:t>Canada Sedimentary  Basin  show  that, while the total capacity of oil and gas reservoirs in the basin is several Gtonnes of CO</w:t>
      </w:r>
      <w:r>
        <w:rPr>
          <w:position w:val="-6"/>
          <w:sz w:val="11"/>
        </w:rPr>
        <w:t>2</w:t>
      </w:r>
      <w:r>
        <w:rPr/>
        <w:t>, the capacity of underlying deep saline formations is two to three orders of magnitude higher. Most major CO</w:t>
      </w:r>
      <w:r>
        <w:rPr>
          <w:position w:val="-6"/>
          <w:sz w:val="11"/>
        </w:rPr>
        <w:t>2 </w:t>
      </w:r>
      <w:r>
        <w:rPr/>
        <w:t>emitters have potential storage sites relatively close </w:t>
      </w:r>
      <w:r>
        <w:rPr>
          <w:spacing w:val="-5"/>
        </w:rPr>
        <w:t>by, </w:t>
      </w:r>
      <w:r>
        <w:rPr/>
        <w:t>with the notable exception of the oil sands plants in northeastern Alberta (current CO</w:t>
      </w:r>
      <w:r>
        <w:rPr>
          <w:position w:val="-6"/>
          <w:sz w:val="11"/>
        </w:rPr>
        <w:t>2 </w:t>
      </w:r>
      <w:r>
        <w:rPr/>
        <w:t>emissions of</w:t>
      </w:r>
      <w:r>
        <w:rPr>
          <w:spacing w:val="40"/>
        </w:rPr>
        <w:t> </w:t>
      </w:r>
      <w:r>
        <w:rPr/>
        <w:t>about</w:t>
      </w:r>
    </w:p>
    <w:p>
      <w:pPr>
        <w:spacing w:after="0" w:line="240" w:lineRule="exact"/>
        <w:jc w:val="both"/>
        <w:sectPr>
          <w:type w:val="continuous"/>
          <w:pgSz w:w="12240" w:h="15840"/>
          <w:pgMar w:top="400" w:bottom="280" w:left="580" w:right="600"/>
          <w:cols w:num="2" w:equalWidth="0">
            <w:col w:w="5241" w:space="85"/>
            <w:col w:w="5734"/>
          </w:cols>
        </w:sectPr>
      </w:pPr>
    </w:p>
    <w:p>
      <w:pPr>
        <w:spacing w:line="277" w:lineRule="exact" w:before="5"/>
        <w:ind w:left="157" w:right="0" w:firstLine="0"/>
        <w:jc w:val="left"/>
        <w:rPr>
          <w:sz w:val="11"/>
        </w:rPr>
      </w:pPr>
      <w:r>
        <w:rPr>
          <w:sz w:val="20"/>
        </w:rPr>
        <w:t>CO</w:t>
      </w:r>
      <w:r>
        <w:rPr>
          <w:position w:val="-6"/>
          <w:sz w:val="11"/>
        </w:rPr>
        <w:t>2</w:t>
      </w:r>
    </w:p>
    <w:p>
      <w:pPr>
        <w:pStyle w:val="BodyText"/>
        <w:spacing w:line="277" w:lineRule="exact" w:before="5"/>
        <w:ind w:left="21"/>
        <w:rPr>
          <w:sz w:val="11"/>
        </w:rPr>
      </w:pPr>
      <w:r>
        <w:rPr/>
        <w:br w:type="column"/>
      </w:r>
      <w:r>
        <w:rPr/>
        <w:t>as methane, a preliminary analysis of the theoretical CO</w:t>
      </w:r>
      <w:r>
        <w:rPr>
          <w:position w:val="-6"/>
          <w:sz w:val="11"/>
        </w:rPr>
        <w:t>2</w:t>
      </w:r>
    </w:p>
    <w:p>
      <w:pPr>
        <w:spacing w:line="277" w:lineRule="exact" w:before="5"/>
        <w:ind w:left="157" w:right="0" w:firstLine="0"/>
        <w:jc w:val="left"/>
        <w:rPr>
          <w:sz w:val="11"/>
        </w:rPr>
      </w:pPr>
      <w:r>
        <w:rPr/>
        <w:br w:type="column"/>
      </w:r>
      <w:r>
        <w:rPr>
          <w:sz w:val="20"/>
        </w:rPr>
        <w:t>20 MtCO</w:t>
      </w:r>
      <w:r>
        <w:rPr>
          <w:position w:val="-6"/>
          <w:sz w:val="11"/>
        </w:rPr>
        <w:t>2</w:t>
      </w:r>
    </w:p>
    <w:p>
      <w:pPr>
        <w:spacing w:before="5"/>
        <w:ind w:left="9" w:right="0" w:firstLine="0"/>
        <w:jc w:val="left"/>
        <w:rPr>
          <w:sz w:val="20"/>
        </w:rPr>
      </w:pPr>
      <w:r>
        <w:rPr/>
        <w:br w:type="column"/>
      </w:r>
      <w:r>
        <w:rPr>
          <w:sz w:val="20"/>
        </w:rPr>
        <w:t>yr</w:t>
      </w:r>
      <w:r>
        <w:rPr>
          <w:position w:val="7"/>
          <w:sz w:val="11"/>
        </w:rPr>
        <w:t>-1</w:t>
      </w:r>
      <w:r>
        <w:rPr>
          <w:sz w:val="20"/>
        </w:rPr>
        <w:t>).</w:t>
      </w:r>
    </w:p>
    <w:p>
      <w:pPr>
        <w:spacing w:after="0"/>
        <w:jc w:val="left"/>
        <w:rPr>
          <w:sz w:val="20"/>
        </w:rPr>
        <w:sectPr>
          <w:type w:val="continuous"/>
          <w:pgSz w:w="12240" w:h="15840"/>
          <w:pgMar w:top="400" w:bottom="280" w:left="580" w:right="600"/>
          <w:cols w:num="4" w:equalWidth="0">
            <w:col w:w="494" w:space="40"/>
            <w:col w:w="4707" w:space="85"/>
            <w:col w:w="977" w:space="40"/>
            <w:col w:w="4717"/>
          </w:cols>
        </w:sectPr>
      </w:pPr>
    </w:p>
    <w:p>
      <w:pPr>
        <w:pStyle w:val="BodyText"/>
        <w:spacing w:line="194" w:lineRule="exact"/>
        <w:ind w:left="157"/>
        <w:jc w:val="both"/>
      </w:pPr>
      <w:r>
        <w:rPr/>
        <w:t>storage  potential  for  ECBM  recovery  projects  suggests</w:t>
      </w:r>
      <w:r>
        <w:rPr>
          <w:spacing w:val="-12"/>
        </w:rPr>
        <w:t> </w:t>
      </w:r>
      <w:r>
        <w:rPr/>
        <w:t>that</w:t>
      </w:r>
    </w:p>
    <w:p>
      <w:pPr>
        <w:pStyle w:val="BodyText"/>
        <w:spacing w:line="240" w:lineRule="exact" w:before="4"/>
        <w:ind w:left="157" w:right="38"/>
        <w:jc w:val="both"/>
      </w:pPr>
      <w:r>
        <w:rPr/>
        <w:t>approximately  60–200  GtCO</w:t>
      </w:r>
      <w:r>
        <w:rPr>
          <w:position w:val="-6"/>
          <w:sz w:val="11"/>
        </w:rPr>
        <w:t>2  </w:t>
      </w:r>
      <w:r>
        <w:rPr/>
        <w:t>could  be  stored  worldwide  in bituminous coal seams (IEA-GHG, 1998). More recent estimates</w:t>
      </w:r>
      <w:r>
        <w:rPr>
          <w:spacing w:val="-21"/>
        </w:rPr>
        <w:t> </w:t>
      </w:r>
      <w:r>
        <w:rPr/>
        <w:t>for</w:t>
      </w:r>
      <w:r>
        <w:rPr>
          <w:spacing w:val="-21"/>
        </w:rPr>
        <w:t> </w:t>
      </w:r>
      <w:r>
        <w:rPr/>
        <w:t>North</w:t>
      </w:r>
      <w:r>
        <w:rPr>
          <w:spacing w:val="-32"/>
        </w:rPr>
        <w:t> </w:t>
      </w:r>
      <w:r>
        <w:rPr/>
        <w:t>America</w:t>
      </w:r>
      <w:r>
        <w:rPr>
          <w:spacing w:val="-21"/>
        </w:rPr>
        <w:t> </w:t>
      </w:r>
      <w:r>
        <w:rPr/>
        <w:t>range</w:t>
      </w:r>
      <w:r>
        <w:rPr>
          <w:spacing w:val="-21"/>
        </w:rPr>
        <w:t> </w:t>
      </w:r>
      <w:r>
        <w:rPr/>
        <w:t>from</w:t>
      </w:r>
      <w:r>
        <w:rPr>
          <w:spacing w:val="-21"/>
        </w:rPr>
        <w:t> </w:t>
      </w:r>
      <w:r>
        <w:rPr/>
        <w:t>60</w:t>
      </w:r>
      <w:r>
        <w:rPr>
          <w:spacing w:val="-21"/>
        </w:rPr>
        <w:t> </w:t>
      </w:r>
      <w:r>
        <w:rPr/>
        <w:t>to</w:t>
      </w:r>
      <w:r>
        <w:rPr>
          <w:spacing w:val="-21"/>
        </w:rPr>
        <w:t> </w:t>
      </w:r>
      <w:r>
        <w:rPr/>
        <w:t>90</w:t>
      </w:r>
      <w:r>
        <w:rPr>
          <w:spacing w:val="-21"/>
        </w:rPr>
        <w:t> </w:t>
      </w:r>
      <w:r>
        <w:rPr/>
        <w:t>GtCO</w:t>
      </w:r>
      <w:r>
        <w:rPr>
          <w:position w:val="-6"/>
          <w:sz w:val="11"/>
        </w:rPr>
        <w:t>2</w:t>
      </w:r>
      <w:r>
        <w:rPr>
          <w:spacing w:val="1"/>
          <w:position w:val="-6"/>
          <w:sz w:val="11"/>
        </w:rPr>
        <w:t> </w:t>
      </w:r>
      <w:r>
        <w:rPr/>
        <w:t>(Reeves, 2003b; Dooley </w:t>
      </w:r>
      <w:r>
        <w:rPr>
          <w:i/>
        </w:rPr>
        <w:t>et al.</w:t>
      </w:r>
      <w:r>
        <w:rPr/>
        <w:t>, 2005), by including sub-bituminous coals and lignites. Technical and economic considerations suggest a practical storage potential of approximately 7 GtCO</w:t>
      </w:r>
      <w:r>
        <w:rPr>
          <w:position w:val="-6"/>
          <w:sz w:val="11"/>
        </w:rPr>
        <w:t>2 </w:t>
      </w:r>
      <w:r>
        <w:rPr/>
        <w:t>for bituminous coals (Gale and Freund, 2001; Gale, 2004). Assuming that CO</w:t>
      </w:r>
      <w:r>
        <w:rPr>
          <w:position w:val="-6"/>
          <w:sz w:val="11"/>
        </w:rPr>
        <w:t>2 </w:t>
      </w:r>
      <w:r>
        <w:rPr/>
        <w:t>would not be stored in coal seams without recovering the CBM, a storage capacity of 3–15 GtCO</w:t>
      </w:r>
      <w:r>
        <w:rPr>
          <w:position w:val="-6"/>
          <w:sz w:val="11"/>
        </w:rPr>
        <w:t>2 </w:t>
      </w:r>
      <w:r>
        <w:rPr/>
        <w:t>is calculated, for a US annual production of CBM in 2003 </w:t>
      </w:r>
      <w:r>
        <w:rPr>
          <w:spacing w:val="-7"/>
        </w:rPr>
        <w:t>of </w:t>
      </w:r>
      <w:r>
        <w:rPr/>
        <w:t>approximately 0.04 trillion m</w:t>
      </w:r>
      <w:r>
        <w:rPr>
          <w:position w:val="7"/>
          <w:sz w:val="11"/>
        </w:rPr>
        <w:t>3 </w:t>
      </w:r>
      <w:r>
        <w:rPr/>
        <w:t>and projected global production levels of 0.20 trillion m</w:t>
      </w:r>
      <w:r>
        <w:rPr>
          <w:position w:val="7"/>
          <w:sz w:val="11"/>
        </w:rPr>
        <w:t>3  </w:t>
      </w:r>
      <w:r>
        <w:rPr/>
        <w:t>in the future. This calculation</w:t>
      </w:r>
      <w:r>
        <w:rPr>
          <w:spacing w:val="-36"/>
        </w:rPr>
        <w:t> </w:t>
      </w:r>
      <w:r>
        <w:rPr/>
        <w:t>assumes</w:t>
      </w:r>
    </w:p>
    <w:p>
      <w:pPr>
        <w:pStyle w:val="BodyText"/>
        <w:spacing w:line="194" w:lineRule="exact"/>
        <w:ind w:left="440"/>
        <w:jc w:val="both"/>
      </w:pPr>
      <w:r>
        <w:rPr/>
        <w:br w:type="column"/>
      </w:r>
      <w:r>
        <w:rPr/>
        <w:t>In Australia, a portfolio approach was undertaken for the</w:t>
      </w:r>
    </w:p>
    <w:p>
      <w:pPr>
        <w:pStyle w:val="BodyText"/>
        <w:spacing w:line="240" w:lineRule="exact" w:before="4"/>
        <w:ind w:left="157" w:right="530"/>
        <w:jc w:val="both"/>
      </w:pPr>
      <w:r>
        <w:rPr/>
        <w:t>continent to identify a range of geological storage sites (Rigg </w:t>
      </w:r>
      <w:r>
        <w:rPr>
          <w:i/>
        </w:rPr>
        <w:t>et al.</w:t>
      </w:r>
      <w:r>
        <w:rPr/>
        <w:t>, 2001; Bradshaw </w:t>
      </w:r>
      <w:r>
        <w:rPr>
          <w:i/>
        </w:rPr>
        <w:t>et al.</w:t>
      </w:r>
      <w:r>
        <w:rPr/>
        <w:t>, 2002). The initial assessment screened</w:t>
      </w:r>
      <w:r>
        <w:rPr>
          <w:spacing w:val="-21"/>
        </w:rPr>
        <w:t> </w:t>
      </w:r>
      <w:r>
        <w:rPr/>
        <w:t>300</w:t>
      </w:r>
      <w:r>
        <w:rPr>
          <w:spacing w:val="-21"/>
        </w:rPr>
        <w:t> </w:t>
      </w:r>
      <w:r>
        <w:rPr/>
        <w:t>sedimentary</w:t>
      </w:r>
      <w:r>
        <w:rPr>
          <w:spacing w:val="-20"/>
        </w:rPr>
        <w:t> </w:t>
      </w:r>
      <w:r>
        <w:rPr/>
        <w:t>basins</w:t>
      </w:r>
      <w:r>
        <w:rPr>
          <w:spacing w:val="-21"/>
        </w:rPr>
        <w:t> </w:t>
      </w:r>
      <w:r>
        <w:rPr/>
        <w:t>down</w:t>
      </w:r>
      <w:r>
        <w:rPr>
          <w:spacing w:val="-20"/>
        </w:rPr>
        <w:t> </w:t>
      </w:r>
      <w:r>
        <w:rPr/>
        <w:t>to</w:t>
      </w:r>
      <w:r>
        <w:rPr>
          <w:spacing w:val="-21"/>
        </w:rPr>
        <w:t> </w:t>
      </w:r>
      <w:r>
        <w:rPr/>
        <w:t>48</w:t>
      </w:r>
      <w:r>
        <w:rPr>
          <w:spacing w:val="-20"/>
        </w:rPr>
        <w:t> </w:t>
      </w:r>
      <w:r>
        <w:rPr/>
        <w:t>basins</w:t>
      </w:r>
      <w:r>
        <w:rPr>
          <w:spacing w:val="-21"/>
        </w:rPr>
        <w:t> </w:t>
      </w:r>
      <w:r>
        <w:rPr/>
        <w:t>and</w:t>
      </w:r>
      <w:r>
        <w:rPr>
          <w:spacing w:val="-21"/>
        </w:rPr>
        <w:t> </w:t>
      </w:r>
      <w:r>
        <w:rPr/>
        <w:t>65</w:t>
      </w:r>
      <w:r>
        <w:rPr>
          <w:spacing w:val="-20"/>
        </w:rPr>
        <w:t> </w:t>
      </w:r>
      <w:r>
        <w:rPr/>
        <w:t>areas. Methodology</w:t>
      </w:r>
      <w:r>
        <w:rPr>
          <w:spacing w:val="-16"/>
        </w:rPr>
        <w:t> </w:t>
      </w:r>
      <w:r>
        <w:rPr/>
        <w:t>was</w:t>
      </w:r>
      <w:r>
        <w:rPr>
          <w:spacing w:val="-15"/>
        </w:rPr>
        <w:t> </w:t>
      </w:r>
      <w:r>
        <w:rPr/>
        <w:t>developed</w:t>
      </w:r>
      <w:r>
        <w:rPr>
          <w:spacing w:val="-15"/>
        </w:rPr>
        <w:t> </w:t>
      </w:r>
      <w:r>
        <w:rPr/>
        <w:t>for</w:t>
      </w:r>
      <w:r>
        <w:rPr>
          <w:spacing w:val="-15"/>
        </w:rPr>
        <w:t> </w:t>
      </w:r>
      <w:r>
        <w:rPr/>
        <w:t>ranking</w:t>
      </w:r>
      <w:r>
        <w:rPr>
          <w:spacing w:val="-15"/>
        </w:rPr>
        <w:t> </w:t>
      </w:r>
      <w:r>
        <w:rPr/>
        <w:t>storage</w:t>
      </w:r>
      <w:r>
        <w:rPr>
          <w:spacing w:val="-16"/>
        </w:rPr>
        <w:t> </w:t>
      </w:r>
      <w:r>
        <w:rPr/>
        <w:t>sites</w:t>
      </w:r>
      <w:r>
        <w:rPr>
          <w:spacing w:val="-15"/>
        </w:rPr>
        <w:t> </w:t>
      </w:r>
      <w:r>
        <w:rPr/>
        <w:t>(technical and economic risks) and proximity of large CO</w:t>
      </w:r>
      <w:r>
        <w:rPr>
          <w:position w:val="-6"/>
          <w:sz w:val="11"/>
        </w:rPr>
        <w:t>2 </w:t>
      </w:r>
      <w:r>
        <w:rPr/>
        <w:t>emission sites. Region-wide</w:t>
      </w:r>
      <w:r>
        <w:rPr>
          <w:spacing w:val="-8"/>
        </w:rPr>
        <w:t> </w:t>
      </w:r>
      <w:r>
        <w:rPr/>
        <w:t>solutions</w:t>
      </w:r>
      <w:r>
        <w:rPr>
          <w:spacing w:val="-8"/>
        </w:rPr>
        <w:t> </w:t>
      </w:r>
      <w:r>
        <w:rPr/>
        <w:t>were</w:t>
      </w:r>
      <w:r>
        <w:rPr>
          <w:spacing w:val="-7"/>
        </w:rPr>
        <w:t> </w:t>
      </w:r>
      <w:r>
        <w:rPr/>
        <w:t>sought,</w:t>
      </w:r>
      <w:r>
        <w:rPr>
          <w:spacing w:val="-8"/>
        </w:rPr>
        <w:t> </w:t>
      </w:r>
      <w:r>
        <w:rPr/>
        <w:t>incorporating</w:t>
      </w:r>
      <w:r>
        <w:rPr>
          <w:spacing w:val="-8"/>
        </w:rPr>
        <w:t> </w:t>
      </w:r>
      <w:r>
        <w:rPr/>
        <w:t>an</w:t>
      </w:r>
      <w:r>
        <w:rPr>
          <w:spacing w:val="-7"/>
        </w:rPr>
        <w:t> </w:t>
      </w:r>
      <w:r>
        <w:rPr/>
        <w:t>economic model to assess full project economics over 20 to 30 years, including costs of transport, storage, monitoring and Monte Carlo analysis. The study produced three storage</w:t>
      </w:r>
      <w:r>
        <w:rPr>
          <w:spacing w:val="-12"/>
        </w:rPr>
        <w:t> </w:t>
      </w:r>
      <w:r>
        <w:rPr/>
        <w:t>estimates:</w:t>
      </w:r>
    </w:p>
    <w:p>
      <w:pPr>
        <w:pStyle w:val="ListParagraph"/>
        <w:numPr>
          <w:ilvl w:val="0"/>
          <w:numId w:val="6"/>
        </w:numPr>
        <w:tabs>
          <w:tab w:pos="441" w:val="left" w:leader="none"/>
        </w:tabs>
        <w:spacing w:line="249" w:lineRule="auto" w:before="0" w:after="0"/>
        <w:ind w:left="440" w:right="530" w:hanging="284"/>
        <w:jc w:val="both"/>
        <w:rPr>
          <w:sz w:val="20"/>
        </w:rPr>
      </w:pPr>
      <w:r>
        <w:rPr/>
        <w:pict>
          <v:shape style="position:absolute;margin-left:438.820404pt;margin-top:9.011211pt;width:2.95pt;height:5.85pt;mso-position-horizontal-relative:page;mso-position-vertical-relative:paragraph;z-index:-25884979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pict>
          <v:shape style="position:absolute;margin-left:467.940002pt;margin-top:45.011211pt;width:2.95pt;height:5.85pt;mso-position-horizontal-relative:page;mso-position-vertical-relative:paragraph;z-index:-25884876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pacing w:val="-3"/>
          <w:sz w:val="20"/>
        </w:rPr>
        <w:t>Total </w:t>
      </w:r>
      <w:r>
        <w:rPr>
          <w:sz w:val="20"/>
        </w:rPr>
        <w:t>capacity of 740  GtCO ,  equivalent  to  1600  years of current emissions, but with no economic barriers considered;</w:t>
      </w:r>
    </w:p>
    <w:p>
      <w:pPr>
        <w:spacing w:after="0" w:line="249" w:lineRule="auto"/>
        <w:jc w:val="both"/>
        <w:rPr>
          <w:sz w:val="20"/>
        </w:rPr>
        <w:sectPr>
          <w:type w:val="continuous"/>
          <w:pgSz w:w="12240" w:h="15840"/>
          <w:pgMar w:top="400" w:bottom="280" w:left="580" w:right="600"/>
          <w:cols w:num="2" w:equalWidth="0">
            <w:col w:w="5243" w:space="84"/>
            <w:col w:w="5733"/>
          </w:cols>
        </w:sectPr>
      </w:pPr>
    </w:p>
    <w:p>
      <w:pPr>
        <w:pStyle w:val="BodyText"/>
        <w:spacing w:line="218" w:lineRule="auto" w:before="3"/>
        <w:ind w:left="157"/>
        <w:rPr>
          <w:sz w:val="11"/>
        </w:rPr>
      </w:pPr>
      <w:r>
        <w:rPr/>
        <w:t>that 0.1 GtCO</w:t>
      </w:r>
      <w:r>
        <w:rPr>
          <w:position w:val="-6"/>
          <w:sz w:val="11"/>
        </w:rPr>
        <w:t>2</w:t>
      </w:r>
    </w:p>
    <w:p>
      <w:pPr>
        <w:pStyle w:val="BodyText"/>
        <w:spacing w:line="223" w:lineRule="exact"/>
        <w:ind w:left="24"/>
      </w:pPr>
      <w:r>
        <w:rPr/>
        <w:br w:type="column"/>
      </w:r>
      <w:r>
        <w:rPr/>
        <w:t>can be stored for every Tcf of produced CBM</w:t>
      </w:r>
    </w:p>
    <w:p>
      <w:pPr>
        <w:pStyle w:val="ListParagraph"/>
        <w:numPr>
          <w:ilvl w:val="0"/>
          <w:numId w:val="6"/>
        </w:numPr>
        <w:tabs>
          <w:tab w:pos="441" w:val="left" w:leader="none"/>
        </w:tabs>
        <w:spacing w:line="224" w:lineRule="exact" w:before="0" w:after="0"/>
        <w:ind w:left="440" w:right="0" w:hanging="284"/>
        <w:jc w:val="left"/>
        <w:rPr>
          <w:sz w:val="20"/>
        </w:rPr>
      </w:pPr>
      <w:r>
        <w:rPr>
          <w:w w:val="100"/>
          <w:sz w:val="20"/>
        </w:rPr>
        <w:br w:type="column"/>
      </w:r>
      <w:r>
        <w:rPr>
          <w:sz w:val="20"/>
        </w:rPr>
        <w:t>‘Realistic’ capacity of 100–115 MtCO yr</w:t>
      </w:r>
      <w:r>
        <w:rPr>
          <w:position w:val="7"/>
          <w:sz w:val="11"/>
        </w:rPr>
        <w:t>-1 </w:t>
      </w:r>
      <w:r>
        <w:rPr>
          <w:sz w:val="20"/>
        </w:rPr>
        <w:t>or 50% of</w:t>
      </w:r>
      <w:r>
        <w:rPr>
          <w:spacing w:val="-38"/>
          <w:sz w:val="20"/>
        </w:rPr>
        <w:t> </w:t>
      </w:r>
      <w:r>
        <w:rPr>
          <w:sz w:val="20"/>
        </w:rPr>
        <w:t>annual</w:t>
      </w:r>
    </w:p>
    <w:p>
      <w:pPr>
        <w:spacing w:after="0" w:line="224" w:lineRule="exact"/>
        <w:jc w:val="left"/>
        <w:rPr>
          <w:sz w:val="20"/>
        </w:rPr>
        <w:sectPr>
          <w:type w:val="continuous"/>
          <w:pgSz w:w="12240" w:h="15840"/>
          <w:pgMar w:top="400" w:bottom="280" w:left="580" w:right="600"/>
          <w:cols w:num="3" w:equalWidth="0">
            <w:col w:w="1372" w:space="40"/>
            <w:col w:w="3828" w:space="86"/>
            <w:col w:w="5734"/>
          </w:cols>
        </w:sectPr>
      </w:pPr>
    </w:p>
    <w:p>
      <w:pPr>
        <w:pStyle w:val="BodyText"/>
        <w:spacing w:line="187" w:lineRule="auto"/>
        <w:ind w:left="157"/>
        <w:rPr>
          <w:sz w:val="11"/>
        </w:rPr>
      </w:pPr>
      <w:r>
        <w:rPr/>
        <w:t>(3.53 GtCO</w:t>
      </w:r>
      <w:r>
        <w:rPr>
          <w:position w:val="-6"/>
          <w:sz w:val="11"/>
        </w:rPr>
        <w:t>2</w:t>
      </w:r>
    </w:p>
    <w:p>
      <w:pPr>
        <w:pStyle w:val="BodyText"/>
        <w:spacing w:line="210" w:lineRule="exact"/>
        <w:ind w:left="157"/>
      </w:pPr>
      <w:r>
        <w:rPr/>
        <w:t>(2004).</w:t>
      </w:r>
    </w:p>
    <w:p>
      <w:pPr>
        <w:pStyle w:val="BodyText"/>
        <w:spacing w:line="198" w:lineRule="exact"/>
        <w:ind w:left="25"/>
      </w:pPr>
      <w:r>
        <w:rPr/>
        <w:br w:type="column"/>
      </w:r>
      <w:r>
        <w:rPr/>
        <w:t>for every trillion m</w:t>
      </w:r>
      <w:r>
        <w:rPr>
          <w:position w:val="7"/>
          <w:sz w:val="11"/>
        </w:rPr>
        <w:t>3</w:t>
      </w:r>
      <w:r>
        <w:rPr/>
        <w:t>) and compares well to Gale</w:t>
      </w:r>
    </w:p>
    <w:p>
      <w:pPr>
        <w:pStyle w:val="BodyText"/>
        <w:spacing w:line="198" w:lineRule="exact"/>
        <w:ind w:left="157"/>
      </w:pPr>
      <w:r>
        <w:rPr/>
        <w:br w:type="column"/>
      </w:r>
      <w:r>
        <w:rPr/>
        <w:t>stationary emissions, determined by matching sources</w:t>
      </w:r>
      <w:r>
        <w:rPr>
          <w:spacing w:val="11"/>
        </w:rPr>
        <w:t> </w:t>
      </w:r>
      <w:r>
        <w:rPr/>
        <w:t>with</w:t>
      </w:r>
    </w:p>
    <w:p>
      <w:pPr>
        <w:pStyle w:val="BodyText"/>
        <w:spacing w:before="10"/>
        <w:ind w:left="157"/>
      </w:pPr>
      <w:r>
        <w:rPr/>
        <w:t>the  closest  viable  storage  sites  and  assuming </w:t>
      </w:r>
      <w:r>
        <w:rPr>
          <w:spacing w:val="11"/>
        </w:rPr>
        <w:t> </w:t>
      </w:r>
      <w:r>
        <w:rPr/>
        <w:t>economic</w:t>
      </w:r>
    </w:p>
    <w:p>
      <w:pPr>
        <w:pStyle w:val="BodyText"/>
        <w:spacing w:line="225" w:lineRule="exact" w:before="10"/>
        <w:ind w:left="157"/>
      </w:pPr>
      <w:r>
        <w:rPr/>
        <w:pict>
          <v:shape style="position:absolute;margin-left:471.647003pt;margin-top:20.793438pt;width:2.95pt;height:5.85pt;mso-position-horizontal-relative:page;mso-position-vertical-relative:paragraph;z-index:25171148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incentives for storage;</w:t>
      </w:r>
    </w:p>
    <w:p>
      <w:pPr>
        <w:spacing w:after="0" w:line="225" w:lineRule="exact"/>
        <w:sectPr>
          <w:type w:val="continuous"/>
          <w:pgSz w:w="12240" w:h="15840"/>
          <w:pgMar w:top="400" w:bottom="280" w:left="580" w:right="600"/>
          <w:cols w:num="3" w:equalWidth="0">
            <w:col w:w="1176" w:space="40"/>
            <w:col w:w="4025" w:space="369"/>
            <w:col w:w="5450"/>
          </w:cols>
        </w:sectPr>
      </w:pPr>
    </w:p>
    <w:p>
      <w:pPr>
        <w:pStyle w:val="Heading2"/>
        <w:numPr>
          <w:ilvl w:val="2"/>
          <w:numId w:val="4"/>
        </w:numPr>
        <w:tabs>
          <w:tab w:pos="976" w:val="left" w:leader="none"/>
          <w:tab w:pos="977" w:val="left" w:leader="none"/>
        </w:tabs>
        <w:spacing w:line="277" w:lineRule="exact" w:before="15" w:after="0"/>
        <w:ind w:left="977" w:right="0" w:hanging="820"/>
        <w:jc w:val="left"/>
        <w:rPr>
          <w:i/>
          <w:sz w:val="11"/>
        </w:rPr>
      </w:pPr>
      <w:r>
        <w:rPr>
          <w:i/>
        </w:rPr>
        <w:t>Matching of</w:t>
      </w:r>
      <w:r>
        <w:rPr>
          <w:i/>
          <w:spacing w:val="-4"/>
        </w:rPr>
        <w:t> CO</w:t>
      </w:r>
      <w:r>
        <w:rPr>
          <w:i/>
          <w:spacing w:val="-4"/>
          <w:position w:val="-6"/>
          <w:sz w:val="11"/>
        </w:rPr>
        <w:t>2</w:t>
      </w:r>
    </w:p>
    <w:p>
      <w:pPr>
        <w:spacing w:before="15"/>
        <w:ind w:left="9" w:right="0" w:firstLine="0"/>
        <w:jc w:val="left"/>
        <w:rPr>
          <w:b/>
          <w:i/>
          <w:sz w:val="20"/>
        </w:rPr>
      </w:pPr>
      <w:r>
        <w:rPr/>
        <w:br w:type="column"/>
      </w:r>
      <w:r>
        <w:rPr>
          <w:b/>
          <w:i/>
          <w:sz w:val="20"/>
        </w:rPr>
        <w:t>sources and geological storage</w:t>
      </w:r>
    </w:p>
    <w:p>
      <w:pPr>
        <w:pStyle w:val="ListParagraph"/>
        <w:numPr>
          <w:ilvl w:val="0"/>
          <w:numId w:val="6"/>
        </w:numPr>
        <w:tabs>
          <w:tab w:pos="441" w:val="left" w:leader="none"/>
        </w:tabs>
        <w:spacing w:line="240" w:lineRule="auto" w:before="1" w:after="0"/>
        <w:ind w:left="440" w:right="0" w:hanging="284"/>
        <w:jc w:val="left"/>
        <w:rPr>
          <w:sz w:val="20"/>
        </w:rPr>
      </w:pPr>
      <w:r>
        <w:rPr>
          <w:w w:val="100"/>
          <w:sz w:val="20"/>
        </w:rPr>
        <w:br w:type="column"/>
      </w:r>
      <w:r>
        <w:rPr>
          <w:sz w:val="20"/>
        </w:rPr>
        <w:t>‘Cost</w:t>
      </w:r>
      <w:r>
        <w:rPr>
          <w:spacing w:val="-8"/>
          <w:sz w:val="20"/>
        </w:rPr>
        <w:t> </w:t>
      </w:r>
      <w:r>
        <w:rPr>
          <w:sz w:val="20"/>
        </w:rPr>
        <w:t>curve’</w:t>
      </w:r>
      <w:r>
        <w:rPr>
          <w:spacing w:val="-22"/>
          <w:sz w:val="20"/>
        </w:rPr>
        <w:t> </w:t>
      </w:r>
      <w:r>
        <w:rPr>
          <w:sz w:val="20"/>
        </w:rPr>
        <w:t>capacity</w:t>
      </w:r>
      <w:r>
        <w:rPr>
          <w:spacing w:val="-7"/>
          <w:sz w:val="20"/>
        </w:rPr>
        <w:t> </w:t>
      </w:r>
      <w:r>
        <w:rPr>
          <w:sz w:val="20"/>
        </w:rPr>
        <w:t>of</w:t>
      </w:r>
      <w:r>
        <w:rPr>
          <w:spacing w:val="-8"/>
          <w:sz w:val="20"/>
        </w:rPr>
        <w:t> </w:t>
      </w:r>
      <w:r>
        <w:rPr>
          <w:sz w:val="20"/>
        </w:rPr>
        <w:t>20–180</w:t>
      </w:r>
      <w:r>
        <w:rPr>
          <w:spacing w:val="-7"/>
          <w:sz w:val="20"/>
        </w:rPr>
        <w:t> </w:t>
      </w:r>
      <w:r>
        <w:rPr>
          <w:spacing w:val="-5"/>
          <w:sz w:val="20"/>
        </w:rPr>
        <w:t>MtCO</w:t>
      </w:r>
    </w:p>
    <w:p>
      <w:pPr>
        <w:pStyle w:val="BodyText"/>
        <w:spacing w:before="15"/>
        <w:ind w:left="60"/>
      </w:pPr>
      <w:r>
        <w:rPr/>
        <w:br w:type="column"/>
      </w:r>
      <w:r>
        <w:rPr/>
        <w:t>yr</w:t>
      </w:r>
      <w:r>
        <w:rPr>
          <w:position w:val="7"/>
          <w:sz w:val="11"/>
        </w:rPr>
        <w:t>-1</w:t>
      </w:r>
      <w:r>
        <w:rPr/>
        <w:t>, with increasing</w:t>
      </w:r>
    </w:p>
    <w:p>
      <w:pPr>
        <w:spacing w:after="0"/>
        <w:sectPr>
          <w:type w:val="continuous"/>
          <w:pgSz w:w="12240" w:h="15840"/>
          <w:pgMar w:top="400" w:bottom="280" w:left="580" w:right="600"/>
          <w:cols w:num="4" w:equalWidth="0">
            <w:col w:w="2380" w:space="40"/>
            <w:col w:w="2578" w:space="329"/>
            <w:col w:w="3528" w:space="39"/>
            <w:col w:w="2166"/>
          </w:cols>
        </w:sectPr>
      </w:pPr>
    </w:p>
    <w:p>
      <w:pPr>
        <w:pStyle w:val="Heading2"/>
        <w:spacing w:line="194" w:lineRule="exact"/>
        <w:ind w:firstLine="0"/>
        <w:rPr>
          <w:i/>
        </w:rPr>
      </w:pPr>
      <w:r>
        <w:rPr>
          <w:i/>
        </w:rPr>
        <w:t>sites</w:t>
      </w:r>
    </w:p>
    <w:p>
      <w:pPr>
        <w:pStyle w:val="BodyText"/>
        <w:spacing w:before="5"/>
        <w:rPr>
          <w:b/>
          <w:i/>
          <w:sz w:val="22"/>
        </w:rPr>
      </w:pPr>
    </w:p>
    <w:p>
      <w:pPr>
        <w:pStyle w:val="BodyText"/>
        <w:spacing w:line="225" w:lineRule="auto"/>
        <w:ind w:left="157" w:right="38"/>
        <w:jc w:val="both"/>
      </w:pPr>
      <w:r>
        <w:rPr/>
        <w:t>Matching of CO</w:t>
      </w:r>
      <w:r>
        <w:rPr>
          <w:position w:val="-6"/>
          <w:sz w:val="11"/>
        </w:rPr>
        <w:t>2 </w:t>
      </w:r>
      <w:r>
        <w:rPr/>
        <w:t>sources with geological storage sites requires detailed</w:t>
      </w:r>
      <w:r>
        <w:rPr>
          <w:spacing w:val="-17"/>
        </w:rPr>
        <w:t> </w:t>
      </w:r>
      <w:r>
        <w:rPr/>
        <w:t>assessment</w:t>
      </w:r>
      <w:r>
        <w:rPr>
          <w:spacing w:val="-15"/>
        </w:rPr>
        <w:t> </w:t>
      </w:r>
      <w:r>
        <w:rPr/>
        <w:t>of</w:t>
      </w:r>
      <w:r>
        <w:rPr>
          <w:spacing w:val="-15"/>
        </w:rPr>
        <w:t> </w:t>
      </w:r>
      <w:r>
        <w:rPr/>
        <w:t>source</w:t>
      </w:r>
      <w:r>
        <w:rPr>
          <w:spacing w:val="-17"/>
        </w:rPr>
        <w:t> </w:t>
      </w:r>
      <w:r>
        <w:rPr/>
        <w:t>quality</w:t>
      </w:r>
      <w:r>
        <w:rPr>
          <w:spacing w:val="-16"/>
        </w:rPr>
        <w:t> </w:t>
      </w:r>
      <w:r>
        <w:rPr/>
        <w:t>and</w:t>
      </w:r>
      <w:r>
        <w:rPr>
          <w:spacing w:val="-15"/>
        </w:rPr>
        <w:t> </w:t>
      </w:r>
      <w:r>
        <w:rPr/>
        <w:t>quantity,</w:t>
      </w:r>
      <w:r>
        <w:rPr>
          <w:spacing w:val="-15"/>
        </w:rPr>
        <w:t> </w:t>
      </w:r>
      <w:r>
        <w:rPr/>
        <w:t>transport</w:t>
      </w:r>
      <w:r>
        <w:rPr>
          <w:spacing w:val="-16"/>
        </w:rPr>
        <w:t> </w:t>
      </w:r>
      <w:r>
        <w:rPr/>
        <w:t>and economic and environmental factors. If the storage site is far from CO</w:t>
      </w:r>
      <w:r>
        <w:rPr>
          <w:position w:val="-6"/>
          <w:sz w:val="11"/>
        </w:rPr>
        <w:t>2 </w:t>
      </w:r>
      <w:r>
        <w:rPr/>
        <w:t>sources or is associated with a high level of</w:t>
      </w:r>
      <w:r>
        <w:rPr>
          <w:spacing w:val="-17"/>
        </w:rPr>
        <w:t> </w:t>
      </w:r>
      <w:r>
        <w:rPr/>
        <w:t>technical uncertainty, then its storage potential may never be</w:t>
      </w:r>
      <w:r>
        <w:rPr>
          <w:spacing w:val="-14"/>
        </w:rPr>
        <w:t> </w:t>
      </w:r>
      <w:r>
        <w:rPr/>
        <w:t>realized.</w:t>
      </w:r>
    </w:p>
    <w:p>
      <w:pPr>
        <w:pStyle w:val="BodyText"/>
        <w:spacing w:before="8"/>
        <w:rPr>
          <w:sz w:val="21"/>
        </w:rPr>
      </w:pPr>
    </w:p>
    <w:p>
      <w:pPr>
        <w:pStyle w:val="ListParagraph"/>
        <w:numPr>
          <w:ilvl w:val="3"/>
          <w:numId w:val="4"/>
        </w:numPr>
        <w:tabs>
          <w:tab w:pos="977" w:val="left" w:leader="none"/>
        </w:tabs>
        <w:spacing w:line="240" w:lineRule="auto" w:before="0" w:after="0"/>
        <w:ind w:left="977" w:right="0" w:hanging="820"/>
        <w:jc w:val="both"/>
        <w:rPr>
          <w:i/>
          <w:sz w:val="20"/>
        </w:rPr>
      </w:pPr>
      <w:r>
        <w:rPr>
          <w:i/>
          <w:sz w:val="20"/>
        </w:rPr>
        <w:t>Regional</w:t>
      </w:r>
      <w:r>
        <w:rPr>
          <w:i/>
          <w:spacing w:val="-1"/>
          <w:sz w:val="20"/>
        </w:rPr>
        <w:t> </w:t>
      </w:r>
      <w:r>
        <w:rPr>
          <w:i/>
          <w:sz w:val="20"/>
        </w:rPr>
        <w:t>studies</w:t>
      </w:r>
    </w:p>
    <w:p>
      <w:pPr>
        <w:pStyle w:val="BodyText"/>
        <w:spacing w:line="240" w:lineRule="exact" w:before="5"/>
        <w:ind w:left="157" w:right="38"/>
        <w:jc w:val="both"/>
      </w:pPr>
      <w:r>
        <w:rPr/>
        <w:t>Matching sources of CO</w:t>
      </w:r>
      <w:r>
        <w:rPr>
          <w:position w:val="-6"/>
          <w:sz w:val="11"/>
        </w:rPr>
        <w:t>2 </w:t>
      </w:r>
      <w:r>
        <w:rPr/>
        <w:t>to potential storage sites, taking into account projections for future socio-economic development, will be particularly important for some of the rapidly developing economies. Assessment of sources and storage sites, together with numerical simulations, emissions mapping and identification of transport routes, has been undertaken </w:t>
      </w:r>
      <w:r>
        <w:rPr>
          <w:spacing w:val="-5"/>
        </w:rPr>
        <w:t>for </w:t>
      </w:r>
      <w:r>
        <w:rPr/>
        <w:t>a number of regions in Europe (Holloway, 1996; Larsen </w:t>
      </w:r>
      <w:r>
        <w:rPr>
          <w:i/>
        </w:rPr>
        <w:t>et   </w:t>
      </w:r>
      <w:r>
        <w:rPr>
          <w:i/>
        </w:rPr>
        <w:t>al.</w:t>
      </w:r>
      <w:r>
        <w:rPr/>
        <w:t>, 2005). In Japan, studies have modelled and optimized the linkages between 20 onshore emission regions and 20 </w:t>
      </w:r>
      <w:r>
        <w:rPr>
          <w:spacing w:val="-3"/>
        </w:rPr>
        <w:t>offshore </w:t>
      </w:r>
      <w:r>
        <w:rPr/>
        <w:t>storage regions, including both ocean storage and geological storage (Akimoto </w:t>
      </w:r>
      <w:r>
        <w:rPr>
          <w:i/>
        </w:rPr>
        <w:t>et al.</w:t>
      </w:r>
      <w:r>
        <w:rPr/>
        <w:t>, 2003). Preliminary studies have also begun in India (Garg </w:t>
      </w:r>
      <w:r>
        <w:rPr>
          <w:i/>
        </w:rPr>
        <w:t>et al.</w:t>
      </w:r>
      <w:r>
        <w:rPr/>
        <w:t>, 2005) and Argentina (Amadeo </w:t>
      </w:r>
      <w:r>
        <w:rPr>
          <w:i/>
        </w:rPr>
        <w:t>et </w:t>
      </w:r>
      <w:r>
        <w:rPr>
          <w:i/>
        </w:rPr>
        <w:t>al.</w:t>
      </w:r>
      <w:r>
        <w:rPr/>
        <w:t>,</w:t>
      </w:r>
      <w:r>
        <w:rPr>
          <w:spacing w:val="-11"/>
        </w:rPr>
        <w:t> </w:t>
      </w:r>
      <w:r>
        <w:rPr/>
        <w:t>2005).</w:t>
      </w:r>
      <w:r>
        <w:rPr>
          <w:spacing w:val="-10"/>
        </w:rPr>
        <w:t> </w:t>
      </w:r>
      <w:r>
        <w:rPr/>
        <w:t>For</w:t>
      </w:r>
      <w:r>
        <w:rPr>
          <w:spacing w:val="-10"/>
        </w:rPr>
        <w:t> </w:t>
      </w:r>
      <w:r>
        <w:rPr/>
        <w:t>the</w:t>
      </w:r>
      <w:r>
        <w:rPr>
          <w:spacing w:val="-11"/>
        </w:rPr>
        <w:t> </w:t>
      </w:r>
      <w:r>
        <w:rPr/>
        <w:t>United</w:t>
      </w:r>
      <w:r>
        <w:rPr>
          <w:spacing w:val="-10"/>
        </w:rPr>
        <w:t> </w:t>
      </w:r>
      <w:r>
        <w:rPr/>
        <w:t>States,</w:t>
      </w:r>
      <w:r>
        <w:rPr>
          <w:spacing w:val="-10"/>
        </w:rPr>
        <w:t> </w:t>
      </w:r>
      <w:r>
        <w:rPr/>
        <w:t>a</w:t>
      </w:r>
      <w:r>
        <w:rPr>
          <w:spacing w:val="-10"/>
        </w:rPr>
        <w:t> </w:t>
      </w:r>
      <w:r>
        <w:rPr/>
        <w:t>study</w:t>
      </w:r>
      <w:r>
        <w:rPr>
          <w:spacing w:val="-11"/>
        </w:rPr>
        <w:t> </w:t>
      </w:r>
      <w:r>
        <w:rPr/>
        <w:t>that</w:t>
      </w:r>
      <w:r>
        <w:rPr>
          <w:spacing w:val="-10"/>
        </w:rPr>
        <w:t> </w:t>
      </w:r>
      <w:r>
        <w:rPr/>
        <w:t>used</w:t>
      </w:r>
      <w:r>
        <w:rPr>
          <w:spacing w:val="-10"/>
        </w:rPr>
        <w:t> </w:t>
      </w:r>
      <w:r>
        <w:rPr/>
        <w:t>a</w:t>
      </w:r>
      <w:r>
        <w:rPr>
          <w:spacing w:val="-11"/>
        </w:rPr>
        <w:t> </w:t>
      </w:r>
      <w:r>
        <w:rPr/>
        <w:t>Geographic Information</w:t>
      </w:r>
      <w:r>
        <w:rPr>
          <w:spacing w:val="-15"/>
        </w:rPr>
        <w:t> </w:t>
      </w:r>
      <w:r>
        <w:rPr/>
        <w:t>System</w:t>
      </w:r>
      <w:r>
        <w:rPr>
          <w:spacing w:val="-15"/>
        </w:rPr>
        <w:t> </w:t>
      </w:r>
      <w:r>
        <w:rPr/>
        <w:t>(GIS)</w:t>
      </w:r>
      <w:r>
        <w:rPr>
          <w:spacing w:val="-14"/>
        </w:rPr>
        <w:t> </w:t>
      </w:r>
      <w:r>
        <w:rPr/>
        <w:t>and</w:t>
      </w:r>
      <w:r>
        <w:rPr>
          <w:spacing w:val="-14"/>
        </w:rPr>
        <w:t> </w:t>
      </w:r>
      <w:r>
        <w:rPr/>
        <w:t>a</w:t>
      </w:r>
      <w:r>
        <w:rPr>
          <w:spacing w:val="-14"/>
        </w:rPr>
        <w:t> </w:t>
      </w:r>
      <w:r>
        <w:rPr/>
        <w:t>broad-based</w:t>
      </w:r>
      <w:r>
        <w:rPr>
          <w:spacing w:val="-14"/>
        </w:rPr>
        <w:t> </w:t>
      </w:r>
      <w:r>
        <w:rPr/>
        <w:t>economic</w:t>
      </w:r>
      <w:r>
        <w:rPr>
          <w:spacing w:val="-14"/>
        </w:rPr>
        <w:t> </w:t>
      </w:r>
      <w:r>
        <w:rPr/>
        <w:t>analysis (Dooley </w:t>
      </w:r>
      <w:r>
        <w:rPr>
          <w:i/>
        </w:rPr>
        <w:t>et al.</w:t>
      </w:r>
      <w:r>
        <w:rPr/>
        <w:t>, 2005) shows that about two-thirds of power stations are adjacent to potential geological storage locations, but a number would require transportation of hundreds of kilometres.</w:t>
      </w:r>
    </w:p>
    <w:p>
      <w:pPr>
        <w:pStyle w:val="BodyText"/>
        <w:spacing w:line="249" w:lineRule="auto" w:before="5"/>
        <w:ind w:left="157" w:right="38" w:firstLine="283"/>
        <w:jc w:val="both"/>
      </w:pPr>
      <w:r>
        <w:rPr/>
        <w:t>Studies of Canadian sedimentary basins that include descriptions of the type of data and flow diagrams of the assessment process have been carried out by Bachu (2003).</w:t>
      </w:r>
    </w:p>
    <w:p>
      <w:pPr>
        <w:pStyle w:val="BodyText"/>
        <w:spacing w:line="192" w:lineRule="auto"/>
        <w:ind w:left="440"/>
      </w:pPr>
      <w:r>
        <w:rPr/>
        <w:br w:type="column"/>
      </w:r>
      <w:r>
        <w:rPr/>
        <w:t>storage capacity depending on future CO</w:t>
      </w:r>
      <w:r>
        <w:rPr>
          <w:position w:val="-6"/>
          <w:sz w:val="11"/>
        </w:rPr>
        <w:t>2 </w:t>
      </w:r>
      <w:r>
        <w:rPr/>
        <w:t>values.</w:t>
      </w:r>
    </w:p>
    <w:p>
      <w:pPr>
        <w:pStyle w:val="ListParagraph"/>
        <w:numPr>
          <w:ilvl w:val="3"/>
          <w:numId w:val="4"/>
        </w:numPr>
        <w:tabs>
          <w:tab w:pos="977" w:val="left" w:leader="none"/>
        </w:tabs>
        <w:spacing w:line="240" w:lineRule="auto" w:before="206" w:after="0"/>
        <w:ind w:left="977" w:right="0" w:hanging="820"/>
        <w:jc w:val="both"/>
        <w:rPr>
          <w:i/>
          <w:sz w:val="20"/>
        </w:rPr>
      </w:pPr>
      <w:r>
        <w:rPr>
          <w:i/>
          <w:sz w:val="20"/>
        </w:rPr>
        <w:t>Methodology and assessment criteria</w:t>
      </w:r>
    </w:p>
    <w:p>
      <w:pPr>
        <w:pStyle w:val="BodyText"/>
        <w:spacing w:line="240" w:lineRule="exact" w:before="5"/>
        <w:ind w:left="157" w:right="529"/>
        <w:jc w:val="both"/>
      </w:pPr>
      <w:r>
        <w:rPr/>
        <w:t>Although</w:t>
      </w:r>
      <w:r>
        <w:rPr>
          <w:spacing w:val="-24"/>
        </w:rPr>
        <w:t> </w:t>
      </w:r>
      <w:r>
        <w:rPr/>
        <w:t>some</w:t>
      </w:r>
      <w:r>
        <w:rPr>
          <w:spacing w:val="-23"/>
        </w:rPr>
        <w:t> </w:t>
      </w:r>
      <w:r>
        <w:rPr/>
        <w:t>commonality</w:t>
      </w:r>
      <w:r>
        <w:rPr>
          <w:spacing w:val="-23"/>
        </w:rPr>
        <w:t> </w:t>
      </w:r>
      <w:r>
        <w:rPr/>
        <w:t>exists</w:t>
      </w:r>
      <w:r>
        <w:rPr>
          <w:spacing w:val="-22"/>
        </w:rPr>
        <w:t> </w:t>
      </w:r>
      <w:r>
        <w:rPr/>
        <w:t>in</w:t>
      </w:r>
      <w:r>
        <w:rPr>
          <w:spacing w:val="-22"/>
        </w:rPr>
        <w:t> </w:t>
      </w:r>
      <w:r>
        <w:rPr/>
        <w:t>the</w:t>
      </w:r>
      <w:r>
        <w:rPr>
          <w:spacing w:val="-22"/>
        </w:rPr>
        <w:t> </w:t>
      </w:r>
      <w:r>
        <w:rPr/>
        <w:t>various</w:t>
      </w:r>
      <w:r>
        <w:rPr>
          <w:spacing w:val="-23"/>
        </w:rPr>
        <w:t> </w:t>
      </w:r>
      <w:r>
        <w:rPr/>
        <w:t>approaches</w:t>
      </w:r>
      <w:r>
        <w:rPr>
          <w:spacing w:val="-22"/>
        </w:rPr>
        <w:t> </w:t>
      </w:r>
      <w:r>
        <w:rPr/>
        <w:t>for capacity assessment, each study is influenced by the available data</w:t>
      </w:r>
      <w:r>
        <w:rPr>
          <w:spacing w:val="-12"/>
        </w:rPr>
        <w:t> </w:t>
      </w:r>
      <w:r>
        <w:rPr/>
        <w:t>and</w:t>
      </w:r>
      <w:r>
        <w:rPr>
          <w:spacing w:val="-11"/>
        </w:rPr>
        <w:t> </w:t>
      </w:r>
      <w:r>
        <w:rPr/>
        <w:t>resources,</w:t>
      </w:r>
      <w:r>
        <w:rPr>
          <w:spacing w:val="-11"/>
        </w:rPr>
        <w:t> </w:t>
      </w:r>
      <w:r>
        <w:rPr/>
        <w:t>the</w:t>
      </w:r>
      <w:r>
        <w:rPr>
          <w:spacing w:val="-11"/>
        </w:rPr>
        <w:t> </w:t>
      </w:r>
      <w:r>
        <w:rPr/>
        <w:t>aims</w:t>
      </w:r>
      <w:r>
        <w:rPr>
          <w:spacing w:val="-11"/>
        </w:rPr>
        <w:t> </w:t>
      </w:r>
      <w:r>
        <w:rPr/>
        <w:t>of</w:t>
      </w:r>
      <w:r>
        <w:rPr>
          <w:spacing w:val="-11"/>
        </w:rPr>
        <w:t> </w:t>
      </w:r>
      <w:r>
        <w:rPr/>
        <w:t>the</w:t>
      </w:r>
      <w:r>
        <w:rPr>
          <w:spacing w:val="-11"/>
        </w:rPr>
        <w:t> </w:t>
      </w:r>
      <w:r>
        <w:rPr/>
        <w:t>respective</w:t>
      </w:r>
      <w:r>
        <w:rPr>
          <w:spacing w:val="-11"/>
        </w:rPr>
        <w:t> </w:t>
      </w:r>
      <w:r>
        <w:rPr/>
        <w:t>study</w:t>
      </w:r>
      <w:r>
        <w:rPr>
          <w:spacing w:val="-11"/>
        </w:rPr>
        <w:t> </w:t>
      </w:r>
      <w:r>
        <w:rPr/>
        <w:t>and</w:t>
      </w:r>
      <w:r>
        <w:rPr>
          <w:spacing w:val="-11"/>
        </w:rPr>
        <w:t> </w:t>
      </w:r>
      <w:r>
        <w:rPr/>
        <w:t>whether local</w:t>
      </w:r>
      <w:r>
        <w:rPr>
          <w:spacing w:val="-11"/>
        </w:rPr>
        <w:t> </w:t>
      </w:r>
      <w:r>
        <w:rPr/>
        <w:t>or</w:t>
      </w:r>
      <w:r>
        <w:rPr>
          <w:spacing w:val="-10"/>
        </w:rPr>
        <w:t> </w:t>
      </w:r>
      <w:r>
        <w:rPr/>
        <w:t>whole-region</w:t>
      </w:r>
      <w:r>
        <w:rPr>
          <w:spacing w:val="-10"/>
        </w:rPr>
        <w:t> </w:t>
      </w:r>
      <w:r>
        <w:rPr/>
        <w:t>solutions</w:t>
      </w:r>
      <w:r>
        <w:rPr>
          <w:spacing w:val="-11"/>
        </w:rPr>
        <w:t> </w:t>
      </w:r>
      <w:r>
        <w:rPr/>
        <w:t>are</w:t>
      </w:r>
      <w:r>
        <w:rPr>
          <w:spacing w:val="-10"/>
        </w:rPr>
        <w:t> </w:t>
      </w:r>
      <w:r>
        <w:rPr/>
        <w:t>being</w:t>
      </w:r>
      <w:r>
        <w:rPr>
          <w:spacing w:val="-11"/>
        </w:rPr>
        <w:t> </w:t>
      </w:r>
      <w:r>
        <w:rPr/>
        <w:t>sought.</w:t>
      </w:r>
      <w:r>
        <w:rPr>
          <w:spacing w:val="-13"/>
        </w:rPr>
        <w:t> </w:t>
      </w:r>
      <w:r>
        <w:rPr/>
        <w:t>The</w:t>
      </w:r>
      <w:r>
        <w:rPr>
          <w:spacing w:val="-11"/>
        </w:rPr>
        <w:t> </w:t>
      </w:r>
      <w:r>
        <w:rPr/>
        <w:t>next</w:t>
      </w:r>
      <w:r>
        <w:rPr>
          <w:spacing w:val="-10"/>
        </w:rPr>
        <w:t> </w:t>
      </w:r>
      <w:r>
        <w:rPr/>
        <w:t>level of analysis covers regional aspects and detail at the prospect </w:t>
      </w:r>
      <w:r>
        <w:rPr>
          <w:spacing w:val="-7"/>
        </w:rPr>
        <w:t>or </w:t>
      </w:r>
      <w:r>
        <w:rPr/>
        <w:t>project</w:t>
      </w:r>
      <w:r>
        <w:rPr>
          <w:spacing w:val="-12"/>
        </w:rPr>
        <w:t> </w:t>
      </w:r>
      <w:r>
        <w:rPr/>
        <w:t>level,</w:t>
      </w:r>
      <w:r>
        <w:rPr>
          <w:spacing w:val="-11"/>
        </w:rPr>
        <w:t> </w:t>
      </w:r>
      <w:r>
        <w:rPr/>
        <w:t>including</w:t>
      </w:r>
      <w:r>
        <w:rPr>
          <w:spacing w:val="-12"/>
        </w:rPr>
        <w:t> </w:t>
      </w:r>
      <w:r>
        <w:rPr/>
        <w:t>screening</w:t>
      </w:r>
      <w:r>
        <w:rPr>
          <w:spacing w:val="-11"/>
        </w:rPr>
        <w:t> </w:t>
      </w:r>
      <w:r>
        <w:rPr/>
        <w:t>and</w:t>
      </w:r>
      <w:r>
        <w:rPr>
          <w:spacing w:val="-11"/>
        </w:rPr>
        <w:t> </w:t>
      </w:r>
      <w:r>
        <w:rPr/>
        <w:t>selection</w:t>
      </w:r>
      <w:r>
        <w:rPr>
          <w:spacing w:val="-12"/>
        </w:rPr>
        <w:t> </w:t>
      </w:r>
      <w:r>
        <w:rPr/>
        <w:t>of</w:t>
      </w:r>
      <w:r>
        <w:rPr>
          <w:spacing w:val="-11"/>
        </w:rPr>
        <w:t> </w:t>
      </w:r>
      <w:r>
        <w:rPr/>
        <w:t>potential</w:t>
      </w:r>
      <w:r>
        <w:rPr>
          <w:spacing w:val="-11"/>
        </w:rPr>
        <w:t> </w:t>
      </w:r>
      <w:r>
        <w:rPr/>
        <w:t>CO</w:t>
      </w:r>
      <w:r>
        <w:rPr>
          <w:position w:val="-6"/>
          <w:sz w:val="11"/>
        </w:rPr>
        <w:t>2 </w:t>
      </w:r>
      <w:r>
        <w:rPr/>
        <w:t>storage</w:t>
      </w:r>
      <w:r>
        <w:rPr>
          <w:spacing w:val="-13"/>
        </w:rPr>
        <w:t> </w:t>
      </w:r>
      <w:r>
        <w:rPr/>
        <w:t>sites</w:t>
      </w:r>
      <w:r>
        <w:rPr>
          <w:spacing w:val="-13"/>
        </w:rPr>
        <w:t> </w:t>
      </w:r>
      <w:r>
        <w:rPr/>
        <w:t>on</w:t>
      </w:r>
      <w:r>
        <w:rPr>
          <w:spacing w:val="-12"/>
        </w:rPr>
        <w:t> </w:t>
      </w:r>
      <w:r>
        <w:rPr/>
        <w:t>the</w:t>
      </w:r>
      <w:r>
        <w:rPr>
          <w:spacing w:val="-13"/>
        </w:rPr>
        <w:t> </w:t>
      </w:r>
      <w:r>
        <w:rPr/>
        <w:t>basis</w:t>
      </w:r>
      <w:r>
        <w:rPr>
          <w:spacing w:val="-12"/>
        </w:rPr>
        <w:t> </w:t>
      </w:r>
      <w:r>
        <w:rPr/>
        <w:t>of</w:t>
      </w:r>
      <w:r>
        <w:rPr>
          <w:spacing w:val="-13"/>
        </w:rPr>
        <w:t> </w:t>
      </w:r>
      <w:r>
        <w:rPr/>
        <w:t>technical,</w:t>
      </w:r>
      <w:r>
        <w:rPr>
          <w:spacing w:val="-12"/>
        </w:rPr>
        <w:t> </w:t>
      </w:r>
      <w:r>
        <w:rPr/>
        <w:t>environmental,</w:t>
      </w:r>
      <w:r>
        <w:rPr>
          <w:spacing w:val="-13"/>
        </w:rPr>
        <w:t> </w:t>
      </w:r>
      <w:r>
        <w:rPr/>
        <w:t>safety</w:t>
      </w:r>
      <w:r>
        <w:rPr>
          <w:spacing w:val="-13"/>
        </w:rPr>
        <w:t> </w:t>
      </w:r>
      <w:r>
        <w:rPr/>
        <w:t>and economic criteria. </w:t>
      </w:r>
      <w:r>
        <w:rPr>
          <w:spacing w:val="-3"/>
        </w:rPr>
        <w:t>Finally, </w:t>
      </w:r>
      <w:r>
        <w:rPr/>
        <w:t>integration and analysis of various scenarios can lead to identification of potential storage sites that should then become targets of detailed engineering and economic</w:t>
      </w:r>
      <w:r>
        <w:rPr>
          <w:spacing w:val="-1"/>
        </w:rPr>
        <w:t> </w:t>
      </w:r>
      <w:r>
        <w:rPr/>
        <w:t>studies.</w:t>
      </w:r>
    </w:p>
    <w:p>
      <w:pPr>
        <w:pStyle w:val="BodyText"/>
        <w:spacing w:line="240" w:lineRule="exact"/>
        <w:ind w:left="157" w:right="530" w:firstLine="283"/>
        <w:jc w:val="both"/>
      </w:pPr>
      <w:r>
        <w:rPr/>
        <w:t>The following factors should be considered when selecting CO</w:t>
      </w:r>
      <w:r>
        <w:rPr>
          <w:position w:val="-6"/>
          <w:sz w:val="11"/>
        </w:rPr>
        <w:t>2 </w:t>
      </w:r>
      <w:r>
        <w:rPr/>
        <w:t>storage sites and matching them with CO</w:t>
      </w:r>
      <w:r>
        <w:rPr>
          <w:position w:val="-6"/>
          <w:sz w:val="11"/>
        </w:rPr>
        <w:t>2 </w:t>
      </w:r>
      <w:r>
        <w:rPr/>
        <w:t>sources (Winter and Bergman, 1993; Bergman </w:t>
      </w:r>
      <w:r>
        <w:rPr>
          <w:i/>
        </w:rPr>
        <w:t>et al.</w:t>
      </w:r>
      <w:r>
        <w:rPr/>
        <w:t>, 1997; Kovscek, 2002): volume, purity and rate of the CO</w:t>
      </w:r>
      <w:r>
        <w:rPr>
          <w:position w:val="-6"/>
          <w:sz w:val="11"/>
        </w:rPr>
        <w:t>2 </w:t>
      </w:r>
      <w:r>
        <w:rPr/>
        <w:t>stream; suitability of the storage sites, including the seal; proximity of the source and storage sites; infrastructure for the capture and delivery of CO</w:t>
      </w:r>
      <w:r>
        <w:rPr>
          <w:position w:val="-6"/>
          <w:sz w:val="11"/>
        </w:rPr>
        <w:t>2</w:t>
      </w:r>
      <w:r>
        <w:rPr/>
        <w:t>; existence of a large number of storage sites to allow diversification; known or undiscovered </w:t>
      </w:r>
      <w:r>
        <w:rPr>
          <w:spacing w:val="-3"/>
        </w:rPr>
        <w:t>energy, </w:t>
      </w:r>
      <w:r>
        <w:rPr/>
        <w:t>mineral </w:t>
      </w:r>
      <w:r>
        <w:rPr>
          <w:spacing w:val="-7"/>
        </w:rPr>
        <w:t>or </w:t>
      </w:r>
      <w:r>
        <w:rPr/>
        <w:t>groundwater resources that might be compromised; existing wells and infrastructure; viability and safety of the storage site; injection strategies and, in the case of EOR and ECBM, production</w:t>
      </w:r>
      <w:r>
        <w:rPr>
          <w:spacing w:val="-12"/>
        </w:rPr>
        <w:t> </w:t>
      </w:r>
      <w:r>
        <w:rPr/>
        <w:t>strategies,</w:t>
      </w:r>
      <w:r>
        <w:rPr>
          <w:spacing w:val="-12"/>
        </w:rPr>
        <w:t> </w:t>
      </w:r>
      <w:r>
        <w:rPr/>
        <w:t>which</w:t>
      </w:r>
      <w:r>
        <w:rPr>
          <w:spacing w:val="-11"/>
        </w:rPr>
        <w:t> </w:t>
      </w:r>
      <w:r>
        <w:rPr/>
        <w:t>together</w:t>
      </w:r>
      <w:r>
        <w:rPr>
          <w:spacing w:val="-12"/>
        </w:rPr>
        <w:t> </w:t>
      </w:r>
      <w:r>
        <w:rPr/>
        <w:t>affect</w:t>
      </w:r>
      <w:r>
        <w:rPr>
          <w:spacing w:val="-12"/>
        </w:rPr>
        <w:t> </w:t>
      </w:r>
      <w:r>
        <w:rPr/>
        <w:t>the</w:t>
      </w:r>
      <w:r>
        <w:rPr>
          <w:spacing w:val="-11"/>
        </w:rPr>
        <w:t> </w:t>
      </w:r>
      <w:r>
        <w:rPr/>
        <w:t>number</w:t>
      </w:r>
      <w:r>
        <w:rPr>
          <w:spacing w:val="-12"/>
        </w:rPr>
        <w:t> </w:t>
      </w:r>
      <w:r>
        <w:rPr/>
        <w:t>of</w:t>
      </w:r>
      <w:r>
        <w:rPr>
          <w:spacing w:val="-12"/>
        </w:rPr>
        <w:t> </w:t>
      </w:r>
      <w:r>
        <w:rPr/>
        <w:t>wells and</w:t>
      </w:r>
      <w:r>
        <w:rPr>
          <w:spacing w:val="-20"/>
        </w:rPr>
        <w:t> </w:t>
      </w:r>
      <w:r>
        <w:rPr/>
        <w:t>their</w:t>
      </w:r>
      <w:r>
        <w:rPr>
          <w:spacing w:val="-20"/>
        </w:rPr>
        <w:t> </w:t>
      </w:r>
      <w:r>
        <w:rPr/>
        <w:t>spacing;</w:t>
      </w:r>
      <w:r>
        <w:rPr>
          <w:spacing w:val="-21"/>
        </w:rPr>
        <w:t> </w:t>
      </w:r>
      <w:r>
        <w:rPr/>
        <w:t>terrain</w:t>
      </w:r>
      <w:r>
        <w:rPr>
          <w:spacing w:val="-20"/>
        </w:rPr>
        <w:t> </w:t>
      </w:r>
      <w:r>
        <w:rPr/>
        <w:t>and</w:t>
      </w:r>
      <w:r>
        <w:rPr>
          <w:spacing w:val="-20"/>
        </w:rPr>
        <w:t> </w:t>
      </w:r>
      <w:r>
        <w:rPr/>
        <w:t>right</w:t>
      </w:r>
      <w:r>
        <w:rPr>
          <w:spacing w:val="-20"/>
        </w:rPr>
        <w:t> </w:t>
      </w:r>
      <w:r>
        <w:rPr/>
        <w:t>of</w:t>
      </w:r>
      <w:r>
        <w:rPr>
          <w:spacing w:val="-20"/>
        </w:rPr>
        <w:t> </w:t>
      </w:r>
      <w:r>
        <w:rPr/>
        <w:t>way;</w:t>
      </w:r>
      <w:r>
        <w:rPr>
          <w:spacing w:val="-21"/>
        </w:rPr>
        <w:t> </w:t>
      </w:r>
      <w:r>
        <w:rPr/>
        <w:t>location</w:t>
      </w:r>
      <w:r>
        <w:rPr>
          <w:spacing w:val="-20"/>
        </w:rPr>
        <w:t> </w:t>
      </w:r>
      <w:r>
        <w:rPr/>
        <w:t>of</w:t>
      </w:r>
      <w:r>
        <w:rPr>
          <w:spacing w:val="-20"/>
        </w:rPr>
        <w:t> </w:t>
      </w:r>
      <w:r>
        <w:rPr/>
        <w:t>population centres; local expertise; and overall costs and economics.</w:t>
      </w:r>
    </w:p>
    <w:p>
      <w:pPr>
        <w:pStyle w:val="BodyText"/>
        <w:spacing w:line="249" w:lineRule="auto" w:before="6"/>
        <w:ind w:left="157" w:right="531" w:firstLine="283"/>
        <w:jc w:val="both"/>
      </w:pPr>
      <w:r>
        <w:rPr/>
        <w:t>Although technical suitability criteria are initial indicators for identifying potential CO</w:t>
      </w:r>
      <w:r>
        <w:rPr>
          <w:position w:val="-6"/>
          <w:sz w:val="11"/>
        </w:rPr>
        <w:t>2 </w:t>
      </w:r>
      <w:r>
        <w:rPr/>
        <w:t>storage sites, once the best</w:t>
      </w:r>
    </w:p>
    <w:p>
      <w:pPr>
        <w:spacing w:after="0" w:line="249" w:lineRule="auto"/>
        <w:jc w:val="both"/>
        <w:sectPr>
          <w:type w:val="continuous"/>
          <w:pgSz w:w="12240" w:h="15840"/>
          <w:pgMar w:top="400" w:bottom="280" w:left="580" w:right="600"/>
          <w:cols w:num="2" w:equalWidth="0">
            <w:col w:w="5241" w:space="85"/>
            <w:col w:w="5734"/>
          </w:cols>
        </w:sectPr>
      </w:pPr>
    </w:p>
    <w:p>
      <w:pPr>
        <w:pStyle w:val="BodyText"/>
      </w:pPr>
    </w:p>
    <w:p>
      <w:pPr>
        <w:spacing w:after="0"/>
        <w:sectPr>
          <w:pgSz w:w="12240" w:h="15840"/>
          <w:pgMar w:header="567" w:footer="0" w:top="760" w:bottom="280" w:left="580" w:right="600"/>
        </w:sectPr>
      </w:pPr>
    </w:p>
    <w:p>
      <w:pPr>
        <w:pStyle w:val="BodyText"/>
        <w:spacing w:before="9"/>
        <w:rPr>
          <w:sz w:val="21"/>
        </w:rPr>
      </w:pPr>
    </w:p>
    <w:p>
      <w:pPr>
        <w:pStyle w:val="BodyText"/>
        <w:spacing w:line="240" w:lineRule="exact"/>
        <w:ind w:left="553"/>
        <w:jc w:val="both"/>
      </w:pPr>
      <w:bookmarkStart w:name="5.4 Characterization and performance pre" w:id="57"/>
      <w:bookmarkEnd w:id="57"/>
      <w:r>
        <w:rPr/>
      </w:r>
      <w:bookmarkStart w:name="5.4.1 Characterization of identified sit" w:id="58"/>
      <w:bookmarkEnd w:id="58"/>
      <w:r>
        <w:rPr/>
      </w:r>
      <w:r>
        <w:rPr/>
        <w:t>candidates have been selected, further considerations will be controlled by economic, safety and environmental aspects. These criteria must be assessed for the anticipated lifetime </w:t>
      </w:r>
      <w:r>
        <w:rPr>
          <w:spacing w:val="-6"/>
        </w:rPr>
        <w:t>of </w:t>
      </w:r>
      <w:r>
        <w:rPr/>
        <w:t>the operation, to ascertain whether storage capacity can match supply volume and whether injection rates can match the supply rate. Other issues might include whether CO</w:t>
      </w:r>
      <w:r>
        <w:rPr>
          <w:position w:val="-6"/>
          <w:sz w:val="11"/>
        </w:rPr>
        <w:t>2 </w:t>
      </w:r>
      <w:r>
        <w:rPr/>
        <w:t>sources and storage sites are matched on a one-to-one basis or whether a collection and distribution system is implemented, to form an integrated industrial system. Such deliberations affect cost outcomes, as will the supply rates, through economies of  scale. Early opportunities for source-storage matching could involve sites where an economic benefit might accrue through the enhanced production of oil or gas (Holtz </w:t>
      </w:r>
      <w:r>
        <w:rPr>
          <w:i/>
        </w:rPr>
        <w:t>et al.</w:t>
      </w:r>
      <w:r>
        <w:rPr/>
        <w:t>, 2001; van Bergen </w:t>
      </w:r>
      <w:r>
        <w:rPr>
          <w:i/>
        </w:rPr>
        <w:t>et al.</w:t>
      </w:r>
      <w:r>
        <w:rPr/>
        <w:t>,</w:t>
      </w:r>
      <w:r>
        <w:rPr>
          <w:spacing w:val="-1"/>
        </w:rPr>
        <w:t> </w:t>
      </w:r>
      <w:r>
        <w:rPr/>
        <w:t>2003b).</w:t>
      </w:r>
    </w:p>
    <w:p>
      <w:pPr>
        <w:pStyle w:val="BodyText"/>
        <w:spacing w:line="240" w:lineRule="exact"/>
        <w:ind w:left="553" w:firstLine="283"/>
        <w:jc w:val="both"/>
      </w:pPr>
      <w:r>
        <w:rPr/>
        <w:t>Assigning technical risks is important for matching of CO</w:t>
      </w:r>
      <w:r>
        <w:rPr>
          <w:position w:val="-6"/>
          <w:sz w:val="11"/>
        </w:rPr>
        <w:t>2 </w:t>
      </w:r>
      <w:r>
        <w:rPr/>
        <w:t>sources</w:t>
      </w:r>
      <w:r>
        <w:rPr>
          <w:spacing w:val="-6"/>
        </w:rPr>
        <w:t> </w:t>
      </w:r>
      <w:r>
        <w:rPr/>
        <w:t>and</w:t>
      </w:r>
      <w:r>
        <w:rPr>
          <w:spacing w:val="-5"/>
        </w:rPr>
        <w:t> </w:t>
      </w:r>
      <w:r>
        <w:rPr/>
        <w:t>storage</w:t>
      </w:r>
      <w:r>
        <w:rPr>
          <w:spacing w:val="-5"/>
        </w:rPr>
        <w:t> </w:t>
      </w:r>
      <w:r>
        <w:rPr/>
        <w:t>sites,</w:t>
      </w:r>
      <w:r>
        <w:rPr>
          <w:spacing w:val="-5"/>
        </w:rPr>
        <w:t> </w:t>
      </w:r>
      <w:r>
        <w:rPr/>
        <w:t>for</w:t>
      </w:r>
      <w:r>
        <w:rPr>
          <w:spacing w:val="-6"/>
        </w:rPr>
        <w:t> </w:t>
      </w:r>
      <w:r>
        <w:rPr/>
        <w:t>five</w:t>
      </w:r>
      <w:r>
        <w:rPr>
          <w:spacing w:val="-5"/>
        </w:rPr>
        <w:t> </w:t>
      </w:r>
      <w:r>
        <w:rPr/>
        <w:t>risk</w:t>
      </w:r>
      <w:r>
        <w:rPr>
          <w:spacing w:val="-5"/>
        </w:rPr>
        <w:t> </w:t>
      </w:r>
      <w:r>
        <w:rPr/>
        <w:t>factors:</w:t>
      </w:r>
      <w:r>
        <w:rPr>
          <w:spacing w:val="-5"/>
        </w:rPr>
        <w:t> </w:t>
      </w:r>
      <w:r>
        <w:rPr/>
        <w:t>storage</w:t>
      </w:r>
      <w:r>
        <w:rPr>
          <w:spacing w:val="-5"/>
        </w:rPr>
        <w:t> </w:t>
      </w:r>
      <w:r>
        <w:rPr/>
        <w:t>capacity, injectivity, containment, site and natural resources (Bradshaw </w:t>
      </w:r>
      <w:r>
        <w:rPr>
          <w:i/>
        </w:rPr>
        <w:t>et al.</w:t>
      </w:r>
      <w:r>
        <w:rPr/>
        <w:t>, 2002, 2003). These screening criteria introduce reality checks to large storage-capacity estimates and indicate which regions</w:t>
      </w:r>
      <w:r>
        <w:rPr>
          <w:spacing w:val="-15"/>
        </w:rPr>
        <w:t> </w:t>
      </w:r>
      <w:r>
        <w:rPr/>
        <w:t>to</w:t>
      </w:r>
      <w:r>
        <w:rPr>
          <w:spacing w:val="-15"/>
        </w:rPr>
        <w:t> </w:t>
      </w:r>
      <w:r>
        <w:rPr/>
        <w:t>concentrate</w:t>
      </w:r>
      <w:r>
        <w:rPr>
          <w:spacing w:val="-15"/>
        </w:rPr>
        <w:t> </w:t>
      </w:r>
      <w:r>
        <w:rPr/>
        <w:t>upon</w:t>
      </w:r>
      <w:r>
        <w:rPr>
          <w:spacing w:val="-14"/>
        </w:rPr>
        <w:t> </w:t>
      </w:r>
      <w:r>
        <w:rPr/>
        <w:t>in</w:t>
      </w:r>
      <w:r>
        <w:rPr>
          <w:spacing w:val="-15"/>
        </w:rPr>
        <w:t> </w:t>
      </w:r>
      <w:r>
        <w:rPr/>
        <w:t>future</w:t>
      </w:r>
      <w:r>
        <w:rPr>
          <w:spacing w:val="-15"/>
        </w:rPr>
        <w:t> </w:t>
      </w:r>
      <w:r>
        <w:rPr/>
        <w:t>detailed</w:t>
      </w:r>
      <w:r>
        <w:rPr>
          <w:spacing w:val="-14"/>
        </w:rPr>
        <w:t> </w:t>
      </w:r>
      <w:r>
        <w:rPr/>
        <w:t>studies.</w:t>
      </w:r>
      <w:r>
        <w:rPr>
          <w:spacing w:val="-19"/>
        </w:rPr>
        <w:t> </w:t>
      </w:r>
      <w:r>
        <w:rPr/>
        <w:t>The</w:t>
      </w:r>
      <w:r>
        <w:rPr>
          <w:spacing w:val="-15"/>
        </w:rPr>
        <w:t> </w:t>
      </w:r>
      <w:r>
        <w:rPr/>
        <w:t>use</w:t>
      </w:r>
      <w:r>
        <w:rPr>
          <w:spacing w:val="-14"/>
        </w:rPr>
        <w:t> </w:t>
      </w:r>
      <w:r>
        <w:rPr/>
        <w:t>of ‘cost curve’ capacity introduces another level of sophistication that helps in identifying how sensitive any storage capacity estimate is to the cost of CO</w:t>
      </w:r>
      <w:r>
        <w:rPr>
          <w:position w:val="-6"/>
          <w:sz w:val="11"/>
        </w:rPr>
        <w:t>2</w:t>
      </w:r>
      <w:r>
        <w:rPr/>
        <w:t>. Combining the technical criteria into an economic assessment reveals that costs are </w:t>
      </w:r>
      <w:r>
        <w:rPr>
          <w:spacing w:val="-3"/>
        </w:rPr>
        <w:t>quite </w:t>
      </w:r>
      <w:r>
        <w:rPr/>
        <w:t>project-specific.</w:t>
      </w:r>
    </w:p>
    <w:p>
      <w:pPr>
        <w:pStyle w:val="BodyText"/>
        <w:spacing w:before="4"/>
        <w:rPr>
          <w:sz w:val="21"/>
        </w:rPr>
      </w:pPr>
    </w:p>
    <w:p>
      <w:pPr>
        <w:pStyle w:val="Heading1"/>
        <w:numPr>
          <w:ilvl w:val="1"/>
          <w:numId w:val="7"/>
        </w:numPr>
        <w:tabs>
          <w:tab w:pos="1262" w:val="left" w:leader="none"/>
          <w:tab w:pos="1263" w:val="left" w:leader="none"/>
        </w:tabs>
        <w:spacing w:line="240" w:lineRule="auto" w:before="0" w:after="0"/>
        <w:ind w:left="1262" w:right="0" w:hanging="710"/>
        <w:jc w:val="left"/>
      </w:pPr>
      <w:r>
        <w:rPr/>
        <w:t>Characterization and performance prediction</w:t>
      </w:r>
      <w:r>
        <w:rPr>
          <w:spacing w:val="-32"/>
        </w:rPr>
        <w:t> </w:t>
      </w:r>
      <w:r>
        <w:rPr/>
        <w:t>for</w:t>
      </w:r>
    </w:p>
    <w:p>
      <w:pPr>
        <w:spacing w:before="10"/>
        <w:ind w:left="1262" w:right="0" w:firstLine="0"/>
        <w:jc w:val="left"/>
        <w:rPr>
          <w:b/>
          <w:sz w:val="20"/>
        </w:rPr>
      </w:pPr>
      <w:r>
        <w:rPr>
          <w:b/>
          <w:sz w:val="20"/>
        </w:rPr>
        <w:t>identified</w:t>
      </w:r>
      <w:r>
        <w:rPr>
          <w:b/>
          <w:spacing w:val="-16"/>
          <w:sz w:val="20"/>
        </w:rPr>
        <w:t> </w:t>
      </w:r>
      <w:r>
        <w:rPr>
          <w:b/>
          <w:sz w:val="20"/>
        </w:rPr>
        <w:t>sites</w:t>
      </w:r>
    </w:p>
    <w:p>
      <w:pPr>
        <w:pStyle w:val="BodyText"/>
        <w:spacing w:before="3"/>
        <w:rPr>
          <w:b/>
          <w:sz w:val="21"/>
        </w:rPr>
      </w:pPr>
    </w:p>
    <w:p>
      <w:pPr>
        <w:pStyle w:val="BodyText"/>
        <w:spacing w:line="240" w:lineRule="exact"/>
        <w:ind w:left="553" w:right="1"/>
        <w:jc w:val="both"/>
      </w:pPr>
      <w:r>
        <w:rPr/>
        <w:t>Key goals for geological CO</w:t>
      </w:r>
      <w:r>
        <w:rPr>
          <w:position w:val="-6"/>
          <w:sz w:val="11"/>
        </w:rPr>
        <w:t>2 </w:t>
      </w:r>
      <w:r>
        <w:rPr/>
        <w:t>storage site characterization are to</w:t>
      </w:r>
      <w:r>
        <w:rPr>
          <w:spacing w:val="-8"/>
        </w:rPr>
        <w:t> </w:t>
      </w:r>
      <w:r>
        <w:rPr/>
        <w:t>assess</w:t>
      </w:r>
      <w:r>
        <w:rPr>
          <w:spacing w:val="-7"/>
        </w:rPr>
        <w:t> </w:t>
      </w:r>
      <w:r>
        <w:rPr/>
        <w:t>how</w:t>
      </w:r>
      <w:r>
        <w:rPr>
          <w:spacing w:val="-7"/>
        </w:rPr>
        <w:t> </w:t>
      </w:r>
      <w:r>
        <w:rPr/>
        <w:t>much</w:t>
      </w:r>
      <w:r>
        <w:rPr>
          <w:spacing w:val="-7"/>
        </w:rPr>
        <w:t> </w:t>
      </w:r>
      <w:r>
        <w:rPr/>
        <w:t>CO</w:t>
      </w:r>
      <w:r>
        <w:rPr>
          <w:position w:val="-6"/>
          <w:sz w:val="11"/>
        </w:rPr>
        <w:t>2</w:t>
      </w:r>
      <w:r>
        <w:rPr>
          <w:spacing w:val="16"/>
          <w:position w:val="-6"/>
          <w:sz w:val="11"/>
        </w:rPr>
        <w:t> </w:t>
      </w:r>
      <w:r>
        <w:rPr/>
        <w:t>can</w:t>
      </w:r>
      <w:r>
        <w:rPr>
          <w:spacing w:val="-7"/>
        </w:rPr>
        <w:t> </w:t>
      </w:r>
      <w:r>
        <w:rPr/>
        <w:t>be</w:t>
      </w:r>
      <w:r>
        <w:rPr>
          <w:spacing w:val="-7"/>
        </w:rPr>
        <w:t> </w:t>
      </w:r>
      <w:r>
        <w:rPr/>
        <w:t>stored</w:t>
      </w:r>
      <w:r>
        <w:rPr>
          <w:spacing w:val="-7"/>
        </w:rPr>
        <w:t> </w:t>
      </w:r>
      <w:r>
        <w:rPr/>
        <w:t>at</w:t>
      </w:r>
      <w:r>
        <w:rPr>
          <w:spacing w:val="-7"/>
        </w:rPr>
        <w:t> </w:t>
      </w:r>
      <w:r>
        <w:rPr/>
        <w:t>a</w:t>
      </w:r>
      <w:r>
        <w:rPr>
          <w:spacing w:val="-7"/>
        </w:rPr>
        <w:t> </w:t>
      </w:r>
      <w:r>
        <w:rPr/>
        <w:t>potential</w:t>
      </w:r>
      <w:r>
        <w:rPr>
          <w:spacing w:val="-7"/>
        </w:rPr>
        <w:t> </w:t>
      </w:r>
      <w:r>
        <w:rPr/>
        <w:t>storage</w:t>
      </w:r>
      <w:r>
        <w:rPr>
          <w:spacing w:val="-7"/>
        </w:rPr>
        <w:t> </w:t>
      </w:r>
      <w:r>
        <w:rPr/>
        <w:t>site and to demonstrate that the site is capable of meeting required storage</w:t>
      </w:r>
      <w:r>
        <w:rPr>
          <w:spacing w:val="-12"/>
        </w:rPr>
        <w:t> </w:t>
      </w:r>
      <w:r>
        <w:rPr/>
        <w:t>performance</w:t>
      </w:r>
      <w:r>
        <w:rPr>
          <w:spacing w:val="-11"/>
        </w:rPr>
        <w:t> </w:t>
      </w:r>
      <w:r>
        <w:rPr/>
        <w:t>criteria</w:t>
      </w:r>
      <w:r>
        <w:rPr>
          <w:spacing w:val="-12"/>
        </w:rPr>
        <w:t> </w:t>
      </w:r>
      <w:hyperlink w:history="true" w:anchor="_bookmark32">
        <w:r>
          <w:rPr/>
          <w:t>(Figure</w:t>
        </w:r>
        <w:r>
          <w:rPr>
            <w:spacing w:val="-11"/>
          </w:rPr>
          <w:t> </w:t>
        </w:r>
        <w:r>
          <w:rPr/>
          <w:t>5.19).</w:t>
        </w:r>
        <w:r>
          <w:rPr>
            <w:spacing w:val="-12"/>
          </w:rPr>
          <w:t> </w:t>
        </w:r>
      </w:hyperlink>
      <w:r>
        <w:rPr/>
        <w:t>Site</w:t>
      </w:r>
      <w:r>
        <w:rPr>
          <w:spacing w:val="-11"/>
        </w:rPr>
        <w:t> </w:t>
      </w:r>
      <w:r>
        <w:rPr/>
        <w:t>characterization requires the collection of the wide variety of geological </w:t>
      </w:r>
      <w:r>
        <w:rPr>
          <w:spacing w:val="-4"/>
        </w:rPr>
        <w:t>data </w:t>
      </w:r>
      <w:r>
        <w:rPr/>
        <w:t>that are needed to achieve these goals. Much of the data will necessarily be site-specific. Most data will be integrated into geological models that will be used to simulate and predict the performance</w:t>
      </w:r>
      <w:r>
        <w:rPr>
          <w:spacing w:val="-8"/>
        </w:rPr>
        <w:t> </w:t>
      </w:r>
      <w:r>
        <w:rPr/>
        <w:t>of</w:t>
      </w:r>
      <w:r>
        <w:rPr>
          <w:spacing w:val="-8"/>
        </w:rPr>
        <w:t> </w:t>
      </w:r>
      <w:r>
        <w:rPr/>
        <w:t>the</w:t>
      </w:r>
      <w:r>
        <w:rPr>
          <w:spacing w:val="-7"/>
        </w:rPr>
        <w:t> </w:t>
      </w:r>
      <w:r>
        <w:rPr/>
        <w:t>site.</w:t>
      </w:r>
      <w:r>
        <w:rPr>
          <w:spacing w:val="-12"/>
        </w:rPr>
        <w:t> </w:t>
      </w:r>
      <w:r>
        <w:rPr/>
        <w:t>These</w:t>
      </w:r>
      <w:r>
        <w:rPr>
          <w:spacing w:val="-7"/>
        </w:rPr>
        <w:t> </w:t>
      </w:r>
      <w:r>
        <w:rPr/>
        <w:t>and</w:t>
      </w:r>
      <w:r>
        <w:rPr>
          <w:spacing w:val="-8"/>
        </w:rPr>
        <w:t> </w:t>
      </w:r>
      <w:r>
        <w:rPr/>
        <w:t>related</w:t>
      </w:r>
      <w:r>
        <w:rPr>
          <w:spacing w:val="-8"/>
        </w:rPr>
        <w:t> </w:t>
      </w:r>
      <w:r>
        <w:rPr/>
        <w:t>issues</w:t>
      </w:r>
      <w:r>
        <w:rPr>
          <w:spacing w:val="-7"/>
        </w:rPr>
        <w:t> </w:t>
      </w:r>
      <w:r>
        <w:rPr/>
        <w:t>are</w:t>
      </w:r>
      <w:r>
        <w:rPr>
          <w:spacing w:val="-8"/>
        </w:rPr>
        <w:t> </w:t>
      </w:r>
      <w:r>
        <w:rPr/>
        <w:t>considered </w:t>
      </w:r>
      <w:r>
        <w:rPr>
          <w:spacing w:val="-3"/>
        </w:rPr>
        <w:t>below.</w:t>
      </w:r>
    </w:p>
    <w:p>
      <w:pPr>
        <w:pStyle w:val="BodyText"/>
        <w:spacing w:before="4"/>
        <w:rPr>
          <w:sz w:val="21"/>
        </w:rPr>
      </w:pPr>
    </w:p>
    <w:p>
      <w:pPr>
        <w:pStyle w:val="Heading2"/>
        <w:numPr>
          <w:ilvl w:val="2"/>
          <w:numId w:val="7"/>
        </w:numPr>
        <w:tabs>
          <w:tab w:pos="1373" w:val="left" w:leader="none"/>
          <w:tab w:pos="1374" w:val="left" w:leader="none"/>
        </w:tabs>
        <w:spacing w:line="240" w:lineRule="auto" w:before="0" w:after="0"/>
        <w:ind w:left="1373" w:right="0" w:hanging="821"/>
        <w:jc w:val="left"/>
        <w:rPr>
          <w:i/>
        </w:rPr>
      </w:pPr>
      <w:r>
        <w:rPr>
          <w:i/>
        </w:rPr>
        <w:t>Characterization of identified</w:t>
      </w:r>
      <w:r>
        <w:rPr>
          <w:i/>
          <w:spacing w:val="-2"/>
        </w:rPr>
        <w:t> </w:t>
      </w:r>
      <w:r>
        <w:rPr>
          <w:i/>
        </w:rPr>
        <w:t>sites</w:t>
      </w:r>
    </w:p>
    <w:p>
      <w:pPr>
        <w:pStyle w:val="BodyText"/>
        <w:spacing w:before="3"/>
        <w:rPr>
          <w:b/>
          <w:i/>
          <w:sz w:val="21"/>
        </w:rPr>
      </w:pPr>
    </w:p>
    <w:p>
      <w:pPr>
        <w:pStyle w:val="BodyText"/>
        <w:spacing w:line="240" w:lineRule="exact"/>
        <w:ind w:left="553" w:right="1"/>
        <w:jc w:val="both"/>
      </w:pPr>
      <w:r>
        <w:rPr/>
        <w:t>Storage site requirements depend greatly upon the trapping mechanism and the geological medium in which storage is proposed</w:t>
      </w:r>
      <w:r>
        <w:rPr>
          <w:spacing w:val="-15"/>
        </w:rPr>
        <w:t> </w:t>
      </w:r>
      <w:r>
        <w:rPr/>
        <w:t>(e.g.,</w:t>
      </w:r>
      <w:r>
        <w:rPr>
          <w:spacing w:val="-15"/>
        </w:rPr>
        <w:t> </w:t>
      </w:r>
      <w:r>
        <w:rPr/>
        <w:t>deep</w:t>
      </w:r>
      <w:r>
        <w:rPr>
          <w:spacing w:val="-15"/>
        </w:rPr>
        <w:t> </w:t>
      </w:r>
      <w:r>
        <w:rPr/>
        <w:t>saline</w:t>
      </w:r>
      <w:r>
        <w:rPr>
          <w:spacing w:val="-15"/>
        </w:rPr>
        <w:t> </w:t>
      </w:r>
      <w:r>
        <w:rPr/>
        <w:t>formation,</w:t>
      </w:r>
      <w:r>
        <w:rPr>
          <w:spacing w:val="-15"/>
        </w:rPr>
        <w:t> </w:t>
      </w:r>
      <w:r>
        <w:rPr/>
        <w:t>depleted</w:t>
      </w:r>
      <w:r>
        <w:rPr>
          <w:spacing w:val="-15"/>
        </w:rPr>
        <w:t> </w:t>
      </w:r>
      <w:r>
        <w:rPr/>
        <w:t>oil</w:t>
      </w:r>
      <w:r>
        <w:rPr>
          <w:spacing w:val="-15"/>
        </w:rPr>
        <w:t> </w:t>
      </w:r>
      <w:r>
        <w:rPr/>
        <w:t>or</w:t>
      </w:r>
      <w:r>
        <w:rPr>
          <w:spacing w:val="-15"/>
        </w:rPr>
        <w:t> </w:t>
      </w:r>
      <w:r>
        <w:rPr/>
        <w:t>gas</w:t>
      </w:r>
      <w:r>
        <w:rPr>
          <w:spacing w:val="-15"/>
        </w:rPr>
        <w:t> </w:t>
      </w:r>
      <w:r>
        <w:rPr/>
        <w:t>field</w:t>
      </w:r>
      <w:r>
        <w:rPr>
          <w:spacing w:val="-14"/>
        </w:rPr>
        <w:t> </w:t>
      </w:r>
      <w:r>
        <w:rPr/>
        <w:t>or coal seam). Data availability and quality vary greatly between each of these options </w:t>
      </w:r>
      <w:r>
        <w:rPr>
          <w:spacing w:val="-3"/>
        </w:rPr>
        <w:t>(T</w:t>
      </w:r>
      <w:hyperlink w:history="true" w:anchor="_bookmark33">
        <w:r>
          <w:rPr>
            <w:spacing w:val="-3"/>
          </w:rPr>
          <w:t>able </w:t>
        </w:r>
      </w:hyperlink>
      <w:r>
        <w:rPr/>
        <w:t>5.3). In many cases, oil and </w:t>
      </w:r>
      <w:r>
        <w:rPr>
          <w:spacing w:val="-5"/>
        </w:rPr>
        <w:t>gas </w:t>
      </w:r>
      <w:r>
        <w:rPr/>
        <w:t>fields will be better characterized than deep saline formations because a relevant data set was collected during hydrocarbon exploration and production. However, this may not always be the case. There are many examples of deep saline formations whose character and performance for CO</w:t>
      </w:r>
      <w:r>
        <w:rPr>
          <w:position w:val="-6"/>
          <w:sz w:val="11"/>
        </w:rPr>
        <w:t>2 </w:t>
      </w:r>
      <w:r>
        <w:rPr/>
        <w:t>storage can be predicted reliably over a large area (Chadwick </w:t>
      </w:r>
      <w:r>
        <w:rPr>
          <w:i/>
        </w:rPr>
        <w:t>et al.</w:t>
      </w:r>
      <w:r>
        <w:rPr/>
        <w:t>, 2003; Bradshaw </w:t>
      </w:r>
      <w:r>
        <w:rPr>
          <w:i/>
        </w:rPr>
        <w:t>et al.</w:t>
      </w:r>
      <w:r>
        <w:rPr/>
        <w:t>,</w:t>
      </w:r>
      <w:r>
        <w:rPr>
          <w:spacing w:val="-2"/>
        </w:rPr>
        <w:t> </w:t>
      </w:r>
      <w:r>
        <w:rPr/>
        <w:t>2003).</w:t>
      </w:r>
    </w:p>
    <w:p>
      <w:pPr>
        <w:pStyle w:val="BodyText"/>
        <w:spacing w:before="2"/>
      </w:pPr>
      <w:r>
        <w:rPr/>
        <w:br w:type="column"/>
      </w:r>
      <w:r>
        <w:rPr/>
      </w:r>
    </w:p>
    <w:p>
      <w:pPr>
        <w:pStyle w:val="ListParagraph"/>
        <w:numPr>
          <w:ilvl w:val="3"/>
          <w:numId w:val="8"/>
        </w:numPr>
        <w:tabs>
          <w:tab w:pos="1093" w:val="left" w:leader="none"/>
        </w:tabs>
        <w:spacing w:line="240" w:lineRule="auto" w:before="0" w:after="0"/>
        <w:ind w:left="1092" w:right="0" w:hanging="852"/>
        <w:jc w:val="both"/>
        <w:rPr>
          <w:i/>
          <w:sz w:val="20"/>
        </w:rPr>
      </w:pPr>
      <w:r>
        <w:rPr>
          <w:i/>
          <w:sz w:val="20"/>
        </w:rPr>
        <w:t>Data</w:t>
      </w:r>
      <w:r>
        <w:rPr>
          <w:i/>
          <w:spacing w:val="-2"/>
          <w:sz w:val="20"/>
        </w:rPr>
        <w:t> </w:t>
      </w:r>
      <w:r>
        <w:rPr>
          <w:i/>
          <w:sz w:val="20"/>
        </w:rPr>
        <w:t>types</w:t>
      </w:r>
    </w:p>
    <w:p>
      <w:pPr>
        <w:pStyle w:val="BodyText"/>
        <w:spacing w:line="240" w:lineRule="exact" w:before="29"/>
        <w:ind w:left="241" w:right="133"/>
        <w:jc w:val="both"/>
      </w:pPr>
      <w:r>
        <w:rPr/>
        <w:t>The storage site and its surroundings need to be characterized in terms of geology, hydrogeology, geochemistry </w:t>
      </w:r>
      <w:r>
        <w:rPr>
          <w:spacing w:val="-5"/>
        </w:rPr>
        <w:t>and </w:t>
      </w:r>
      <w:r>
        <w:rPr/>
        <w:t>geomechanics (structural geology and deformation in response to stress changes). The greatest emphasis will be placed on the reservoir</w:t>
      </w:r>
      <w:r>
        <w:rPr>
          <w:spacing w:val="-12"/>
        </w:rPr>
        <w:t> </w:t>
      </w:r>
      <w:r>
        <w:rPr/>
        <w:t>and</w:t>
      </w:r>
      <w:r>
        <w:rPr>
          <w:spacing w:val="-12"/>
        </w:rPr>
        <w:t> </w:t>
      </w:r>
      <w:r>
        <w:rPr/>
        <w:t>its</w:t>
      </w:r>
      <w:r>
        <w:rPr>
          <w:spacing w:val="-12"/>
        </w:rPr>
        <w:t> </w:t>
      </w:r>
      <w:r>
        <w:rPr/>
        <w:t>sealing</w:t>
      </w:r>
      <w:r>
        <w:rPr>
          <w:spacing w:val="-11"/>
        </w:rPr>
        <w:t> </w:t>
      </w:r>
      <w:r>
        <w:rPr/>
        <w:t>horizons.</w:t>
      </w:r>
      <w:r>
        <w:rPr>
          <w:spacing w:val="-12"/>
        </w:rPr>
        <w:t> </w:t>
      </w:r>
      <w:r>
        <w:rPr/>
        <w:t>However,</w:t>
      </w:r>
      <w:r>
        <w:rPr>
          <w:spacing w:val="-12"/>
        </w:rPr>
        <w:t> </w:t>
      </w:r>
      <w:r>
        <w:rPr/>
        <w:t>the</w:t>
      </w:r>
      <w:r>
        <w:rPr>
          <w:spacing w:val="-11"/>
        </w:rPr>
        <w:t> </w:t>
      </w:r>
      <w:r>
        <w:rPr/>
        <w:t>strata</w:t>
      </w:r>
      <w:r>
        <w:rPr>
          <w:spacing w:val="-12"/>
        </w:rPr>
        <w:t> </w:t>
      </w:r>
      <w:r>
        <w:rPr/>
        <w:t>above</w:t>
      </w:r>
      <w:r>
        <w:rPr>
          <w:spacing w:val="-12"/>
        </w:rPr>
        <w:t> </w:t>
      </w:r>
      <w:r>
        <w:rPr/>
        <w:t>the storage</w:t>
      </w:r>
      <w:r>
        <w:rPr>
          <w:spacing w:val="-7"/>
        </w:rPr>
        <w:t> </w:t>
      </w:r>
      <w:r>
        <w:rPr/>
        <w:t>formation</w:t>
      </w:r>
      <w:r>
        <w:rPr>
          <w:spacing w:val="-7"/>
        </w:rPr>
        <w:t> </w:t>
      </w:r>
      <w:r>
        <w:rPr/>
        <w:t>and</w:t>
      </w:r>
      <w:r>
        <w:rPr>
          <w:spacing w:val="-6"/>
        </w:rPr>
        <w:t> </w:t>
      </w:r>
      <w:r>
        <w:rPr/>
        <w:t>caprock</w:t>
      </w:r>
      <w:r>
        <w:rPr>
          <w:spacing w:val="-7"/>
        </w:rPr>
        <w:t> </w:t>
      </w:r>
      <w:r>
        <w:rPr/>
        <w:t>also</w:t>
      </w:r>
      <w:r>
        <w:rPr>
          <w:spacing w:val="-7"/>
        </w:rPr>
        <w:t> </w:t>
      </w:r>
      <w:r>
        <w:rPr/>
        <w:t>need</w:t>
      </w:r>
      <w:r>
        <w:rPr>
          <w:spacing w:val="-6"/>
        </w:rPr>
        <w:t> </w:t>
      </w:r>
      <w:r>
        <w:rPr/>
        <w:t>to</w:t>
      </w:r>
      <w:r>
        <w:rPr>
          <w:spacing w:val="-7"/>
        </w:rPr>
        <w:t> </w:t>
      </w:r>
      <w:r>
        <w:rPr/>
        <w:t>be</w:t>
      </w:r>
      <w:r>
        <w:rPr>
          <w:spacing w:val="-7"/>
        </w:rPr>
        <w:t> </w:t>
      </w:r>
      <w:r>
        <w:rPr/>
        <w:t>assessed</w:t>
      </w:r>
      <w:r>
        <w:rPr>
          <w:spacing w:val="-6"/>
        </w:rPr>
        <w:t> </w:t>
      </w:r>
      <w:r>
        <w:rPr/>
        <w:t>because if</w:t>
      </w:r>
      <w:r>
        <w:rPr>
          <w:spacing w:val="-16"/>
        </w:rPr>
        <w:t> </w:t>
      </w:r>
      <w:r>
        <w:rPr/>
        <w:t>CO</w:t>
      </w:r>
      <w:r>
        <w:rPr>
          <w:position w:val="-6"/>
          <w:sz w:val="11"/>
        </w:rPr>
        <w:t>2</w:t>
      </w:r>
      <w:r>
        <w:rPr>
          <w:spacing w:val="8"/>
          <w:position w:val="-6"/>
          <w:sz w:val="11"/>
        </w:rPr>
        <w:t> </w:t>
      </w:r>
      <w:r>
        <w:rPr/>
        <w:t>leaked</w:t>
      </w:r>
      <w:r>
        <w:rPr>
          <w:spacing w:val="-15"/>
        </w:rPr>
        <w:t> </w:t>
      </w:r>
      <w:r>
        <w:rPr/>
        <w:t>it</w:t>
      </w:r>
      <w:r>
        <w:rPr>
          <w:spacing w:val="-15"/>
        </w:rPr>
        <w:t> </w:t>
      </w:r>
      <w:r>
        <w:rPr/>
        <w:t>would</w:t>
      </w:r>
      <w:r>
        <w:rPr>
          <w:spacing w:val="-15"/>
        </w:rPr>
        <w:t> </w:t>
      </w:r>
      <w:r>
        <w:rPr/>
        <w:t>migrate</w:t>
      </w:r>
      <w:r>
        <w:rPr>
          <w:spacing w:val="-15"/>
        </w:rPr>
        <w:t> </w:t>
      </w:r>
      <w:r>
        <w:rPr/>
        <w:t>through</w:t>
      </w:r>
      <w:r>
        <w:rPr>
          <w:spacing w:val="-16"/>
        </w:rPr>
        <w:t> </w:t>
      </w:r>
      <w:r>
        <w:rPr/>
        <w:t>them</w:t>
      </w:r>
      <w:r>
        <w:rPr>
          <w:spacing w:val="-15"/>
        </w:rPr>
        <w:t> </w:t>
      </w:r>
      <w:r>
        <w:rPr/>
        <w:t>(Haidl</w:t>
      </w:r>
      <w:r>
        <w:rPr>
          <w:spacing w:val="-16"/>
        </w:rPr>
        <w:t> </w:t>
      </w:r>
      <w:r>
        <w:rPr>
          <w:i/>
        </w:rPr>
        <w:t>et</w:t>
      </w:r>
      <w:r>
        <w:rPr>
          <w:i/>
          <w:spacing w:val="-15"/>
        </w:rPr>
        <w:t> </w:t>
      </w:r>
      <w:r>
        <w:rPr>
          <w:i/>
        </w:rPr>
        <w:t>al.</w:t>
      </w:r>
      <w:r>
        <w:rPr/>
        <w:t>,</w:t>
      </w:r>
      <w:r>
        <w:rPr>
          <w:spacing w:val="-15"/>
        </w:rPr>
        <w:t> </w:t>
      </w:r>
      <w:r>
        <w:rPr/>
        <w:t>2005). Documentation of the characteristics of any particular storage site will rely on data that have been obtained directly from the reservoir,</w:t>
      </w:r>
      <w:r>
        <w:rPr>
          <w:spacing w:val="-11"/>
        </w:rPr>
        <w:t> </w:t>
      </w:r>
      <w:r>
        <w:rPr/>
        <w:t>such</w:t>
      </w:r>
      <w:r>
        <w:rPr>
          <w:spacing w:val="-11"/>
        </w:rPr>
        <w:t> </w:t>
      </w:r>
      <w:r>
        <w:rPr/>
        <w:t>as</w:t>
      </w:r>
      <w:r>
        <w:rPr>
          <w:spacing w:val="-11"/>
        </w:rPr>
        <w:t> </w:t>
      </w:r>
      <w:r>
        <w:rPr/>
        <w:t>core</w:t>
      </w:r>
      <w:r>
        <w:rPr>
          <w:spacing w:val="-10"/>
        </w:rPr>
        <w:t> </w:t>
      </w:r>
      <w:r>
        <w:rPr/>
        <w:t>and</w:t>
      </w:r>
      <w:r>
        <w:rPr>
          <w:spacing w:val="-11"/>
        </w:rPr>
        <w:t> </w:t>
      </w:r>
      <w:r>
        <w:rPr/>
        <w:t>fluids</w:t>
      </w:r>
      <w:r>
        <w:rPr>
          <w:spacing w:val="-11"/>
        </w:rPr>
        <w:t> </w:t>
      </w:r>
      <w:r>
        <w:rPr/>
        <w:t>produced</w:t>
      </w:r>
      <w:r>
        <w:rPr>
          <w:spacing w:val="-10"/>
        </w:rPr>
        <w:t> </w:t>
      </w:r>
      <w:r>
        <w:rPr/>
        <w:t>from</w:t>
      </w:r>
      <w:r>
        <w:rPr>
          <w:spacing w:val="-11"/>
        </w:rPr>
        <w:t> </w:t>
      </w:r>
      <w:r>
        <w:rPr/>
        <w:t>wells</w:t>
      </w:r>
      <w:r>
        <w:rPr>
          <w:spacing w:val="-11"/>
        </w:rPr>
        <w:t> </w:t>
      </w:r>
      <w:r>
        <w:rPr/>
        <w:t>at</w:t>
      </w:r>
      <w:r>
        <w:rPr>
          <w:spacing w:val="-10"/>
        </w:rPr>
        <w:t> </w:t>
      </w:r>
      <w:r>
        <w:rPr/>
        <w:t>or</w:t>
      </w:r>
      <w:r>
        <w:rPr>
          <w:spacing w:val="-11"/>
        </w:rPr>
        <w:t> </w:t>
      </w:r>
      <w:r>
        <w:rPr/>
        <w:t>near the proposed storage site, pressure transient tests conducted to test seal efficiency and indirect remote sensing measurements such as seismic reflection data and regional hydrodynamic pressure gradients. Integration of all of the different types of data is needed to develop a reliable model that can be used </w:t>
      </w:r>
      <w:r>
        <w:rPr>
          <w:spacing w:val="-7"/>
        </w:rPr>
        <w:t>to </w:t>
      </w:r>
      <w:r>
        <w:rPr/>
        <w:t>assess whether a site is suitable for CO</w:t>
      </w:r>
      <w:r>
        <w:rPr>
          <w:position w:val="-6"/>
          <w:sz w:val="11"/>
        </w:rPr>
        <w:t>2</w:t>
      </w:r>
      <w:r>
        <w:rPr>
          <w:spacing w:val="14"/>
          <w:position w:val="-6"/>
          <w:sz w:val="11"/>
        </w:rPr>
        <w:t> </w:t>
      </w:r>
      <w:r>
        <w:rPr/>
        <w:t>storage.</w:t>
      </w:r>
    </w:p>
    <w:p>
      <w:pPr>
        <w:pStyle w:val="BodyText"/>
        <w:spacing w:line="249" w:lineRule="auto" w:before="5"/>
        <w:ind w:left="241" w:right="133" w:firstLine="283"/>
        <w:jc w:val="both"/>
      </w:pPr>
      <w:r>
        <w:rPr/>
        <w:t>During the site-selection process that may follow an initial screening, detailed reservoir simulation (Section 5.4.2 will be necessary</w:t>
      </w:r>
      <w:r>
        <w:rPr>
          <w:spacing w:val="-20"/>
        </w:rPr>
        <w:t> </w:t>
      </w:r>
      <w:r>
        <w:rPr/>
        <w:t>to</w:t>
      </w:r>
      <w:r>
        <w:rPr>
          <w:spacing w:val="-19"/>
        </w:rPr>
        <w:t> </w:t>
      </w:r>
      <w:r>
        <w:rPr/>
        <w:t>meaningfully</w:t>
      </w:r>
      <w:r>
        <w:rPr>
          <w:spacing w:val="-19"/>
        </w:rPr>
        <w:t> </w:t>
      </w:r>
      <w:r>
        <w:rPr/>
        <w:t>assess</w:t>
      </w:r>
      <w:r>
        <w:rPr>
          <w:spacing w:val="-19"/>
        </w:rPr>
        <w:t> </w:t>
      </w:r>
      <w:r>
        <w:rPr/>
        <w:t>a</w:t>
      </w:r>
      <w:r>
        <w:rPr>
          <w:spacing w:val="-19"/>
        </w:rPr>
        <w:t> </w:t>
      </w:r>
      <w:r>
        <w:rPr/>
        <w:t>potential</w:t>
      </w:r>
      <w:r>
        <w:rPr>
          <w:spacing w:val="-19"/>
        </w:rPr>
        <w:t> </w:t>
      </w:r>
      <w:r>
        <w:rPr/>
        <w:t>storage</w:t>
      </w:r>
      <w:r>
        <w:rPr>
          <w:spacing w:val="-19"/>
        </w:rPr>
        <w:t> </w:t>
      </w:r>
      <w:r>
        <w:rPr/>
        <w:t>site.</w:t>
      </w:r>
      <w:r>
        <w:rPr>
          <w:spacing w:val="-30"/>
        </w:rPr>
        <w:t> </w:t>
      </w:r>
      <w:r>
        <w:rPr/>
        <w:t>A</w:t>
      </w:r>
      <w:r>
        <w:rPr>
          <w:spacing w:val="-30"/>
        </w:rPr>
        <w:t> </w:t>
      </w:r>
      <w:r>
        <w:rPr/>
        <w:t>range of</w:t>
      </w:r>
      <w:r>
        <w:rPr>
          <w:spacing w:val="-8"/>
        </w:rPr>
        <w:t> </w:t>
      </w:r>
      <w:r>
        <w:rPr/>
        <w:t>geophysical,</w:t>
      </w:r>
      <w:r>
        <w:rPr>
          <w:spacing w:val="-8"/>
        </w:rPr>
        <w:t> </w:t>
      </w:r>
      <w:r>
        <w:rPr/>
        <w:t>geological,</w:t>
      </w:r>
      <w:r>
        <w:rPr>
          <w:spacing w:val="-9"/>
        </w:rPr>
        <w:t> </w:t>
      </w:r>
      <w:r>
        <w:rPr/>
        <w:t>hydrogeological</w:t>
      </w:r>
      <w:r>
        <w:rPr>
          <w:spacing w:val="-8"/>
        </w:rPr>
        <w:t> </w:t>
      </w:r>
      <w:r>
        <w:rPr/>
        <w:t>and</w:t>
      </w:r>
      <w:r>
        <w:rPr>
          <w:spacing w:val="-8"/>
        </w:rPr>
        <w:t> </w:t>
      </w:r>
      <w:r>
        <w:rPr>
          <w:spacing w:val="-2"/>
        </w:rPr>
        <w:t>geomechanical </w:t>
      </w:r>
      <w:r>
        <w:rPr/>
        <w:t>information is required to perform the modelling associated with a reservoir simulation. This information must be built</w:t>
      </w:r>
      <w:r>
        <w:rPr>
          <w:spacing w:val="-28"/>
        </w:rPr>
        <w:t> </w:t>
      </w:r>
      <w:r>
        <w:rPr/>
        <w:t>into a three-dimensional geological model, populated with known and extrapolated data at an appropriate scale. Examples of the basic types of data and products that may be useful are listed</w:t>
      </w:r>
      <w:r>
        <w:rPr>
          <w:spacing w:val="-24"/>
        </w:rPr>
        <w:t> </w:t>
      </w:r>
      <w:r>
        <w:rPr>
          <w:spacing w:val="-7"/>
        </w:rPr>
        <w:t>in</w:t>
      </w:r>
      <w:hyperlink w:history="true" w:anchor="_bookmark33">
        <w:r>
          <w:rPr>
            <w:spacing w:val="-7"/>
          </w:rPr>
          <w:t> </w:t>
        </w:r>
        <w:r>
          <w:rPr>
            <w:spacing w:val="-3"/>
          </w:rPr>
          <w:t>Table</w:t>
        </w:r>
        <w:r>
          <w:rPr/>
          <w:t> 5.3.</w:t>
        </w:r>
      </w:hyperlink>
    </w:p>
    <w:p>
      <w:pPr>
        <w:pStyle w:val="BodyText"/>
        <w:spacing w:line="249" w:lineRule="auto" w:before="8"/>
        <w:ind w:left="241" w:right="134" w:firstLine="283"/>
        <w:jc w:val="both"/>
      </w:pPr>
      <w:r>
        <w:rPr/>
        <w:t>Financial constraints may limit the types of data that can</w:t>
      </w:r>
      <w:r>
        <w:rPr>
          <w:spacing w:val="-18"/>
        </w:rPr>
        <w:t> </w:t>
      </w:r>
      <w:r>
        <w:rPr/>
        <w:t>be collected</w:t>
      </w:r>
      <w:r>
        <w:rPr>
          <w:spacing w:val="-27"/>
        </w:rPr>
        <w:t> </w:t>
      </w:r>
      <w:r>
        <w:rPr/>
        <w:t>as</w:t>
      </w:r>
      <w:r>
        <w:rPr>
          <w:spacing w:val="-26"/>
        </w:rPr>
        <w:t> </w:t>
      </w:r>
      <w:r>
        <w:rPr/>
        <w:t>part</w:t>
      </w:r>
      <w:r>
        <w:rPr>
          <w:spacing w:val="-26"/>
        </w:rPr>
        <w:t> </w:t>
      </w:r>
      <w:r>
        <w:rPr/>
        <w:t>of</w:t>
      </w:r>
      <w:r>
        <w:rPr>
          <w:spacing w:val="-26"/>
        </w:rPr>
        <w:t> </w:t>
      </w:r>
      <w:r>
        <w:rPr/>
        <w:t>the</w:t>
      </w:r>
      <w:r>
        <w:rPr>
          <w:spacing w:val="-26"/>
        </w:rPr>
        <w:t> </w:t>
      </w:r>
      <w:r>
        <w:rPr/>
        <w:t>site</w:t>
      </w:r>
      <w:r>
        <w:rPr>
          <w:spacing w:val="-26"/>
        </w:rPr>
        <w:t> </w:t>
      </w:r>
      <w:r>
        <w:rPr/>
        <w:t>characterization</w:t>
      </w:r>
      <w:r>
        <w:rPr>
          <w:spacing w:val="-26"/>
        </w:rPr>
        <w:t> </w:t>
      </w:r>
      <w:r>
        <w:rPr/>
        <w:t>and</w:t>
      </w:r>
      <w:r>
        <w:rPr>
          <w:spacing w:val="-27"/>
        </w:rPr>
        <w:t> </w:t>
      </w:r>
      <w:r>
        <w:rPr/>
        <w:t>selection</w:t>
      </w:r>
      <w:r>
        <w:rPr>
          <w:spacing w:val="-26"/>
        </w:rPr>
        <w:t> </w:t>
      </w:r>
      <w:r>
        <w:rPr/>
        <w:t>process. </w:t>
      </w:r>
      <w:r>
        <w:rPr>
          <w:spacing w:val="-5"/>
        </w:rPr>
        <w:t>Today, </w:t>
      </w:r>
      <w:r>
        <w:rPr/>
        <w:t>no standard methodology prescribes how a site must be characterized.</w:t>
      </w:r>
      <w:r>
        <w:rPr>
          <w:spacing w:val="-23"/>
        </w:rPr>
        <w:t> </w:t>
      </w:r>
      <w:r>
        <w:rPr/>
        <w:t>Instead,</w:t>
      </w:r>
      <w:r>
        <w:rPr>
          <w:spacing w:val="-23"/>
        </w:rPr>
        <w:t> </w:t>
      </w:r>
      <w:r>
        <w:rPr/>
        <w:t>selections</w:t>
      </w:r>
      <w:r>
        <w:rPr>
          <w:spacing w:val="-23"/>
        </w:rPr>
        <w:t> </w:t>
      </w:r>
      <w:r>
        <w:rPr/>
        <w:t>about</w:t>
      </w:r>
      <w:r>
        <w:rPr>
          <w:spacing w:val="-23"/>
        </w:rPr>
        <w:t> </w:t>
      </w:r>
      <w:r>
        <w:rPr/>
        <w:t>site</w:t>
      </w:r>
      <w:r>
        <w:rPr>
          <w:spacing w:val="-22"/>
        </w:rPr>
        <w:t> </w:t>
      </w:r>
      <w:r>
        <w:rPr/>
        <w:t>characterization</w:t>
      </w:r>
      <w:r>
        <w:rPr>
          <w:spacing w:val="-23"/>
        </w:rPr>
        <w:t> </w:t>
      </w:r>
      <w:r>
        <w:rPr/>
        <w:t>data will be made on a site-specific basis, choosing those data sets that will be most valuable in the particular geological setting. However, some data sets are likely to be selected for every case. Geological site description from wellbores and outcrops are needed to characterize the storage formation and seal properties.</w:t>
      </w:r>
      <w:r>
        <w:rPr>
          <w:spacing w:val="-5"/>
        </w:rPr>
        <w:t> </w:t>
      </w:r>
      <w:r>
        <w:rPr/>
        <w:t>Seismic</w:t>
      </w:r>
      <w:r>
        <w:rPr>
          <w:spacing w:val="-5"/>
        </w:rPr>
        <w:t> </w:t>
      </w:r>
      <w:r>
        <w:rPr/>
        <w:t>surveys</w:t>
      </w:r>
      <w:r>
        <w:rPr>
          <w:spacing w:val="-5"/>
        </w:rPr>
        <w:t> </w:t>
      </w:r>
      <w:r>
        <w:rPr/>
        <w:t>are</w:t>
      </w:r>
      <w:r>
        <w:rPr>
          <w:spacing w:val="-5"/>
        </w:rPr>
        <w:t> </w:t>
      </w:r>
      <w:r>
        <w:rPr/>
        <w:t>needed</w:t>
      </w:r>
      <w:r>
        <w:rPr>
          <w:spacing w:val="-5"/>
        </w:rPr>
        <w:t> </w:t>
      </w:r>
      <w:r>
        <w:rPr/>
        <w:t>to</w:t>
      </w:r>
      <w:r>
        <w:rPr>
          <w:spacing w:val="-5"/>
        </w:rPr>
        <w:t> </w:t>
      </w:r>
      <w:r>
        <w:rPr/>
        <w:t>define</w:t>
      </w:r>
      <w:r>
        <w:rPr>
          <w:spacing w:val="-4"/>
        </w:rPr>
        <w:t> </w:t>
      </w:r>
      <w:r>
        <w:rPr/>
        <w:t>the</w:t>
      </w:r>
      <w:r>
        <w:rPr>
          <w:spacing w:val="-5"/>
        </w:rPr>
        <w:t> </w:t>
      </w:r>
      <w:r>
        <w:rPr/>
        <w:t>subsurface geological structure and identify faults or fractures that could create leakage pathways. Formation pressure measurements are needed to map the rate and direction of groundwater </w:t>
      </w:r>
      <w:r>
        <w:rPr>
          <w:spacing w:val="-4"/>
        </w:rPr>
        <w:t>flow. Water </w:t>
      </w:r>
      <w:r>
        <w:rPr/>
        <w:t>quality samples are needed to demonstrate the isolation between deep and shallow</w:t>
      </w:r>
      <w:r>
        <w:rPr>
          <w:spacing w:val="-3"/>
        </w:rPr>
        <w:t> </w:t>
      </w:r>
      <w:r>
        <w:rPr/>
        <w:t>groundwater.</w:t>
      </w:r>
    </w:p>
    <w:p>
      <w:pPr>
        <w:pStyle w:val="BodyText"/>
        <w:spacing w:before="11"/>
        <w:rPr>
          <w:sz w:val="21"/>
        </w:rPr>
      </w:pPr>
    </w:p>
    <w:p>
      <w:pPr>
        <w:pStyle w:val="ListParagraph"/>
        <w:numPr>
          <w:ilvl w:val="3"/>
          <w:numId w:val="8"/>
        </w:numPr>
        <w:tabs>
          <w:tab w:pos="1062" w:val="left" w:leader="none"/>
        </w:tabs>
        <w:spacing w:line="249" w:lineRule="auto" w:before="0" w:after="0"/>
        <w:ind w:left="1061" w:right="463" w:hanging="820"/>
        <w:jc w:val="both"/>
        <w:rPr>
          <w:i/>
          <w:sz w:val="20"/>
        </w:rPr>
      </w:pPr>
      <w:r>
        <w:rPr>
          <w:i/>
          <w:sz w:val="20"/>
        </w:rPr>
        <w:t>Assessment of stratigraphic factors affecting site </w:t>
      </w:r>
      <w:r>
        <w:rPr>
          <w:i/>
          <w:sz w:val="20"/>
        </w:rPr>
        <w:t>integrity</w:t>
      </w:r>
    </w:p>
    <w:p>
      <w:pPr>
        <w:pStyle w:val="BodyText"/>
        <w:spacing w:line="249" w:lineRule="auto" w:before="2"/>
        <w:ind w:left="241" w:right="134"/>
        <w:jc w:val="both"/>
      </w:pPr>
      <w:r>
        <w:rPr/>
        <w:t>Caprocks or seals are the permeability barriers (mostly vertical but sometimes lateral) that prevent or impede migration of CO</w:t>
      </w:r>
      <w:r>
        <w:rPr>
          <w:position w:val="-6"/>
          <w:sz w:val="11"/>
        </w:rPr>
        <w:t>2 </w:t>
      </w:r>
      <w:r>
        <w:rPr>
          <w:spacing w:val="2"/>
          <w:position w:val="-6"/>
          <w:sz w:val="11"/>
        </w:rPr>
        <w:t> </w:t>
      </w:r>
      <w:r>
        <w:rPr/>
        <w:t>from</w:t>
      </w:r>
      <w:r>
        <w:rPr>
          <w:spacing w:val="8"/>
        </w:rPr>
        <w:t> </w:t>
      </w:r>
      <w:r>
        <w:rPr/>
        <w:t>the</w:t>
      </w:r>
      <w:r>
        <w:rPr>
          <w:spacing w:val="7"/>
        </w:rPr>
        <w:t> </w:t>
      </w:r>
      <w:r>
        <w:rPr/>
        <w:t>injection</w:t>
      </w:r>
      <w:r>
        <w:rPr>
          <w:spacing w:val="8"/>
        </w:rPr>
        <w:t> </w:t>
      </w:r>
      <w:r>
        <w:rPr/>
        <w:t>site.</w:t>
      </w:r>
      <w:r>
        <w:rPr>
          <w:spacing w:val="4"/>
        </w:rPr>
        <w:t> </w:t>
      </w:r>
      <w:r>
        <w:rPr/>
        <w:t>The</w:t>
      </w:r>
      <w:r>
        <w:rPr>
          <w:spacing w:val="7"/>
        </w:rPr>
        <w:t> </w:t>
      </w:r>
      <w:r>
        <w:rPr/>
        <w:t>integrity</w:t>
      </w:r>
      <w:r>
        <w:rPr>
          <w:spacing w:val="8"/>
        </w:rPr>
        <w:t> </w:t>
      </w:r>
      <w:r>
        <w:rPr/>
        <w:t>of</w:t>
      </w:r>
      <w:r>
        <w:rPr>
          <w:spacing w:val="8"/>
        </w:rPr>
        <w:t> </w:t>
      </w:r>
      <w:r>
        <w:rPr/>
        <w:t>a</w:t>
      </w:r>
      <w:r>
        <w:rPr>
          <w:spacing w:val="7"/>
        </w:rPr>
        <w:t> </w:t>
      </w:r>
      <w:r>
        <w:rPr/>
        <w:t>seal</w:t>
      </w:r>
      <w:r>
        <w:rPr>
          <w:spacing w:val="7"/>
        </w:rPr>
        <w:t> </w:t>
      </w:r>
      <w:r>
        <w:rPr/>
        <w:t>depends</w:t>
      </w:r>
      <w:r>
        <w:rPr>
          <w:spacing w:val="8"/>
        </w:rPr>
        <w:t> </w:t>
      </w:r>
      <w:r>
        <w:rPr/>
        <w:t>on</w:t>
      </w:r>
    </w:p>
    <w:p>
      <w:pPr>
        <w:pStyle w:val="BodyText"/>
        <w:spacing w:line="182" w:lineRule="exact"/>
        <w:ind w:left="241"/>
        <w:jc w:val="both"/>
      </w:pPr>
      <w:r>
        <w:rPr/>
        <w:t>spatial</w:t>
      </w:r>
      <w:r>
        <w:rPr>
          <w:spacing w:val="23"/>
        </w:rPr>
        <w:t> </w:t>
      </w:r>
      <w:r>
        <w:rPr/>
        <w:t>distribution</w:t>
      </w:r>
      <w:r>
        <w:rPr>
          <w:spacing w:val="23"/>
        </w:rPr>
        <w:t> </w:t>
      </w:r>
      <w:r>
        <w:rPr/>
        <w:t>and</w:t>
      </w:r>
      <w:r>
        <w:rPr>
          <w:spacing w:val="24"/>
        </w:rPr>
        <w:t> </w:t>
      </w:r>
      <w:r>
        <w:rPr/>
        <w:t>physical</w:t>
      </w:r>
      <w:r>
        <w:rPr>
          <w:spacing w:val="23"/>
        </w:rPr>
        <w:t> </w:t>
      </w:r>
      <w:r>
        <w:rPr/>
        <w:t>properties.</w:t>
      </w:r>
      <w:r>
        <w:rPr>
          <w:spacing w:val="23"/>
        </w:rPr>
        <w:t> </w:t>
      </w:r>
      <w:r>
        <w:rPr/>
        <w:t>Ideally,</w:t>
      </w:r>
      <w:r>
        <w:rPr>
          <w:spacing w:val="24"/>
        </w:rPr>
        <w:t> </w:t>
      </w:r>
      <w:r>
        <w:rPr/>
        <w:t>a</w:t>
      </w:r>
      <w:r>
        <w:rPr>
          <w:spacing w:val="25"/>
        </w:rPr>
        <w:t> </w:t>
      </w:r>
      <w:r>
        <w:rPr/>
        <w:t>sealing</w:t>
      </w:r>
    </w:p>
    <w:p>
      <w:pPr>
        <w:pStyle w:val="BodyText"/>
        <w:spacing w:line="249" w:lineRule="auto" w:before="10"/>
        <w:ind w:left="241" w:right="133"/>
        <w:jc w:val="both"/>
      </w:pPr>
      <w:r>
        <w:rPr/>
        <w:t>rock unit should be regional in nature and uniform in</w:t>
      </w:r>
      <w:r>
        <w:rPr>
          <w:spacing w:val="-29"/>
        </w:rPr>
        <w:t> </w:t>
      </w:r>
      <w:r>
        <w:rPr/>
        <w:t>lithology, especially at its base. Where there are lateral changes in the basal units of a seal rock, the chance of migration out of the primary reservoir into higher intervals increases. However, if the seal rock is uniform, regionally extensive and thick, then the</w:t>
      </w:r>
      <w:r>
        <w:rPr>
          <w:spacing w:val="-11"/>
        </w:rPr>
        <w:t> </w:t>
      </w:r>
      <w:r>
        <w:rPr/>
        <w:t>main</w:t>
      </w:r>
      <w:r>
        <w:rPr>
          <w:spacing w:val="-11"/>
        </w:rPr>
        <w:t> </w:t>
      </w:r>
      <w:r>
        <w:rPr/>
        <w:t>issues</w:t>
      </w:r>
      <w:r>
        <w:rPr>
          <w:spacing w:val="-11"/>
        </w:rPr>
        <w:t> </w:t>
      </w:r>
      <w:r>
        <w:rPr/>
        <w:t>will</w:t>
      </w:r>
      <w:r>
        <w:rPr>
          <w:spacing w:val="-11"/>
        </w:rPr>
        <w:t> </w:t>
      </w:r>
      <w:r>
        <w:rPr/>
        <w:t>be</w:t>
      </w:r>
      <w:r>
        <w:rPr>
          <w:spacing w:val="-11"/>
        </w:rPr>
        <w:t> </w:t>
      </w:r>
      <w:r>
        <w:rPr/>
        <w:t>the</w:t>
      </w:r>
      <w:r>
        <w:rPr>
          <w:spacing w:val="-11"/>
        </w:rPr>
        <w:t> </w:t>
      </w:r>
      <w:r>
        <w:rPr/>
        <w:t>physical</w:t>
      </w:r>
      <w:r>
        <w:rPr>
          <w:spacing w:val="-11"/>
        </w:rPr>
        <w:t> </w:t>
      </w:r>
      <w:r>
        <w:rPr/>
        <w:t>rock</w:t>
      </w:r>
      <w:r>
        <w:rPr>
          <w:spacing w:val="-11"/>
        </w:rPr>
        <w:t> </w:t>
      </w:r>
      <w:r>
        <w:rPr/>
        <w:t>strength,</w:t>
      </w:r>
      <w:r>
        <w:rPr>
          <w:spacing w:val="-11"/>
        </w:rPr>
        <w:t> </w:t>
      </w:r>
      <w:r>
        <w:rPr/>
        <w:t>any</w:t>
      </w:r>
      <w:r>
        <w:rPr>
          <w:spacing w:val="-11"/>
        </w:rPr>
        <w:t> </w:t>
      </w:r>
      <w:r>
        <w:rPr/>
        <w:t>natural</w:t>
      </w:r>
      <w:r>
        <w:rPr>
          <w:spacing w:val="-11"/>
        </w:rPr>
        <w:t> </w:t>
      </w:r>
      <w:r>
        <w:rPr/>
        <w:t>or anthropomorphic penetrations (faults, fractures and wells) </w:t>
      </w:r>
      <w:r>
        <w:rPr>
          <w:spacing w:val="5"/>
        </w:rPr>
        <w:t> </w:t>
      </w:r>
      <w:r>
        <w:rPr/>
        <w:t>and</w:t>
      </w:r>
    </w:p>
    <w:p>
      <w:pPr>
        <w:spacing w:after="0" w:line="249" w:lineRule="auto"/>
        <w:jc w:val="both"/>
        <w:sectPr>
          <w:type w:val="continuous"/>
          <w:pgSz w:w="12240" w:h="15840"/>
          <w:pgMar w:top="400" w:bottom="280" w:left="580" w:right="600"/>
          <w:cols w:num="2" w:equalWidth="0">
            <w:col w:w="5599" w:space="40"/>
            <w:col w:w="5421"/>
          </w:cols>
        </w:sectPr>
      </w:pPr>
    </w:p>
    <w:p>
      <w:pPr>
        <w:pStyle w:val="BodyText"/>
      </w:pPr>
    </w:p>
    <w:p>
      <w:pPr>
        <w:pStyle w:val="BodyText"/>
        <w:rPr>
          <w:sz w:val="25"/>
        </w:rPr>
      </w:pPr>
    </w:p>
    <w:p>
      <w:pPr>
        <w:pStyle w:val="BodyText"/>
        <w:ind w:left="201"/>
      </w:pPr>
      <w:r>
        <w:rPr/>
        <w:pict>
          <v:group style="width:514.0500pt;height:643.4pt;mso-position-horizontal-relative:char;mso-position-vertical-relative:line" coordorigin="0,0" coordsize="10281,12868">
            <v:shape style="position:absolute;left:620;top:329;width:619;height:225" type="#_x0000_t75" stroked="false">
              <v:imagedata r:id="rId157" o:title=""/>
            </v:shape>
            <v:shape style="position:absolute;left:1333;top:326;width:430;height:250" type="#_x0000_t75" stroked="false">
              <v:imagedata r:id="rId158" o:title=""/>
            </v:shape>
            <v:shape style="position:absolute;left:1810;top:326;width:651;height:232" type="#_x0000_t75" stroked="false">
              <v:imagedata r:id="rId159" o:title=""/>
            </v:shape>
            <v:shape style="position:absolute;left:2495;top:326;width:217;height:232" type="#_x0000_t75" stroked="false">
              <v:imagedata r:id="rId160" o:title=""/>
            </v:shape>
            <v:shape style="position:absolute;left:2747;top:329;width:178;height:224" type="#_x0000_t75" stroked="false">
              <v:imagedata r:id="rId161" o:title=""/>
            </v:shape>
            <v:shape style="position:absolute;left:4567;top:329;width:178;height:224" type="#_x0000_t75" stroked="false">
              <v:imagedata r:id="rId162" o:title=""/>
            </v:shape>
            <v:line style="position:absolute" from="4793,534" to="4963,534" stroked="true" strokeweight="1.9pt" strokecolor="#006eab">
              <v:stroke dashstyle="solid"/>
            </v:line>
            <v:rect style="position:absolute;left:4793;top:455;width:46;height:60" filled="true" fillcolor="#006eab" stroked="false">
              <v:fill type="solid"/>
            </v:rect>
            <v:line style="position:absolute" from="4793,436" to="4951,436" stroked="true" strokeweight="1.9pt" strokecolor="#006eab">
              <v:stroke dashstyle="solid"/>
            </v:line>
            <v:rect style="position:absolute;left:4793;top:367;width:46;height:50" filled="true" fillcolor="#006eab" stroked="false">
              <v:fill type="solid"/>
            </v:rect>
            <v:line style="position:absolute" from="4793,348" to="4959,348" stroked="true" strokeweight="1.9pt" strokecolor="#006eab">
              <v:stroke dashstyle="solid"/>
            </v:line>
            <v:line style="position:absolute" from="5001,534" to="5171,534" stroked="true" strokeweight="1.9pt" strokecolor="#006eab">
              <v:stroke dashstyle="solid"/>
            </v:line>
            <v:rect style="position:absolute;left:5001;top:455;width:46;height:60" filled="true" fillcolor="#006eab" stroked="false">
              <v:fill type="solid"/>
            </v:rect>
            <v:line style="position:absolute" from="5001,436" to="5159,436" stroked="true" strokeweight="1.9pt" strokecolor="#006eab">
              <v:stroke dashstyle="solid"/>
            </v:line>
            <v:rect style="position:absolute;left:5001;top:367;width:46;height:50" filled="true" fillcolor="#006eab" stroked="false">
              <v:fill type="solid"/>
            </v:rect>
            <v:line style="position:absolute" from="5001,348" to="5167,348" stroked="true" strokeweight="1.9pt" strokecolor="#006eab">
              <v:stroke dashstyle="solid"/>
            </v:line>
            <v:shape style="position:absolute;left:5209;top:329;width:187;height:224" type="#_x0000_t75" stroked="false">
              <v:imagedata r:id="rId163" o:title=""/>
            </v:shape>
            <v:line style="position:absolute" from="6598,3613" to="7158,3613" stroked="true" strokeweight="1pt" strokecolor="#7daed2">
              <v:stroke dashstyle="solid"/>
            </v:line>
            <v:line style="position:absolute" from="2970,3613" to="3507,3613" stroked="true" strokeweight="1pt" strokecolor="#7daed2">
              <v:stroke dashstyle="solid"/>
            </v:line>
            <v:shape style="position:absolute;left:348;top:3095;width:2785;height:1062" coordorigin="348,3095" coordsize="2785,1062" path="m2838,3095l643,3095,565,3106,494,3136,435,3182,389,3241,359,3312,348,3390,348,3862,359,3940,389,4010,435,4070,494,4116,565,4146,643,4157,2838,4157,2917,4146,2987,4116,3047,4070,3093,4010,3123,3940,3133,3862,3133,3390,3123,3312,3093,3241,3047,3182,2987,3136,2917,3106,2838,3095xe" filled="true" fillcolor="#e5ede8" stroked="false">
              <v:path arrowok="t"/>
              <v:fill type="solid"/>
            </v:shape>
            <v:shape style="position:absolute;left:348;top:3095;width:2785;height:1062" coordorigin="348,3095" coordsize="2785,1062" path="m3133,3862l3123,3940,3093,4010,3047,4070,2987,4116,2917,4146,2838,4157,643,4157,565,4146,494,4116,435,4070,389,4010,359,3940,348,3862,348,3390,359,3312,389,3241,435,3182,494,3136,565,3106,643,3095,2838,3095,2917,3106,2987,3136,3047,3182,3093,3241,3123,3312,3133,3390,3133,3862xe" filled="false" stroked="true" strokeweight=".75pt" strokecolor="#82a996">
              <v:path arrowok="t"/>
              <v:stroke dashstyle="solid"/>
            </v:shape>
            <v:rect style="position:absolute;left:3525;top:4182;width:3072;height:26" filled="true" fillcolor="#0085b9" stroked="false">
              <v:fill type="solid"/>
            </v:rect>
            <v:rect style="position:absolute;left:3525;top:3125;width:3072;height:1083" filled="false" stroked="true" strokeweight=".75pt" strokecolor="#0085b9">
              <v:stroke dashstyle="solid"/>
            </v:rect>
            <v:rect style="position:absolute;left:3507;top:3100;width:3072;height:1083" filled="true" fillcolor="#dae6f1" stroked="false">
              <v:fill type="solid"/>
            </v:rect>
            <v:rect style="position:absolute;left:3507;top:3100;width:3072;height:1083" filled="false" stroked="true" strokeweight=".75pt" strokecolor="#006eab">
              <v:stroke dashstyle="solid"/>
            </v:rect>
            <v:shape style="position:absolute;left:6885;top:3108;width:3049;height:1062" coordorigin="6886,3108" coordsize="3049,1062" path="m9639,3108l7181,3108,7102,3119,7032,3148,6972,3194,6926,3254,6896,3325,6886,3403,6886,3874,6896,3953,6926,4023,6972,4083,7032,4129,7102,4159,7181,4169,9639,4169,9718,4159,9788,4129,9848,4083,9894,4023,9924,3953,9934,3874,9934,3403,9924,3325,9894,3254,9848,3194,9788,3148,9718,3119,9639,3108xe" filled="true" fillcolor="#f5e4dd" stroked="false">
              <v:path arrowok="t"/>
              <v:fill type="solid"/>
            </v:shape>
            <v:shape style="position:absolute;left:6885;top:3108;width:3049;height:1062" coordorigin="6886,3108" coordsize="3049,1062" path="m9934,3874l9924,3953,9894,4023,9848,4083,9788,4129,9718,4159,9639,4169,7181,4169,7102,4159,7032,4129,6972,4083,6926,4023,6896,3953,6886,3874,6886,3403,6896,3325,6926,3254,6972,3194,7032,3148,7102,3119,7181,3108,9639,3108,9718,3119,9788,3148,9848,3194,9894,3254,9924,3325,9934,3403,9934,3874xe" filled="false" stroked="true" strokeweight=".75pt" strokecolor="#b5543f">
              <v:path arrowok="t"/>
              <v:stroke dashstyle="solid"/>
            </v:shape>
            <v:line style="position:absolute" from="6577,2318" to="7180,2318" stroked="true" strokeweight="1pt" strokecolor="#7daed2">
              <v:stroke dashstyle="solid"/>
            </v:line>
            <v:line style="position:absolute" from="2992,2318" to="3487,2318" stroked="true" strokeweight="1pt" strokecolor="#7daed2">
              <v:stroke dashstyle="solid"/>
            </v:line>
            <v:rect style="position:absolute;left:3505;top:2639;width:3072;height:26" filled="true" fillcolor="#0085b9" stroked="false">
              <v:fill type="solid"/>
            </v:rect>
            <v:rect style="position:absolute;left:3505;top:2012;width:3072;height:653" filled="false" stroked="true" strokeweight=".75pt" strokecolor="#0085b9">
              <v:stroke dashstyle="solid"/>
            </v:rect>
            <v:shape style="position:absolute;left:348;top:1970;width:2785;height:642" coordorigin="348,1971" coordsize="2785,642" path="m2838,1971l643,1971,565,1979,494,2005,435,2046,389,2100,359,2167,348,2243,348,2317,359,2396,389,2466,435,2526,494,2572,565,2602,643,2612,2838,2612,2917,2602,2987,2572,3047,2526,3093,2466,3123,2396,3133,2317,3133,2243,3123,2167,3093,2100,3047,2046,2987,2005,2917,1979,2838,1971xe" filled="true" fillcolor="#e5ede8" stroked="false">
              <v:path arrowok="t"/>
              <v:fill type="solid"/>
            </v:shape>
            <v:shape style="position:absolute;left:348;top:1970;width:2785;height:642" coordorigin="348,1971" coordsize="2785,642" path="m3133,2317l3123,2396,3093,2466,3047,2526,2987,2572,2917,2602,2838,2612,643,2612,565,2602,494,2572,435,2526,389,2466,359,2396,348,2317,348,2243,359,2167,389,2100,435,2046,494,2005,565,1979,643,1971,2838,1971,2917,1979,2987,2005,3047,2046,3093,2100,3123,2167,3133,2243,3133,2317xe" filled="false" stroked="true" strokeweight=".75pt" strokecolor="#82a996">
              <v:path arrowok="t"/>
              <v:stroke dashstyle="solid"/>
            </v:shape>
            <v:rect style="position:absolute;left:3486;top:1987;width:3072;height:653" filled="true" fillcolor="#dae6f1" stroked="false">
              <v:fill type="solid"/>
            </v:rect>
            <v:rect style="position:absolute;left:3486;top:1987;width:3072;height:652" filled="false" stroked="true" strokeweight=".75pt" strokecolor="#006eab">
              <v:stroke dashstyle="solid"/>
            </v:rect>
            <v:shape style="position:absolute;left:6885;top:1983;width:3049;height:642" coordorigin="6886,1983" coordsize="3049,642" path="m9639,1983l7181,1983,7102,1992,7032,2018,6972,2059,6926,2113,6896,2180,6886,2256,6886,2330,6896,2409,6926,2479,6972,2539,7032,2585,7102,2615,7181,2625,9639,2625,9718,2615,9788,2585,9848,2539,9894,2479,9924,2409,9934,2330,9934,2256,9924,2180,9894,2113,9848,2059,9788,2018,9718,1992,9639,1983xe" filled="true" fillcolor="#f5e4dd" stroked="false">
              <v:path arrowok="t"/>
              <v:fill type="solid"/>
            </v:shape>
            <v:shape style="position:absolute;left:6885;top:1983;width:3049;height:642" coordorigin="6886,1983" coordsize="3049,642" path="m9934,2330l9924,2409,9894,2479,9848,2539,9788,2585,9718,2615,9639,2625,7181,2625,7102,2615,7032,2585,6972,2539,6926,2479,6896,2409,6886,2330,6886,2256,6896,2180,6926,2113,6972,2059,7032,2018,7102,1992,7181,1983,9639,1983,9718,1992,9788,2018,9848,2059,9894,2113,9924,2180,9934,2256,9934,2330xe" filled="false" stroked="true" strokeweight=".75pt" strokecolor="#b5543f">
              <v:path arrowok="t"/>
              <v:stroke dashstyle="solid"/>
            </v:shape>
            <v:line style="position:absolute" from="6594,1221" to="7180,1221" stroked="true" strokeweight="1pt" strokecolor="#7daed2">
              <v:stroke dashstyle="solid"/>
            </v:line>
            <v:line style="position:absolute" from="2992,1221" to="3504,1221" stroked="true" strokeweight="1pt" strokecolor="#7daed2">
              <v:stroke dashstyle="solid"/>
            </v:line>
            <v:rect style="position:absolute;left:3522;top:1531;width:3072;height:26" filled="true" fillcolor="#0085b9" stroked="false">
              <v:fill type="solid"/>
            </v:rect>
            <v:rect style="position:absolute;left:3522;top:905;width:3072;height:652" filled="false" stroked="true" strokeweight=".75pt" strokecolor="#0085b9">
              <v:stroke dashstyle="solid"/>
            </v:rect>
            <v:shape style="position:absolute;left:348;top:863;width:2785;height:642" coordorigin="348,863" coordsize="2785,642" path="m2838,863l643,863,565,872,494,898,435,939,389,993,359,1059,348,1136,348,1210,359,1288,389,1359,435,1418,494,1465,565,1494,643,1505,2838,1505,2917,1494,2987,1465,3047,1418,3093,1359,3123,1288,3133,1210,3133,1136,3123,1059,3093,993,3047,939,2987,898,2917,872,2838,863xe" filled="true" fillcolor="#e5ede8" stroked="false">
              <v:path arrowok="t"/>
              <v:fill type="solid"/>
            </v:shape>
            <v:shape style="position:absolute;left:348;top:863;width:2785;height:642" coordorigin="348,863" coordsize="2785,642" path="m3133,1210l3123,1288,3093,1359,3047,1418,2987,1465,2917,1494,2838,1505,643,1505,565,1494,494,1465,435,1418,389,1359,359,1288,348,1210,348,1136,359,1059,389,993,435,939,494,898,565,872,643,863,2838,863,2917,872,2987,898,3047,939,3093,993,3123,1059,3133,1136,3133,1210xe" filled="false" stroked="true" strokeweight=".75pt" strokecolor="#82a996">
              <v:path arrowok="t"/>
              <v:stroke dashstyle="solid"/>
            </v:shape>
            <v:rect style="position:absolute;left:3503;top:879;width:3072;height:652" filled="true" fillcolor="#dae6f1" stroked="false">
              <v:fill type="solid"/>
            </v:rect>
            <v:rect style="position:absolute;left:3503;top:879;width:3072;height:652" filled="false" stroked="true" strokeweight=".75pt" strokecolor="#006eab">
              <v:stroke dashstyle="solid"/>
            </v:rect>
            <v:shape style="position:absolute;left:6885;top:876;width:3049;height:642" coordorigin="6886,876" coordsize="3049,642" path="m9639,876l7181,876,7102,885,7032,911,6972,951,6926,1006,6896,1072,6886,1149,6886,1223,6896,1301,6926,1372,6972,1431,7032,1477,7102,1507,7181,1518,9639,1518,9718,1507,9788,1477,9848,1431,9894,1372,9924,1301,9934,1223,9934,1149,9924,1072,9894,1006,9848,951,9788,911,9718,885,9639,876xe" filled="true" fillcolor="#f5e4dd" stroked="false">
              <v:path arrowok="t"/>
              <v:fill type="solid"/>
            </v:shape>
            <v:shape style="position:absolute;left:6885;top:876;width:3049;height:642" coordorigin="6886,876" coordsize="3049,642" path="m9934,1223l9924,1301,9894,1372,9848,1431,9788,1477,9718,1507,9639,1518,7181,1518,7102,1507,7032,1477,6972,1431,6926,1372,6896,1301,6886,1223,6886,1149,6896,1072,6926,1006,6972,951,7032,911,7102,885,7181,876,9639,876,9718,885,9788,911,9848,951,9894,1006,9924,1072,9934,1149,9934,1223xe" filled="false" stroked="true" strokeweight=".75pt" strokecolor="#b5543f">
              <v:path arrowok="t"/>
              <v:stroke dashstyle="solid"/>
            </v:shape>
            <v:line style="position:absolute" from="6576,5150" to="7136,5150" stroked="true" strokeweight="1pt" strokecolor="#7daed2">
              <v:stroke dashstyle="solid"/>
            </v:line>
            <v:line style="position:absolute" from="2948,5150" to="3486,5150" stroked="true" strokeweight="1pt" strokecolor="#7daed2">
              <v:stroke dashstyle="solid"/>
            </v:line>
            <v:shape style="position:absolute;left:348;top:4631;width:2785;height:1062" coordorigin="348,4632" coordsize="2785,1062" path="m2838,4632l643,4632,565,4642,494,4672,435,4718,389,4778,359,4848,348,4927,348,5398,359,5477,389,5547,435,5607,494,5653,565,5683,643,5693,2838,5693,2917,5683,2987,5653,3047,5607,3093,5547,3123,5477,3133,5398,3133,4927,3123,4848,3093,4778,3047,4718,2987,4672,2917,4642,2838,4632xe" filled="true" fillcolor="#e5ede8" stroked="false">
              <v:path arrowok="t"/>
              <v:fill type="solid"/>
            </v:shape>
            <v:shape style="position:absolute;left:348;top:4631;width:2785;height:1062" coordorigin="348,4632" coordsize="2785,1062" path="m3133,5398l3123,5477,3093,5547,3047,5607,2987,5653,2917,5683,2838,5693,643,5693,565,5683,494,5653,435,5607,389,5547,359,5477,348,5398,348,4927,359,4848,389,4778,435,4718,494,4672,565,4642,643,4632,2838,4632,2917,4642,2987,4672,3047,4718,3093,4778,3123,4848,3133,4927,3133,5398xe" filled="false" stroked="true" strokeweight=".75pt" strokecolor="#82a996">
              <v:path arrowok="t"/>
              <v:stroke dashstyle="solid"/>
            </v:shape>
            <v:rect style="position:absolute;left:3503;top:5718;width:3072;height:26" filled="true" fillcolor="#0085b9" stroked="false">
              <v:fill type="solid"/>
            </v:rect>
            <v:rect style="position:absolute;left:3503;top:4662;width:3072;height:1083" filled="false" stroked="true" strokeweight=".75pt" strokecolor="#0085b9">
              <v:stroke dashstyle="solid"/>
            </v:rect>
            <v:rect style="position:absolute;left:3485;top:4636;width:3072;height:1083" filled="true" fillcolor="#dae6f1" stroked="false">
              <v:fill type="solid"/>
            </v:rect>
            <v:rect style="position:absolute;left:3485;top:4636;width:3072;height:1083" filled="false" stroked="true" strokeweight=".75pt" strokecolor="#006eab">
              <v:stroke dashstyle="solid"/>
            </v:rect>
            <v:shape style="position:absolute;left:6885;top:4622;width:3049;height:1106" coordorigin="6886,4623" coordsize="3049,1106" path="m9639,4623l7181,4623,7102,4633,7032,4663,6972,4709,6926,4769,6896,4839,6886,4918,6886,5433,6896,5511,6926,5582,6972,5642,7032,5688,7102,5717,7181,5728,9639,5728,9718,5717,9788,5688,9848,5642,9894,5582,9924,5511,9934,5433,9934,4918,9924,4839,9894,4769,9848,4709,9788,4663,9718,4633,9639,4623xe" filled="true" fillcolor="#f5e4dd" stroked="false">
              <v:path arrowok="t"/>
              <v:fill type="solid"/>
            </v:shape>
            <v:shape style="position:absolute;left:6885;top:4622;width:3049;height:1106" coordorigin="6886,4623" coordsize="3049,1106" path="m9934,5433l9924,5511,9894,5582,9848,5642,9788,5688,9718,5717,9639,5728,7181,5728,7102,5717,7032,5688,6972,5642,6926,5582,6896,5511,6886,5433,6886,4918,6896,4839,6926,4769,6972,4709,7032,4663,7102,4633,7181,4623,9639,4623,9718,4633,9788,4663,9848,4709,9894,4769,9924,4839,9934,4918,9934,5433xe" filled="false" stroked="true" strokeweight=".75pt" strokecolor="#b5543f">
              <v:path arrowok="t"/>
              <v:stroke dashstyle="solid"/>
            </v:shape>
            <v:line style="position:absolute" from="6576,6686" to="7136,6686" stroked="true" strokeweight="1pt" strokecolor="#7daed2">
              <v:stroke dashstyle="solid"/>
            </v:line>
            <v:line style="position:absolute" from="2948,6686" to="3486,6686" stroked="true" strokeweight="1pt" strokecolor="#7daed2">
              <v:stroke dashstyle="solid"/>
            </v:line>
            <v:shape style="position:absolute;left:348;top:6168;width:2785;height:1062" coordorigin="348,6168" coordsize="2785,1062" path="m2838,6168l643,6168,565,6179,494,6209,435,6255,389,6315,359,6385,348,6463,348,6935,359,7013,389,7084,435,7143,494,7189,565,7219,643,7230,2838,7230,2917,7219,2987,7189,3047,7143,3093,7084,3123,7013,3133,6935,3133,6463,3123,6385,3093,6315,3047,6255,2987,6209,2917,6179,2838,6168xe" filled="true" fillcolor="#e5ede8" stroked="false">
              <v:path arrowok="t"/>
              <v:fill type="solid"/>
            </v:shape>
            <v:shape style="position:absolute;left:348;top:6168;width:2785;height:1062" coordorigin="348,6168" coordsize="2785,1062" path="m3133,6935l3123,7013,3093,7084,3047,7143,2987,7189,2917,7219,2838,7230,643,7230,565,7219,494,7189,435,7143,389,7084,359,7013,348,6935,348,6463,359,6385,389,6315,435,6255,494,6209,565,6179,643,6168,2838,6168,2917,6179,2987,6209,3047,6255,3093,6315,3123,6385,3133,6463,3133,6935xe" filled="false" stroked="true" strokeweight=".75pt" strokecolor="#82a996">
              <v:path arrowok="t"/>
              <v:stroke dashstyle="solid"/>
            </v:shape>
            <v:rect style="position:absolute;left:3503;top:7255;width:3072;height:26" filled="true" fillcolor="#0085b9" stroked="false">
              <v:fill type="solid"/>
            </v:rect>
            <v:rect style="position:absolute;left:3503;top:6198;width:3072;height:1083" filled="false" stroked="true" strokeweight=".75pt" strokecolor="#0085b9">
              <v:stroke dashstyle="solid"/>
            </v:rect>
            <v:rect style="position:absolute;left:3485;top:6173;width:3072;height:1083" filled="true" fillcolor="#dae6f1" stroked="false">
              <v:fill type="solid"/>
            </v:rect>
            <v:rect style="position:absolute;left:3485;top:6173;width:3072;height:1083" filled="false" stroked="true" strokeweight=".75pt" strokecolor="#006eab">
              <v:stroke dashstyle="solid"/>
            </v:rect>
            <v:shape style="position:absolute;left:6885;top:6181;width:3049;height:1062" coordorigin="6886,6181" coordsize="3049,1062" path="m9639,6181l7181,6181,7102,6192,7032,6222,6972,6268,6926,6327,6896,6398,6886,6476,6886,6948,6896,7026,6926,7097,6972,7156,7032,7202,7102,7232,7181,7243,9639,7243,9718,7232,9788,7202,9848,7156,9894,7097,9924,7026,9934,6948,9934,6476,9924,6398,9894,6327,9848,6268,9788,6222,9718,6192,9639,6181xe" filled="true" fillcolor="#f5e4dd" stroked="false">
              <v:path arrowok="t"/>
              <v:fill type="solid"/>
            </v:shape>
            <v:shape style="position:absolute;left:6885;top:6181;width:3049;height:1062" coordorigin="6886,6181" coordsize="3049,1062" path="m9934,6948l9924,7026,9894,7097,9848,7156,9788,7202,9718,7232,9639,7243,7181,7243,7102,7232,7032,7202,6972,7156,6926,7097,6896,7026,6886,6948,6886,6476,6896,6398,6926,6327,6972,6268,7032,6222,7102,6192,7181,6181,9639,6181,9718,6192,9788,6222,9848,6268,9894,6327,9924,6398,9934,6476,9934,6948xe" filled="false" stroked="true" strokeweight=".75pt" strokecolor="#b5543f">
              <v:path arrowok="t"/>
              <v:stroke dashstyle="solid"/>
            </v:shape>
            <v:line style="position:absolute" from="6576,8684" to="7136,8684" stroked="true" strokeweight="1pt" strokecolor="#7daed2">
              <v:stroke dashstyle="solid"/>
            </v:line>
            <v:line style="position:absolute" from="2948,8684" to="3486,8684" stroked="true" strokeweight="1pt" strokecolor="#7daed2">
              <v:stroke dashstyle="solid"/>
            </v:line>
            <v:shape style="position:absolute;left:348;top:7705;width:2785;height:1523" coordorigin="348,7705" coordsize="2785,1523" path="m2838,7705l643,7705,576,7715,513,7744,459,7787,413,7842,378,7906,356,7974,348,8044,348,8932,359,9011,389,9081,435,9141,494,9187,565,9217,643,9227,2838,9227,2917,9217,2987,9187,3047,9141,3093,9081,3123,9011,3133,8932,3133,8044,3125,7974,3103,7906,3068,7842,3023,7787,2968,7744,2906,7715,2838,7705xe" filled="true" fillcolor="#e5ede8" stroked="false">
              <v:path arrowok="t"/>
              <v:fill type="solid"/>
            </v:shape>
            <v:shape style="position:absolute;left:348;top:7705;width:2785;height:1523" coordorigin="348,7705" coordsize="2785,1523" path="m3133,8932l3123,9011,3093,9081,3047,9141,2987,9187,2917,9217,2838,9227,643,9227,565,9217,494,9187,435,9141,389,9081,359,9011,348,8932,348,8044,356,7974,378,7906,413,7842,459,7787,513,7744,576,7715,643,7705,2838,7705,2906,7715,2968,7744,3023,7787,3068,7842,3103,7906,3125,7974,3133,8044,3133,8932xe" filled="false" stroked="true" strokeweight=".75pt" strokecolor="#82a996">
              <v:path arrowok="t"/>
              <v:stroke dashstyle="solid"/>
            </v:shape>
            <v:rect style="position:absolute;left:3503;top:9253;width:3072;height:26" filled="true" fillcolor="#0085b9" stroked="false">
              <v:fill type="solid"/>
            </v:rect>
            <v:rect style="position:absolute;left:3503;top:7735;width:3072;height:1544" filled="false" stroked="true" strokeweight=".75pt" strokecolor="#0085b9">
              <v:stroke dashstyle="solid"/>
            </v:rect>
            <v:rect style="position:absolute;left:3485;top:7709;width:3072;height:1544" filled="true" fillcolor="#dae6f1" stroked="false">
              <v:fill type="solid"/>
            </v:rect>
            <v:rect style="position:absolute;left:3485;top:7709;width:3072;height:1544" filled="false" stroked="true" strokeweight=".75pt" strokecolor="#006eab">
              <v:stroke dashstyle="solid"/>
            </v:rect>
            <v:shape style="position:absolute;left:6885;top:7696;width:3049;height:1589" coordorigin="6886,7696" coordsize="3049,1589" path="m9639,7696l7181,7696,7113,7706,7051,7735,6996,7778,6951,7833,6916,7896,6894,7965,6886,8035,6886,8989,6896,9068,6926,9138,6972,9198,7032,9244,7102,9274,7181,9284,9639,9284,9718,9274,9788,9244,9848,9198,9894,9138,9924,9068,9934,8989,9934,8035,9926,7965,9904,7896,9869,7833,9824,7778,9769,7735,9707,7706,9639,7696xe" filled="true" fillcolor="#f5e4dd" stroked="false">
              <v:path arrowok="t"/>
              <v:fill type="solid"/>
            </v:shape>
            <v:shape style="position:absolute;left:6885;top:7696;width:3049;height:1589" coordorigin="6886,7696" coordsize="3049,1589" path="m9934,8989l9924,9068,9894,9138,9848,9198,9788,9244,9718,9274,9639,9284,7181,9284,7102,9274,7032,9244,6972,9198,6926,9138,6896,9068,6886,8989,6886,8035,6894,7965,6916,7896,6951,7833,6996,7778,7051,7735,7113,7706,7181,7696,9639,7696,9707,7706,9769,7735,9824,7778,9869,7833,9904,7896,9926,7965,9934,8035,9934,8989xe" filled="false" stroked="true" strokeweight=".75pt" strokecolor="#b5543f">
              <v:path arrowok="t"/>
              <v:stroke dashstyle="solid"/>
            </v:shape>
            <v:line style="position:absolute" from="6554,10309" to="7114,10309" stroked="true" strokeweight="1pt" strokecolor="#7daed2">
              <v:stroke dashstyle="solid"/>
            </v:line>
            <v:line style="position:absolute" from="2926,10309" to="3464,10309" stroked="true" strokeweight="1pt" strokecolor="#7daed2">
              <v:stroke dashstyle="solid"/>
            </v:line>
            <v:shape style="position:absolute;left:348;top:9702;width:2785;height:1062" coordorigin="348,9703" coordsize="2785,1062" path="m2838,9703l643,9703,565,9713,494,9743,435,9789,389,9849,359,9919,348,9998,348,10469,359,10547,389,10618,435,10678,494,10724,565,10753,643,10764,2838,10764,2917,10753,2987,10724,3047,10678,3093,10618,3123,10547,3133,10469,3133,9998,3123,9919,3093,9849,3047,9789,2987,9743,2917,9713,2838,9703xe" filled="true" fillcolor="#e5ede8" stroked="false">
              <v:path arrowok="t"/>
              <v:fill type="solid"/>
            </v:shape>
            <v:shape style="position:absolute;left:348;top:9702;width:2785;height:1062" coordorigin="348,9703" coordsize="2785,1062" path="m3133,10469l3123,10547,3093,10618,3047,10678,2987,10724,2917,10753,2838,10764,643,10764,565,10753,494,10724,435,10678,389,10618,359,10547,348,10469,348,9998,359,9919,389,9849,435,9789,494,9743,565,9713,643,9703,2838,9703,2917,9713,2987,9743,3047,9789,3093,9849,3123,9919,3133,9998,3133,10469xe" filled="false" stroked="true" strokeweight=".75pt" strokecolor="#82a996">
              <v:path arrowok="t"/>
              <v:stroke dashstyle="solid"/>
            </v:shape>
            <v:rect style="position:absolute;left:3481;top:10789;width:3072;height:26" filled="true" fillcolor="#0085b9" stroked="false">
              <v:fill type="solid"/>
            </v:rect>
            <v:rect style="position:absolute;left:3481;top:9733;width:3072;height:1083" filled="false" stroked="true" strokeweight=".75pt" strokecolor="#0085b9">
              <v:stroke dashstyle="solid"/>
            </v:rect>
            <v:rect style="position:absolute;left:3463;top:9707;width:3072;height:1083" filled="true" fillcolor="#dae6f1" stroked="false">
              <v:fill type="solid"/>
            </v:rect>
            <v:rect style="position:absolute;left:3463;top:9707;width:3072;height:1083" filled="false" stroked="true" strokeweight=".75pt" strokecolor="#006eab">
              <v:stroke dashstyle="solid"/>
            </v:rect>
            <v:shape style="position:absolute;left:6885;top:9715;width:3049;height:1062" coordorigin="6886,9716" coordsize="3049,1062" path="m9639,9716l7181,9716,7102,9726,7032,9756,6972,9802,6926,9862,6896,9932,6886,10010,6886,10482,6896,10560,6926,10631,6972,10690,7032,10737,7102,10766,7181,10777,9639,10777,9718,10766,9788,10737,9848,10690,9894,10631,9924,10560,9934,10482,9934,10010,9924,9932,9894,9862,9848,9802,9788,9756,9718,9726,9639,9716xe" filled="true" fillcolor="#f5e4dd" stroked="false">
              <v:path arrowok="t"/>
              <v:fill type="solid"/>
            </v:shape>
            <v:shape style="position:absolute;left:6885;top:9715;width:3049;height:1062" coordorigin="6886,9716" coordsize="3049,1062" path="m9934,10482l9924,10560,9894,10631,9848,10690,9788,10737,9718,10766,9639,10777,7181,10777,7102,10766,7032,10737,6972,10690,6926,10631,6896,10560,6886,10482,6886,10010,6896,9932,6926,9862,6972,9802,7032,9756,7102,9726,7181,9716,9639,9716,9718,9726,9788,9756,9848,9802,9894,9862,9924,9932,9934,10010,9934,10482xe" filled="false" stroked="true" strokeweight=".75pt" strokecolor="#b5543f">
              <v:path arrowok="t"/>
              <v:stroke dashstyle="solid"/>
            </v:shape>
            <v:line style="position:absolute" from="6554,11757" to="7114,11757" stroked="true" strokeweight="1pt" strokecolor="#7daed2">
              <v:stroke dashstyle="solid"/>
            </v:line>
            <v:line style="position:absolute" from="2926,11757" to="3464,11757" stroked="true" strokeweight="1pt" strokecolor="#7daed2">
              <v:stroke dashstyle="solid"/>
            </v:line>
            <v:shape style="position:absolute;left:348;top:11239;width:2785;height:1347" coordorigin="348,11239" coordsize="2785,1347" path="m2838,11239l643,11239,565,11250,494,11280,435,11326,389,11385,359,11456,348,11534,348,12291,359,12369,389,12440,435,12500,494,12546,565,12575,643,12586,2838,12586,2917,12575,2987,12546,3047,12500,3093,12440,3123,12369,3133,12291,3133,11534,3123,11456,3093,11385,3047,11326,2987,11280,2917,11250,2838,11239xe" filled="true" fillcolor="#e5ede8" stroked="false">
              <v:path arrowok="t"/>
              <v:fill type="solid"/>
            </v:shape>
            <v:shape style="position:absolute;left:348;top:11239;width:2785;height:1347" coordorigin="348,11239" coordsize="2785,1347" path="m3133,12291l3123,12369,3093,12440,3047,12500,2987,12546,2917,12575,2838,12586,643,12586,565,12575,494,12546,435,12500,389,12440,359,12369,348,12291,348,11534,359,11456,389,11385,435,11326,494,11280,565,11250,643,11239,2838,11239,2917,11250,2987,11280,3047,11326,3093,11385,3123,11456,3133,11534,3133,12291xe" filled="false" stroked="true" strokeweight=".75pt" strokecolor="#82a996">
              <v:path arrowok="t"/>
              <v:stroke dashstyle="solid"/>
            </v:shape>
            <v:rect style="position:absolute;left:3481;top:12611;width:3072;height:26" filled="true" fillcolor="#0085b9" stroked="false">
              <v:fill type="solid"/>
            </v:rect>
            <v:rect style="position:absolute;left:3481;top:11269;width:3072;height:1368" filled="false" stroked="true" strokeweight=".75pt" strokecolor="#0085b9">
              <v:stroke dashstyle="solid"/>
            </v:rect>
            <v:rect style="position:absolute;left:3463;top:11244;width:3072;height:1368" filled="true" fillcolor="#dae6f1" stroked="false">
              <v:fill type="solid"/>
            </v:rect>
            <v:rect style="position:absolute;left:3463;top:11244;width:3072;height:1368" filled="false" stroked="true" strokeweight=".75pt" strokecolor="#006eab">
              <v:stroke dashstyle="solid"/>
            </v:rect>
            <v:shape style="position:absolute;left:6885;top:11252;width:3049;height:1347" coordorigin="6886,11252" coordsize="3049,1347" path="m9639,11252l7181,11252,7102,11263,7032,11292,6972,11339,6926,11398,6896,11469,6886,11547,6886,12304,6896,12382,6926,12453,6972,12512,7032,12559,7102,12588,7181,12599,9639,12599,9718,12588,9788,12559,9848,12512,9894,12453,9924,12382,9934,12304,9934,11547,9924,11469,9894,11398,9848,11339,9788,11292,9718,11263,9639,11252xe" filled="true" fillcolor="#f5e4dd" stroked="false">
              <v:path arrowok="t"/>
              <v:fill type="solid"/>
            </v:shape>
            <v:shape style="position:absolute;left:6885;top:11252;width:3049;height:1347" coordorigin="6886,11252" coordsize="3049,1347" path="m9934,12304l9924,12382,9894,12453,9848,12512,9788,12559,9718,12588,9639,12599,7181,12599,7102,12588,7032,12559,6972,12512,6926,12453,6896,12382,6886,12304,6886,11547,6896,11469,6926,11398,6972,11339,7032,11292,7102,11263,7181,11252,9639,11252,9718,11263,9788,11292,9848,11339,9894,11398,9924,11469,9934,11547,9934,12304xe" filled="false" stroked="true" strokeweight=".75pt" strokecolor="#b5543f">
              <v:path arrowok="t"/>
              <v:stroke dashstyle="solid"/>
            </v:shape>
            <v:rect style="position:absolute;left:5;top:5;width:10271;height:12858" filled="false" stroked="true" strokeweight=".5pt" strokecolor="#000000">
              <v:stroke dashstyle="solid"/>
            </v:rect>
            <v:shape style="position:absolute;left:7633;top:329;width:225;height:224" coordorigin="7634,330" coordsize="225,224" path="m7769,330l7721,330,7634,553,7682,553,7700,503,7838,503,7823,465,7714,465,7745,382,7790,382,7769,330xm7838,503l7790,503,7809,553,7858,553,7838,503xm7790,382l7745,382,7776,465,7823,465,7790,382xe" filled="true" fillcolor="#b5543f" stroked="false">
              <v:path arrowok="t"/>
              <v:fill type="solid"/>
            </v:shape>
            <v:shape style="position:absolute;left:7874;top:326;width:196;height:232" coordorigin="7874,326" coordsize="196,232" path="m7979,326l7956,328,7936,334,7919,343,7903,357,7890,374,7881,394,7876,417,7874,444,7876,469,7881,491,7890,510,7903,527,7918,540,7935,550,7955,555,7976,557,7993,556,8009,553,8023,547,8036,539,8047,529,8054,519,7976,519,7964,518,7954,514,7944,509,7936,501,7929,490,7925,477,7922,460,7921,440,7922,422,7925,406,7929,393,7936,382,7945,374,7954,369,7965,366,7977,364,8057,364,8053,358,8046,350,8032,340,8016,332,7998,328,7979,326xm8025,471l8022,483,8018,492,8013,501,8007,507,7998,515,7988,519,8054,519,8056,517,8063,502,8069,485,8025,471xm8057,364l7989,364,7999,368,8016,381,8021,390,8024,402,8069,391,8064,379,8059,368,8057,364xe" filled="true" fillcolor="#b5543f" stroked="false">
              <v:path arrowok="t"/>
              <v:fill type="solid"/>
            </v:shape>
            <v:line style="position:absolute" from="8181,368" to="8181,553" stroked="true" strokeweight="2.265pt" strokecolor="#b5543f">
              <v:stroke dashstyle="solid"/>
            </v:line>
            <v:line style="position:absolute" from="8092,349" to="8269,349" stroked="true" strokeweight="1.887pt" strokecolor="#b5543f">
              <v:stroke dashstyle="solid"/>
            </v:line>
            <v:line style="position:absolute" from="8319,330" to="8319,553" stroked="true" strokeweight="2.264pt" strokecolor="#b5543f">
              <v:stroke dashstyle="solid"/>
            </v:line>
            <v:shape style="position:absolute;left:8362;top:329;width:209;height:224" coordorigin="8362,330" coordsize="209,224" path="m8411,330l8362,330,8442,553,8491,553,8511,495,8468,495,8411,330xm8570,330l8522,330,8468,495,8511,495,8570,330xe" filled="true" fillcolor="#b5543f" stroked="false">
              <v:path arrowok="t"/>
              <v:fill type="solid"/>
            </v:shape>
            <v:line style="position:absolute" from="8614,330" to="8614,553" stroked="true" strokeweight="2.264pt" strokecolor="#b5543f">
              <v:stroke dashstyle="solid"/>
            </v:line>
            <v:line style="position:absolute" from="8753,368" to="8753,553" stroked="true" strokeweight="2.265pt" strokecolor="#b5543f">
              <v:stroke dashstyle="solid"/>
            </v:line>
            <v:line style="position:absolute" from="8664,349" to="8841,349" stroked="true" strokeweight="1.887pt" strokecolor="#b5543f">
              <v:stroke dashstyle="solid"/>
            </v:line>
            <v:shape style="position:absolute;left:8847;top:329;width:209;height:224" coordorigin="8847,330" coordsize="209,224" path="m8900,330l8847,330,8929,459,8929,553,8974,553,8974,460,9000,418,8953,418,8900,330xm9056,330l9004,330,8953,418,9000,418,9056,330xe" filled="true" fillcolor="#b5543f" stroked="false">
              <v:path arrowok="t"/>
              <v:fill type="solid"/>
            </v:shape>
            <v:shape style="position:absolute;left:733;top:1061;width:2008;height:155" type="#_x0000_t75" stroked="false">
              <v:imagedata r:id="rId164" o:title=""/>
            </v:shape>
            <v:shape style="position:absolute;left:3889;top:1090;width:2256;height:210" type="#_x0000_t75" stroked="false">
              <v:imagedata r:id="rId165" o:title=""/>
            </v:shape>
            <v:shape style="position:absolute;left:7138;top:1049;width:2446;height:320" type="#_x0000_t75" stroked="false">
              <v:imagedata r:id="rId166" o:title=""/>
            </v:shape>
            <v:shape style="position:absolute;left:3691;top:2218;width:125;height:142" coordorigin="3692,2219" coordsize="125,142" path="m3767,2219l3692,2219,3692,2360,3710,2360,3710,2297,3768,2297,3765,2296,3778,2294,3788,2290,3796,2281,3710,2281,3710,2234,3798,2234,3795,2229,3789,2225,3776,2220,3767,2219xm3768,2297l3737,2297,3740,2298,3742,2298,3745,2299,3748,2300,3754,2304,3757,2307,3764,2316,3768,2322,3774,2331,3792,2360,3816,2360,3791,2322,3787,2314,3781,2308,3776,2303,3773,2301,3770,2298,3768,2297xm3798,2234l3765,2234,3773,2236,3783,2245,3785,2251,3785,2262,3784,2266,3779,2274,3775,2277,3766,2280,3759,2281,3796,2281,3801,2276,3804,2267,3804,2250,3802,2242,3798,2234xe" filled="true" fillcolor="#000000" stroked="false">
              <v:path arrowok="t"/>
              <v:fill type="solid"/>
            </v:shape>
            <v:shape style="position:absolute;left:3825;top:2255;width:95;height:108" coordorigin="3826,2255" coordsize="95,108" path="m3887,2255l3859,2255,3848,2260,3839,2270,3833,2277,3829,2287,3826,2298,3826,2310,3826,2322,3829,2332,3833,2341,3839,2349,3848,2358,3859,2363,3886,2363,3896,2360,3911,2348,3866,2348,3859,2345,3847,2333,3844,2325,3843,2313,3920,2313,3920,2309,3919,2299,3844,2299,3845,2290,3848,2283,3859,2272,3866,2270,3907,2270,3907,2269,3898,2260,3887,2255xm3902,2327l3899,2335,3895,2340,3886,2347,3881,2348,3911,2348,3917,2340,3919,2330,3902,2327xm3907,2270l3882,2270,3890,2273,3899,2284,3901,2290,3902,2299,3919,2299,3919,2297,3917,2286,3913,2277,3907,2270xe" filled="true" fillcolor="#000000" stroked="false">
              <v:path arrowok="t"/>
              <v:fill type="solid"/>
            </v:shape>
            <v:shape style="position:absolute;left:3934;top:2255;width:91;height:147" coordorigin="3935,2255" coordsize="91,147" path="m3938,2369l3938,2380,3942,2388,3957,2399,3966,2402,3989,2402,3998,2400,4012,2392,4016,2387,3971,2387,3965,2386,3958,2380,3956,2376,3955,2371,3938,2369xm4025,2347l4007,2347,4007,2360,4007,2366,4006,2369,4005,2375,4002,2379,3993,2386,3987,2387,4016,2387,4017,2387,4023,2373,4025,2362,4025,2347xm3991,2255l3970,2255,3962,2257,3949,2267,3944,2273,3936,2289,3935,2298,3935,2323,3939,2335,3954,2355,3965,2360,3990,2360,4000,2356,4007,2347,4025,2347,4025,2346,3973,2346,3966,2343,3955,2330,3953,2321,3953,2295,3955,2285,3966,2273,3973,2270,4009,2270,4001,2260,3991,2255xm4009,2270l3988,2270,3995,2273,3995,2273,4000,2279,4006,2286,4009,2295,4009,2321,4006,2330,3995,2343,3989,2346,4025,2346,4025,2270,4009,2270,4009,2270xm4025,2258l4009,2258,4009,2270,4025,2270,4025,2258xe" filled="true" fillcolor="#000000" stroked="false">
              <v:path arrowok="t"/>
              <v:fill type="solid"/>
            </v:shape>
            <v:rect style="position:absolute;left:4051;top:2257;width:18;height:103" filled="true" fillcolor="#000000" stroked="false">
              <v:fill type="solid"/>
            </v:rect>
            <v:rect style="position:absolute;left:4051;top:2218;width:18;height:20" filled="true" fillcolor="#000000" stroked="false">
              <v:fill type="solid"/>
            </v:rect>
            <v:shape style="position:absolute;left:4088;top:2255;width:97;height:108" coordorigin="4089,2255" coordsize="97,108" path="m4151,2255l4124,2255,4113,2259,4104,2267,4097,2274,4093,2284,4090,2296,4089,2309,4089,2321,4092,2332,4096,2341,4102,2349,4111,2358,4122,2363,4146,2363,4154,2361,4169,2352,4173,2348,4128,2348,4121,2345,4109,2332,4109,2331,4106,2322,4106,2296,4109,2286,4121,2273,4128,2270,4172,2270,4171,2269,4162,2260,4151,2255xm4172,2270l4145,2270,4152,2273,4164,2286,4167,2296,4167,2322,4164,2332,4152,2345,4145,2348,4173,2348,4175,2346,4183,2331,4185,2321,4185,2307,4184,2296,4181,2286,4177,2277,4172,2270xe" filled="true" fillcolor="#000000" stroked="false">
              <v:path arrowok="t"/>
              <v:fill type="solid"/>
            </v:shape>
            <v:shape style="position:absolute;left:4204;top:2255;width:83;height:105" coordorigin="4205,2255" coordsize="83,105" path="m4221,2258l4205,2258,4205,2360,4222,2360,4223,2291,4225,2282,4236,2273,4237,2272,4221,2272,4221,2258xm4284,2270l4254,2270,4258,2271,4265,2276,4267,2278,4270,2285,4270,2291,4270,2360,4288,2360,4288,2289,4288,2283,4286,2275,4284,2271,4284,2270xm4259,2255l4239,2255,4228,2261,4221,2272,4237,2272,4242,2270,4284,2270,4279,2264,4275,2261,4265,2256,4259,2255xe" filled="true" fillcolor="#000000" stroked="false">
              <v:path arrowok="t"/>
              <v:fill type="solid"/>
            </v:shape>
            <v:shape style="position:absolute;left:4309;top:2255;width:95;height:108" coordorigin="4309,2255" coordsize="95,108" path="m4395,2270l4365,2270,4372,2272,4379,2278,4381,2283,4381,2295,4374,2297,4364,2299,4343,2302,4338,2303,4334,2304,4329,2305,4325,2307,4318,2312,4315,2315,4310,2324,4309,2328,4309,2342,4312,2349,4324,2360,4333,2363,4351,2363,4358,2361,4370,2357,4376,2353,4381,2349,4342,2349,4336,2347,4329,2341,4328,2338,4328,2330,4328,2327,4332,2322,4334,2320,4340,2317,4345,2316,4365,2313,4375,2311,4381,2309,4398,2309,4398,2283,4398,2281,4397,2278,4396,2273,4395,2270xm4399,2347l4382,2347,4383,2352,4383,2353,4384,2357,4386,2360,4403,2360,4401,2356,4400,2352,4399,2347xm4398,2309l4381,2309,4381,2324,4380,2329,4376,2338,4372,2342,4361,2347,4355,2349,4381,2349,4382,2347,4399,2347,4399,2344,4398,2337,4398,2309xm4367,2255l4350,2255,4342,2256,4335,2259,4328,2261,4323,2265,4316,2274,4314,2280,4312,2287,4330,2289,4331,2282,4334,2277,4342,2271,4348,2270,4395,2270,4395,2269,4392,2266,4389,2263,4385,2260,4374,2256,4367,2255xe" filled="true" fillcolor="#000000" stroked="false">
              <v:path arrowok="t"/>
              <v:fill type="solid"/>
            </v:shape>
            <v:shape style="position:absolute;left:4424;top:2218;width:1924;height:184" type="#_x0000_t75" stroked="false">
              <v:imagedata r:id="rId167" o:title=""/>
            </v:shape>
            <v:shape style="position:absolute;left:7138;top:2186;width:2459;height:153" type="#_x0000_t75" stroked="false">
              <v:imagedata r:id="rId168" o:title=""/>
            </v:shape>
            <v:shape style="position:absolute;left:1182;top:3402;width:1112;height:122" type="#_x0000_t75" stroked="false">
              <v:imagedata r:id="rId169" o:title=""/>
            </v:shape>
            <v:shape style="position:absolute;left:3745;top:3431;width:2481;height:384" type="#_x0000_t75" stroked="false">
              <v:imagedata r:id="rId170" o:title=""/>
            </v:shape>
            <v:shape style="position:absolute;left:7138;top:3301;width:1791;height:715" type="#_x0000_t75" stroked="false">
              <v:imagedata r:id="rId171" o:title=""/>
            </v:shape>
            <v:shape style="position:absolute;left:1063;top:4946;width:1350;height:153" type="#_x0000_t75" stroked="false">
              <v:imagedata r:id="rId172" o:title=""/>
            </v:shape>
            <v:shape style="position:absolute;left:3701;top:4975;width:2574;height:447" type="#_x0000_t75" stroked="false">
              <v:imagedata r:id="rId173" o:title=""/>
            </v:shape>
            <v:shape style="position:absolute;left:7138;top:4730;width:2583;height:943" type="#_x0000_t75" stroked="false">
              <v:imagedata r:id="rId174" o:title=""/>
            </v:shape>
            <v:shape style="position:absolute;left:987;top:6469;width:1460;height:351" type="#_x0000_t75" stroked="false">
              <v:imagedata r:id="rId175" o:title=""/>
            </v:shape>
            <v:shape style="position:absolute;left:3630;top:6497;width:2773;height:447" type="#_x0000_t75" stroked="false">
              <v:imagedata r:id="rId176" o:title=""/>
            </v:shape>
            <v:shape style="position:absolute;left:7138;top:6484;width:2446;height:351" type="#_x0000_t75" stroked="false">
              <v:imagedata r:id="rId177" o:title=""/>
            </v:shape>
            <v:shape style="position:absolute;left:630;top:8047;width:2219;height:546" type="#_x0000_t75" stroked="false">
              <v:imagedata r:id="rId178" o:title=""/>
            </v:shape>
            <v:shape style="position:absolute;left:4041;top:8043;width:1962;height:210" type="#_x0000_t75" stroked="false">
              <v:imagedata r:id="rId179" o:title=""/>
            </v:shape>
            <v:shape style="position:absolute;left:611;top:9996;width:2242;height:517" type="#_x0000_t75" stroked="false">
              <v:imagedata r:id="rId180" o:title=""/>
            </v:shape>
            <v:shape style="position:absolute;left:3633;top:10038;width:2763;height:423" type="#_x0000_t75" stroked="false">
              <v:imagedata r:id="rId181" o:title=""/>
            </v:shape>
            <v:shape style="position:absolute;left:7138;top:9861;width:1988;height:748" type="#_x0000_t75" stroked="false">
              <v:imagedata r:id="rId182" o:title=""/>
            </v:shape>
            <v:shape style="position:absolute;left:573;top:11602;width:2290;height:318" type="#_x0000_t75" stroked="false">
              <v:imagedata r:id="rId183" o:title=""/>
            </v:shape>
            <v:shape style="position:absolute;left:4486;top:11685;width:1059;height:147" type="#_x0000_t75" stroked="false">
              <v:imagedata r:id="rId184" o:title=""/>
            </v:shape>
            <v:shape style="position:absolute;left:7138;top:11371;width:2400;height:1143" type="#_x0000_t75" stroked="false">
              <v:imagedata r:id="rId185" o:title=""/>
            </v:shape>
            <v:shape style="position:absolute;left:834;top:2173;width:1768;height:349" type="#_x0000_t75" stroked="false">
              <v:imagedata r:id="rId186" o:title=""/>
            </v:shape>
            <v:line style="position:absolute" from="4997,1531" to="4997,2091" stroked="true" strokeweight="0pt" strokecolor="#006eab">
              <v:stroke dashstyle="solid"/>
            </v:line>
            <v:shape style="position:absolute;left:4676;top:1530;width:641;height:560" coordorigin="4676,1531" coordsize="641,560" path="m5317,1894l4676,1894,4997,2091,5317,1894xm5187,1531l4806,1531,4806,1894,5187,1894,5187,1531xe" filled="true" fillcolor="#006eab" stroked="false">
              <v:path arrowok="t"/>
              <v:fill type="solid"/>
            </v:shape>
            <v:line style="position:absolute" from="4997,2650" to="4997,3210" stroked="true" strokeweight="0pt" strokecolor="#006eab">
              <v:stroke dashstyle="solid"/>
            </v:line>
            <v:shape style="position:absolute;left:4676;top:2650;width:641;height:560" coordorigin="4676,2650" coordsize="641,560" path="m5317,3014l4676,3014,4997,3210,5317,3014xm5187,2650l4806,2650,4806,3014,5187,3014,5187,2650xe" filled="true" fillcolor="#006eab" stroked="false">
              <v:path arrowok="t"/>
              <v:fill type="solid"/>
            </v:shape>
            <v:line style="position:absolute" from="4997,4187" to="4997,4747" stroked="true" strokeweight="0pt" strokecolor="#006eab">
              <v:stroke dashstyle="solid"/>
            </v:line>
            <v:shape style="position:absolute;left:4676;top:4186;width:641;height:560" coordorigin="4676,4187" coordsize="641,560" path="m5317,4551l4676,4551,4997,4747,5317,4551xm5187,4187l4806,4187,4806,4551,5187,4551,5187,4187xe" filled="true" fillcolor="#006eab" stroked="false">
              <v:path arrowok="t"/>
              <v:fill type="solid"/>
            </v:shape>
            <v:line style="position:absolute" from="4997,5724" to="4997,6283" stroked="true" strokeweight="0pt" strokecolor="#006eab">
              <v:stroke dashstyle="solid"/>
            </v:line>
            <v:shape style="position:absolute;left:4676;top:5723;width:641;height:560" coordorigin="4676,5724" coordsize="641,560" path="m5317,6087l4676,6087,4997,6283,5317,6087xm5187,5724l4806,5724,4806,6087,5187,6087,5187,5724xe" filled="true" fillcolor="#006eab" stroked="false">
              <v:path arrowok="t"/>
              <v:fill type="solid"/>
            </v:shape>
            <v:line style="position:absolute" from="4997,7260" to="4997,7820" stroked="true" strokeweight="0pt" strokecolor="#006eab">
              <v:stroke dashstyle="solid"/>
            </v:line>
            <v:shape style="position:absolute;left:4676;top:7260;width:641;height:560" coordorigin="4676,7260" coordsize="641,560" path="m5317,7624l4676,7624,4997,7820,5317,7624xm5187,7260l4806,7260,4806,7624,5187,7624,5187,7260xe" filled="true" fillcolor="#006eab" stroked="false">
              <v:path arrowok="t"/>
              <v:fill type="solid"/>
            </v:shape>
            <v:line style="position:absolute" from="4997,9258" to="4997,9818" stroked="true" strokeweight="0pt" strokecolor="#006eab">
              <v:stroke dashstyle="solid"/>
            </v:line>
            <v:shape style="position:absolute;left:4676;top:9257;width:641;height:560" coordorigin="4676,9258" coordsize="641,560" path="m5317,9621l4676,9621,4997,9818,5317,9621xm5187,9258l4806,9258,4806,9621,5187,9621,5187,9258xe" filled="true" fillcolor="#006eab" stroked="false">
              <v:path arrowok="t"/>
              <v:fill type="solid"/>
            </v:shape>
            <v:line style="position:absolute" from="4997,10794" to="4997,11354" stroked="true" strokeweight="0pt" strokecolor="#006eab">
              <v:stroke dashstyle="solid"/>
            </v:line>
            <v:shape style="position:absolute;left:4676;top:10794;width:641;height:560" coordorigin="4676,10794" coordsize="641,560" path="m5317,11158l4676,11158,4997,11354,5317,11158xm5187,10794l4806,10794,4806,11158,5187,11158,5187,10794xe" filled="true" fillcolor="#006eab" stroked="false">
              <v:path arrowok="t"/>
              <v:fill type="solid"/>
            </v:shape>
            <v:shape style="position:absolute;left:7140;top:7830;width:2451;height:1343" type="#_x0000_t75" stroked="false">
              <v:imagedata r:id="rId187" o:title=""/>
            </v:shape>
          </v:group>
        </w:pict>
      </w:r>
      <w:r>
        <w:rPr/>
      </w:r>
    </w:p>
    <w:p>
      <w:pPr>
        <w:spacing w:line="211" w:lineRule="auto" w:before="65"/>
        <w:ind w:left="157" w:right="0" w:firstLine="0"/>
        <w:jc w:val="left"/>
        <w:rPr>
          <w:sz w:val="18"/>
        </w:rPr>
      </w:pPr>
      <w:bookmarkStart w:name="_bookmark32" w:id="59"/>
      <w:bookmarkEnd w:id="59"/>
      <w:r>
        <w:rPr/>
      </w:r>
      <w:r>
        <w:rPr>
          <w:b/>
          <w:sz w:val="18"/>
        </w:rPr>
        <w:t>Figure</w:t>
      </w:r>
      <w:r>
        <w:rPr>
          <w:b/>
          <w:spacing w:val="-12"/>
          <w:sz w:val="18"/>
        </w:rPr>
        <w:t> </w:t>
      </w:r>
      <w:r>
        <w:rPr>
          <w:b/>
          <w:sz w:val="18"/>
        </w:rPr>
        <w:t>5.19</w:t>
      </w:r>
      <w:r>
        <w:rPr>
          <w:b/>
          <w:spacing w:val="22"/>
          <w:sz w:val="18"/>
        </w:rPr>
        <w:t> </w:t>
      </w:r>
      <w:r>
        <w:rPr>
          <w:sz w:val="18"/>
        </w:rPr>
        <w:t>Life</w:t>
      </w:r>
      <w:r>
        <w:rPr>
          <w:spacing w:val="-11"/>
          <w:sz w:val="18"/>
        </w:rPr>
        <w:t> </w:t>
      </w:r>
      <w:r>
        <w:rPr>
          <w:sz w:val="18"/>
        </w:rPr>
        <w:t>cycle</w:t>
      </w:r>
      <w:r>
        <w:rPr>
          <w:spacing w:val="-12"/>
          <w:sz w:val="18"/>
        </w:rPr>
        <w:t> </w:t>
      </w:r>
      <w:r>
        <w:rPr>
          <w:sz w:val="18"/>
        </w:rPr>
        <w:t>of</w:t>
      </w:r>
      <w:r>
        <w:rPr>
          <w:spacing w:val="-11"/>
          <w:sz w:val="18"/>
        </w:rPr>
        <w:t> </w:t>
      </w:r>
      <w:r>
        <w:rPr>
          <w:sz w:val="18"/>
        </w:rPr>
        <w:t>a</w:t>
      </w:r>
      <w:r>
        <w:rPr>
          <w:spacing w:val="-11"/>
          <w:sz w:val="18"/>
        </w:rPr>
        <w:t> </w:t>
      </w:r>
      <w:r>
        <w:rPr>
          <w:sz w:val="18"/>
        </w:rPr>
        <w:t>CO</w:t>
      </w:r>
      <w:r>
        <w:rPr>
          <w:position w:val="-5"/>
          <w:sz w:val="10"/>
        </w:rPr>
        <w:t>2</w:t>
      </w:r>
      <w:r>
        <w:rPr>
          <w:spacing w:val="8"/>
          <w:position w:val="-5"/>
          <w:sz w:val="10"/>
        </w:rPr>
        <w:t> </w:t>
      </w:r>
      <w:r>
        <w:rPr>
          <w:sz w:val="18"/>
        </w:rPr>
        <w:t>storage</w:t>
      </w:r>
      <w:r>
        <w:rPr>
          <w:spacing w:val="-11"/>
          <w:sz w:val="18"/>
        </w:rPr>
        <w:t> </w:t>
      </w:r>
      <w:r>
        <w:rPr>
          <w:sz w:val="18"/>
        </w:rPr>
        <w:t>project</w:t>
      </w:r>
      <w:r>
        <w:rPr>
          <w:spacing w:val="-12"/>
          <w:sz w:val="18"/>
        </w:rPr>
        <w:t> </w:t>
      </w:r>
      <w:r>
        <w:rPr>
          <w:sz w:val="18"/>
        </w:rPr>
        <w:t>showing</w:t>
      </w:r>
      <w:r>
        <w:rPr>
          <w:spacing w:val="-11"/>
          <w:sz w:val="18"/>
        </w:rPr>
        <w:t> </w:t>
      </w:r>
      <w:r>
        <w:rPr>
          <w:sz w:val="18"/>
        </w:rPr>
        <w:t>the</w:t>
      </w:r>
      <w:r>
        <w:rPr>
          <w:spacing w:val="-12"/>
          <w:sz w:val="18"/>
        </w:rPr>
        <w:t> </w:t>
      </w:r>
      <w:r>
        <w:rPr>
          <w:sz w:val="18"/>
        </w:rPr>
        <w:t>importance</w:t>
      </w:r>
      <w:r>
        <w:rPr>
          <w:spacing w:val="-11"/>
          <w:sz w:val="18"/>
        </w:rPr>
        <w:t> </w:t>
      </w:r>
      <w:r>
        <w:rPr>
          <w:sz w:val="18"/>
        </w:rPr>
        <w:t>of</w:t>
      </w:r>
      <w:r>
        <w:rPr>
          <w:spacing w:val="-11"/>
          <w:sz w:val="18"/>
        </w:rPr>
        <w:t> </w:t>
      </w:r>
      <w:r>
        <w:rPr>
          <w:sz w:val="18"/>
        </w:rPr>
        <w:t>integrating</w:t>
      </w:r>
      <w:r>
        <w:rPr>
          <w:spacing w:val="-12"/>
          <w:sz w:val="18"/>
        </w:rPr>
        <w:t> </w:t>
      </w:r>
      <w:r>
        <w:rPr>
          <w:sz w:val="18"/>
        </w:rPr>
        <w:t>site</w:t>
      </w:r>
      <w:r>
        <w:rPr>
          <w:spacing w:val="-11"/>
          <w:sz w:val="18"/>
        </w:rPr>
        <w:t> </w:t>
      </w:r>
      <w:r>
        <w:rPr>
          <w:sz w:val="18"/>
        </w:rPr>
        <w:t>characterization</w:t>
      </w:r>
      <w:r>
        <w:rPr>
          <w:spacing w:val="-12"/>
          <w:sz w:val="18"/>
        </w:rPr>
        <w:t> </w:t>
      </w:r>
      <w:r>
        <w:rPr>
          <w:sz w:val="18"/>
        </w:rPr>
        <w:t>with</w:t>
      </w:r>
      <w:r>
        <w:rPr>
          <w:spacing w:val="-11"/>
          <w:sz w:val="18"/>
        </w:rPr>
        <w:t> </w:t>
      </w:r>
      <w:r>
        <w:rPr>
          <w:sz w:val="18"/>
        </w:rPr>
        <w:t>a</w:t>
      </w:r>
      <w:r>
        <w:rPr>
          <w:spacing w:val="-11"/>
          <w:sz w:val="18"/>
        </w:rPr>
        <w:t> </w:t>
      </w:r>
      <w:r>
        <w:rPr>
          <w:sz w:val="18"/>
        </w:rPr>
        <w:t>range</w:t>
      </w:r>
      <w:r>
        <w:rPr>
          <w:spacing w:val="-12"/>
          <w:sz w:val="18"/>
        </w:rPr>
        <w:t> </w:t>
      </w:r>
      <w:r>
        <w:rPr>
          <w:sz w:val="18"/>
        </w:rPr>
        <w:t>of</w:t>
      </w:r>
      <w:r>
        <w:rPr>
          <w:spacing w:val="-11"/>
          <w:sz w:val="18"/>
        </w:rPr>
        <w:t> </w:t>
      </w:r>
      <w:r>
        <w:rPr>
          <w:sz w:val="18"/>
        </w:rPr>
        <w:t>regulatory,</w:t>
      </w:r>
      <w:r>
        <w:rPr>
          <w:spacing w:val="-12"/>
          <w:sz w:val="18"/>
        </w:rPr>
        <w:t> </w:t>
      </w:r>
      <w:r>
        <w:rPr>
          <w:sz w:val="18"/>
        </w:rPr>
        <w:t>monitoring, economic, risking and engineering issues.</w:t>
      </w:r>
    </w:p>
    <w:p>
      <w:pPr>
        <w:spacing w:after="0" w:line="211" w:lineRule="auto"/>
        <w:jc w:val="left"/>
        <w:rPr>
          <w:sz w:val="18"/>
        </w:rPr>
        <w:sectPr>
          <w:pgSz w:w="12240" w:h="15840"/>
          <w:pgMar w:header="567" w:footer="0" w:top="760" w:bottom="280" w:left="580" w:right="600"/>
        </w:sectPr>
      </w:pPr>
    </w:p>
    <w:p>
      <w:pPr>
        <w:pStyle w:val="BodyText"/>
      </w:pPr>
    </w:p>
    <w:p>
      <w:pPr>
        <w:pStyle w:val="BodyText"/>
        <w:spacing w:before="9"/>
      </w:pPr>
    </w:p>
    <w:p>
      <w:pPr>
        <w:spacing w:before="1"/>
        <w:ind w:left="553" w:right="0" w:firstLine="0"/>
        <w:jc w:val="left"/>
        <w:rPr>
          <w:sz w:val="18"/>
        </w:rPr>
      </w:pPr>
      <w:bookmarkStart w:name="_bookmark33" w:id="60"/>
      <w:bookmarkEnd w:id="60"/>
      <w:r>
        <w:rPr/>
      </w:r>
      <w:r>
        <w:rPr>
          <w:b/>
          <w:spacing w:val="-17"/>
          <w:w w:val="200"/>
          <w:sz w:val="18"/>
        </w:rPr>
        <w:t>t</w:t>
      </w:r>
      <w:r>
        <w:rPr>
          <w:b/>
          <w:sz w:val="18"/>
        </w:rPr>
        <w:t>able 5.3 </w:t>
      </w:r>
      <w:r>
        <w:rPr>
          <w:spacing w:val="-13"/>
          <w:sz w:val="18"/>
        </w:rPr>
        <w:t>T</w:t>
      </w:r>
      <w:r>
        <w:rPr>
          <w:sz w:val="18"/>
        </w:rPr>
        <w:t>ypes of data that are used to characterize and </w:t>
      </w:r>
      <w:r>
        <w:rPr>
          <w:spacing w:val="-1"/>
          <w:sz w:val="18"/>
        </w:rPr>
        <w:t>selec</w:t>
      </w:r>
      <w:r>
        <w:rPr>
          <w:sz w:val="18"/>
        </w:rPr>
        <w:t>t</w:t>
      </w:r>
      <w:r>
        <w:rPr>
          <w:spacing w:val="-1"/>
          <w:sz w:val="18"/>
        </w:rPr>
        <w:t> </w:t>
      </w:r>
      <w:r>
        <w:rPr>
          <w:sz w:val="18"/>
        </w:rPr>
        <w:t>geological C</w:t>
      </w:r>
      <w:r>
        <w:rPr>
          <w:spacing w:val="-1"/>
          <w:sz w:val="18"/>
        </w:rPr>
        <w:t>O</w:t>
      </w:r>
      <w:r>
        <w:rPr>
          <w:w w:val="104"/>
          <w:position w:val="-5"/>
          <w:sz w:val="10"/>
        </w:rPr>
        <w:t>2</w:t>
      </w:r>
      <w:r>
        <w:rPr>
          <w:position w:val="-5"/>
          <w:sz w:val="10"/>
        </w:rPr>
        <w:t> </w:t>
      </w:r>
      <w:r>
        <w:rPr>
          <w:spacing w:val="-5"/>
          <w:position w:val="-5"/>
          <w:sz w:val="10"/>
        </w:rPr>
        <w:t> </w:t>
      </w:r>
      <w:r>
        <w:rPr>
          <w:spacing w:val="-1"/>
          <w:sz w:val="18"/>
        </w:rPr>
        <w:t>storag</w:t>
      </w:r>
      <w:r>
        <w:rPr>
          <w:sz w:val="18"/>
        </w:rPr>
        <w:t>e</w:t>
      </w:r>
      <w:r>
        <w:rPr>
          <w:spacing w:val="-1"/>
          <w:sz w:val="18"/>
        </w:rPr>
        <w:t> sites.</w:t>
      </w:r>
    </w:p>
    <w:p>
      <w:pPr>
        <w:pStyle w:val="BodyText"/>
        <w:ind w:left="553"/>
      </w:pPr>
      <w:r>
        <w:rPr>
          <w:position w:val="0"/>
        </w:rPr>
        <w:pict>
          <v:shape style="width:518pt;height:209.35pt;mso-position-horizontal-relative:char;mso-position-vertical-relative:line" type="#_x0000_t202" filled="true" fillcolor="#f9fcf9" stroked="true" strokeweight=".5pt" strokecolor="#000000">
            <w10:anchorlock/>
            <v:textbox inset="0,0,0,0">
              <w:txbxContent>
                <w:p>
                  <w:pPr>
                    <w:numPr>
                      <w:ilvl w:val="0"/>
                      <w:numId w:val="9"/>
                    </w:numPr>
                    <w:tabs>
                      <w:tab w:pos="302" w:val="left" w:leader="none"/>
                    </w:tabs>
                    <w:spacing w:before="42"/>
                    <w:ind w:left="301" w:right="0" w:hanging="228"/>
                    <w:jc w:val="left"/>
                    <w:rPr>
                      <w:sz w:val="18"/>
                    </w:rPr>
                  </w:pPr>
                  <w:r>
                    <w:rPr>
                      <w:sz w:val="18"/>
                    </w:rPr>
                    <w:t>Seismic profiles across the area of interest, preferably three-dimensional or closely spaced two-dimensional</w:t>
                  </w:r>
                  <w:r>
                    <w:rPr>
                      <w:spacing w:val="1"/>
                      <w:sz w:val="18"/>
                    </w:rPr>
                    <w:t> </w:t>
                  </w:r>
                  <w:r>
                    <w:rPr>
                      <w:sz w:val="18"/>
                    </w:rPr>
                    <w:t>surveys;</w:t>
                  </w:r>
                </w:p>
                <w:p>
                  <w:pPr>
                    <w:numPr>
                      <w:ilvl w:val="0"/>
                      <w:numId w:val="9"/>
                    </w:numPr>
                    <w:tabs>
                      <w:tab w:pos="302" w:val="left" w:leader="none"/>
                    </w:tabs>
                    <w:spacing w:before="9"/>
                    <w:ind w:left="301" w:right="0" w:hanging="228"/>
                    <w:jc w:val="left"/>
                    <w:rPr>
                      <w:sz w:val="18"/>
                    </w:rPr>
                  </w:pPr>
                  <w:r>
                    <w:rPr>
                      <w:sz w:val="18"/>
                    </w:rPr>
                    <w:t>Structure contour maps of reservoirs, seals and</w:t>
                  </w:r>
                  <w:r>
                    <w:rPr>
                      <w:spacing w:val="27"/>
                      <w:sz w:val="18"/>
                    </w:rPr>
                    <w:t> </w:t>
                  </w:r>
                  <w:r>
                    <w:rPr>
                      <w:sz w:val="18"/>
                    </w:rPr>
                    <w:t>aquifers;</w:t>
                  </w:r>
                </w:p>
                <w:p>
                  <w:pPr>
                    <w:numPr>
                      <w:ilvl w:val="0"/>
                      <w:numId w:val="9"/>
                    </w:numPr>
                    <w:tabs>
                      <w:tab w:pos="302" w:val="left" w:leader="none"/>
                    </w:tabs>
                    <w:spacing w:line="233" w:lineRule="exact" w:before="9"/>
                    <w:ind w:left="301" w:right="0" w:hanging="228"/>
                    <w:jc w:val="left"/>
                    <w:rPr>
                      <w:sz w:val="18"/>
                    </w:rPr>
                  </w:pPr>
                  <w:r>
                    <w:rPr>
                      <w:sz w:val="18"/>
                    </w:rPr>
                    <w:t>Detailed maps of the structural boundaries of the trap where the CO</w:t>
                  </w:r>
                  <w:r>
                    <w:rPr>
                      <w:position w:val="-5"/>
                      <w:sz w:val="10"/>
                    </w:rPr>
                    <w:t>2 </w:t>
                  </w:r>
                  <w:r>
                    <w:rPr>
                      <w:sz w:val="18"/>
                    </w:rPr>
                    <w:t>will accumulate, especially highlighting potential</w:t>
                  </w:r>
                  <w:r>
                    <w:rPr>
                      <w:spacing w:val="7"/>
                      <w:sz w:val="18"/>
                    </w:rPr>
                    <w:t> </w:t>
                  </w:r>
                  <w:r>
                    <w:rPr>
                      <w:sz w:val="18"/>
                    </w:rPr>
                    <w:t>spill points;</w:t>
                  </w:r>
                </w:p>
                <w:p>
                  <w:pPr>
                    <w:numPr>
                      <w:ilvl w:val="0"/>
                      <w:numId w:val="9"/>
                    </w:numPr>
                    <w:tabs>
                      <w:tab w:pos="302" w:val="left" w:leader="none"/>
                    </w:tabs>
                    <w:spacing w:line="216" w:lineRule="exact" w:before="0"/>
                    <w:ind w:left="301" w:right="0" w:hanging="228"/>
                    <w:jc w:val="left"/>
                    <w:rPr>
                      <w:sz w:val="18"/>
                    </w:rPr>
                  </w:pPr>
                  <w:r>
                    <w:rPr>
                      <w:sz w:val="18"/>
                    </w:rPr>
                    <w:t>Maps of the predicted pathway along which the CO</w:t>
                  </w:r>
                  <w:r>
                    <w:rPr>
                      <w:position w:val="-5"/>
                      <w:sz w:val="10"/>
                    </w:rPr>
                    <w:t>2 </w:t>
                  </w:r>
                  <w:r>
                    <w:rPr>
                      <w:sz w:val="18"/>
                    </w:rPr>
                    <w:t>will migrate from the point of</w:t>
                  </w:r>
                  <w:r>
                    <w:rPr>
                      <w:spacing w:val="8"/>
                      <w:sz w:val="18"/>
                    </w:rPr>
                    <w:t> </w:t>
                  </w:r>
                  <w:r>
                    <w:rPr>
                      <w:sz w:val="18"/>
                    </w:rPr>
                    <w:t>injection;</w:t>
                  </w:r>
                </w:p>
                <w:p>
                  <w:pPr>
                    <w:numPr>
                      <w:ilvl w:val="0"/>
                      <w:numId w:val="9"/>
                    </w:numPr>
                    <w:tabs>
                      <w:tab w:pos="302" w:val="left" w:leader="none"/>
                    </w:tabs>
                    <w:spacing w:line="190" w:lineRule="exact" w:before="0"/>
                    <w:ind w:left="301" w:right="0" w:hanging="228"/>
                    <w:jc w:val="left"/>
                    <w:rPr>
                      <w:sz w:val="18"/>
                    </w:rPr>
                  </w:pPr>
                  <w:r>
                    <w:rPr>
                      <w:sz w:val="18"/>
                    </w:rPr>
                    <w:t>Documentation and maps of faults and</w:t>
                  </w:r>
                  <w:r>
                    <w:rPr>
                      <w:spacing w:val="23"/>
                      <w:sz w:val="18"/>
                    </w:rPr>
                    <w:t> </w:t>
                  </w:r>
                  <w:r>
                    <w:rPr>
                      <w:sz w:val="18"/>
                    </w:rPr>
                    <w:t>fault;</w:t>
                  </w:r>
                </w:p>
                <w:p>
                  <w:pPr>
                    <w:numPr>
                      <w:ilvl w:val="0"/>
                      <w:numId w:val="9"/>
                    </w:numPr>
                    <w:tabs>
                      <w:tab w:pos="302" w:val="left" w:leader="none"/>
                    </w:tabs>
                    <w:spacing w:before="9"/>
                    <w:ind w:left="301" w:right="0" w:hanging="228"/>
                    <w:jc w:val="left"/>
                    <w:rPr>
                      <w:sz w:val="18"/>
                    </w:rPr>
                  </w:pPr>
                  <w:r>
                    <w:rPr>
                      <w:sz w:val="18"/>
                    </w:rPr>
                    <w:t>Facies maps showing any lateral facies changes in the reservoirs or</w:t>
                  </w:r>
                  <w:r>
                    <w:rPr>
                      <w:spacing w:val="42"/>
                      <w:sz w:val="18"/>
                    </w:rPr>
                    <w:t> </w:t>
                  </w:r>
                  <w:r>
                    <w:rPr>
                      <w:sz w:val="18"/>
                    </w:rPr>
                    <w:t>seals;</w:t>
                  </w:r>
                </w:p>
                <w:p>
                  <w:pPr>
                    <w:numPr>
                      <w:ilvl w:val="0"/>
                      <w:numId w:val="9"/>
                    </w:numPr>
                    <w:tabs>
                      <w:tab w:pos="302" w:val="left" w:leader="none"/>
                    </w:tabs>
                    <w:spacing w:before="9"/>
                    <w:ind w:left="301" w:right="0" w:hanging="228"/>
                    <w:jc w:val="left"/>
                    <w:rPr>
                      <w:sz w:val="18"/>
                    </w:rPr>
                  </w:pPr>
                  <w:r>
                    <w:rPr>
                      <w:sz w:val="18"/>
                    </w:rPr>
                    <w:t>Core and drill cuttings samples from the reservoir and seal</w:t>
                  </w:r>
                  <w:r>
                    <w:rPr>
                      <w:spacing w:val="39"/>
                      <w:sz w:val="18"/>
                    </w:rPr>
                    <w:t> </w:t>
                  </w:r>
                  <w:r>
                    <w:rPr>
                      <w:sz w:val="18"/>
                    </w:rPr>
                    <w:t>intervals;</w:t>
                  </w:r>
                </w:p>
                <w:p>
                  <w:pPr>
                    <w:numPr>
                      <w:ilvl w:val="0"/>
                      <w:numId w:val="9"/>
                    </w:numPr>
                    <w:tabs>
                      <w:tab w:pos="302" w:val="left" w:leader="none"/>
                    </w:tabs>
                    <w:spacing w:before="9"/>
                    <w:ind w:left="301" w:right="0" w:hanging="228"/>
                    <w:jc w:val="left"/>
                    <w:rPr>
                      <w:sz w:val="18"/>
                    </w:rPr>
                  </w:pPr>
                  <w:r>
                    <w:rPr>
                      <w:spacing w:val="-4"/>
                      <w:sz w:val="18"/>
                    </w:rPr>
                    <w:t>Well </w:t>
                  </w:r>
                  <w:r>
                    <w:rPr>
                      <w:sz w:val="18"/>
                    </w:rPr>
                    <w:t>logs, preferably a consistent suite, including geological, geophysical and engineering</w:t>
                  </w:r>
                  <w:r>
                    <w:rPr>
                      <w:spacing w:val="2"/>
                      <w:sz w:val="18"/>
                    </w:rPr>
                    <w:t> </w:t>
                  </w:r>
                  <w:r>
                    <w:rPr>
                      <w:sz w:val="18"/>
                    </w:rPr>
                    <w:t>logs;</w:t>
                  </w:r>
                </w:p>
                <w:p>
                  <w:pPr>
                    <w:numPr>
                      <w:ilvl w:val="0"/>
                      <w:numId w:val="9"/>
                    </w:numPr>
                    <w:tabs>
                      <w:tab w:pos="302" w:val="left" w:leader="none"/>
                    </w:tabs>
                    <w:spacing w:before="9"/>
                    <w:ind w:left="301" w:right="0" w:hanging="228"/>
                    <w:jc w:val="left"/>
                    <w:rPr>
                      <w:sz w:val="18"/>
                    </w:rPr>
                  </w:pPr>
                  <w:r>
                    <w:rPr>
                      <w:sz w:val="18"/>
                    </w:rPr>
                    <w:t>Fluid analyses and tests from downhole sampling and production</w:t>
                  </w:r>
                  <w:r>
                    <w:rPr>
                      <w:spacing w:val="34"/>
                      <w:sz w:val="18"/>
                    </w:rPr>
                    <w:t> </w:t>
                  </w:r>
                  <w:r>
                    <w:rPr>
                      <w:sz w:val="18"/>
                    </w:rPr>
                    <w:t>testing;</w:t>
                  </w:r>
                </w:p>
                <w:p>
                  <w:pPr>
                    <w:numPr>
                      <w:ilvl w:val="0"/>
                      <w:numId w:val="9"/>
                    </w:numPr>
                    <w:tabs>
                      <w:tab w:pos="302" w:val="left" w:leader="none"/>
                    </w:tabs>
                    <w:spacing w:before="9"/>
                    <w:ind w:left="301" w:right="0" w:hanging="228"/>
                    <w:jc w:val="left"/>
                    <w:rPr>
                      <w:sz w:val="18"/>
                    </w:rPr>
                  </w:pPr>
                  <w:r>
                    <w:rPr>
                      <w:sz w:val="18"/>
                    </w:rPr>
                    <w:t>Oil and gas production data (if a hydrocarbon</w:t>
                  </w:r>
                  <w:r>
                    <w:rPr>
                      <w:spacing w:val="31"/>
                      <w:sz w:val="18"/>
                    </w:rPr>
                    <w:t> </w:t>
                  </w:r>
                  <w:r>
                    <w:rPr>
                      <w:sz w:val="18"/>
                    </w:rPr>
                    <w:t>field);</w:t>
                  </w:r>
                </w:p>
                <w:p>
                  <w:pPr>
                    <w:numPr>
                      <w:ilvl w:val="0"/>
                      <w:numId w:val="9"/>
                    </w:numPr>
                    <w:tabs>
                      <w:tab w:pos="302" w:val="left" w:leader="none"/>
                    </w:tabs>
                    <w:spacing w:before="9"/>
                    <w:ind w:left="301" w:right="0" w:hanging="228"/>
                    <w:jc w:val="left"/>
                    <w:rPr>
                      <w:sz w:val="18"/>
                    </w:rPr>
                  </w:pPr>
                  <w:r>
                    <w:rPr>
                      <w:sz w:val="18"/>
                    </w:rPr>
                    <w:t>Pressure transient tests for measuring reservoir and seal</w:t>
                  </w:r>
                  <w:r>
                    <w:rPr>
                      <w:spacing w:val="31"/>
                      <w:sz w:val="18"/>
                    </w:rPr>
                    <w:t> </w:t>
                  </w:r>
                  <w:r>
                    <w:rPr>
                      <w:sz w:val="18"/>
                    </w:rPr>
                    <w:t>permeability;</w:t>
                  </w:r>
                </w:p>
                <w:p>
                  <w:pPr>
                    <w:numPr>
                      <w:ilvl w:val="0"/>
                      <w:numId w:val="9"/>
                    </w:numPr>
                    <w:tabs>
                      <w:tab w:pos="302" w:val="left" w:leader="none"/>
                    </w:tabs>
                    <w:spacing w:before="9"/>
                    <w:ind w:left="301" w:right="0" w:hanging="228"/>
                    <w:jc w:val="left"/>
                    <w:rPr>
                      <w:sz w:val="18"/>
                    </w:rPr>
                  </w:pPr>
                  <w:r>
                    <w:rPr>
                      <w:sz w:val="18"/>
                    </w:rPr>
                    <w:t>Petrophysical measurements, including porosity, permeability, mineralogy (petrography), seal capacity, pressure, temperature,</w:t>
                  </w:r>
                  <w:r>
                    <w:rPr>
                      <w:spacing w:val="9"/>
                      <w:sz w:val="18"/>
                    </w:rPr>
                    <w:t> </w:t>
                  </w:r>
                  <w:r>
                    <w:rPr>
                      <w:sz w:val="18"/>
                    </w:rPr>
                    <w:t>salinity</w:t>
                  </w:r>
                </w:p>
                <w:p>
                  <w:pPr>
                    <w:spacing w:before="9"/>
                    <w:ind w:left="301" w:right="0" w:firstLine="0"/>
                    <w:jc w:val="left"/>
                    <w:rPr>
                      <w:sz w:val="18"/>
                    </w:rPr>
                  </w:pPr>
                  <w:r>
                    <w:rPr>
                      <w:sz w:val="18"/>
                    </w:rPr>
                    <w:t>and laboratory rock strength testing;</w:t>
                  </w:r>
                </w:p>
                <w:p>
                  <w:pPr>
                    <w:numPr>
                      <w:ilvl w:val="0"/>
                      <w:numId w:val="9"/>
                    </w:numPr>
                    <w:tabs>
                      <w:tab w:pos="302" w:val="left" w:leader="none"/>
                    </w:tabs>
                    <w:spacing w:before="9"/>
                    <w:ind w:left="301" w:right="0" w:hanging="228"/>
                    <w:jc w:val="left"/>
                    <w:rPr>
                      <w:sz w:val="18"/>
                    </w:rPr>
                  </w:pPr>
                  <w:r>
                    <w:rPr>
                      <w:sz w:val="18"/>
                    </w:rPr>
                    <w:t>Pressure, temperature, water</w:t>
                  </w:r>
                  <w:r>
                    <w:rPr>
                      <w:spacing w:val="11"/>
                      <w:sz w:val="18"/>
                    </w:rPr>
                    <w:t> </w:t>
                  </w:r>
                  <w:r>
                    <w:rPr>
                      <w:sz w:val="18"/>
                    </w:rPr>
                    <w:t>salinity;</w:t>
                  </w:r>
                </w:p>
                <w:p>
                  <w:pPr>
                    <w:numPr>
                      <w:ilvl w:val="0"/>
                      <w:numId w:val="9"/>
                    </w:numPr>
                    <w:tabs>
                      <w:tab w:pos="302" w:val="left" w:leader="none"/>
                    </w:tabs>
                    <w:spacing w:before="9"/>
                    <w:ind w:left="301" w:right="0" w:hanging="228"/>
                    <w:jc w:val="left"/>
                    <w:rPr>
                      <w:sz w:val="18"/>
                    </w:rPr>
                  </w:pPr>
                  <w:r>
                    <w:rPr>
                      <w:sz w:val="18"/>
                    </w:rPr>
                    <w:t>In</w:t>
                  </w:r>
                  <w:r>
                    <w:rPr>
                      <w:spacing w:val="3"/>
                      <w:sz w:val="18"/>
                    </w:rPr>
                    <w:t> </w:t>
                  </w:r>
                  <w:r>
                    <w:rPr>
                      <w:sz w:val="18"/>
                    </w:rPr>
                    <w:t>situ</w:t>
                  </w:r>
                  <w:r>
                    <w:rPr>
                      <w:spacing w:val="3"/>
                      <w:sz w:val="18"/>
                    </w:rPr>
                    <w:t> </w:t>
                  </w:r>
                  <w:r>
                    <w:rPr>
                      <w:sz w:val="18"/>
                    </w:rPr>
                    <w:t>stress</w:t>
                  </w:r>
                  <w:r>
                    <w:rPr>
                      <w:spacing w:val="3"/>
                      <w:sz w:val="18"/>
                    </w:rPr>
                    <w:t> </w:t>
                  </w:r>
                  <w:r>
                    <w:rPr>
                      <w:sz w:val="18"/>
                    </w:rPr>
                    <w:t>analysis</w:t>
                  </w:r>
                  <w:r>
                    <w:rPr>
                      <w:spacing w:val="3"/>
                      <w:sz w:val="18"/>
                    </w:rPr>
                    <w:t> </w:t>
                  </w:r>
                  <w:r>
                    <w:rPr>
                      <w:sz w:val="18"/>
                    </w:rPr>
                    <w:t>to</w:t>
                  </w:r>
                  <w:r>
                    <w:rPr>
                      <w:spacing w:val="3"/>
                      <w:sz w:val="18"/>
                    </w:rPr>
                    <w:t> </w:t>
                  </w:r>
                  <w:r>
                    <w:rPr>
                      <w:sz w:val="18"/>
                    </w:rPr>
                    <w:t>determine</w:t>
                  </w:r>
                  <w:r>
                    <w:rPr>
                      <w:spacing w:val="3"/>
                      <w:sz w:val="18"/>
                    </w:rPr>
                    <w:t> </w:t>
                  </w:r>
                  <w:r>
                    <w:rPr>
                      <w:sz w:val="18"/>
                    </w:rPr>
                    <w:t>potential</w:t>
                  </w:r>
                  <w:r>
                    <w:rPr>
                      <w:spacing w:val="3"/>
                      <w:sz w:val="18"/>
                    </w:rPr>
                    <w:t> </w:t>
                  </w:r>
                  <w:r>
                    <w:rPr>
                      <w:sz w:val="18"/>
                    </w:rPr>
                    <w:t>for</w:t>
                  </w:r>
                  <w:r>
                    <w:rPr>
                      <w:spacing w:val="3"/>
                      <w:sz w:val="18"/>
                    </w:rPr>
                    <w:t> </w:t>
                  </w:r>
                  <w:r>
                    <w:rPr>
                      <w:sz w:val="18"/>
                    </w:rPr>
                    <w:t>fault</w:t>
                  </w:r>
                  <w:r>
                    <w:rPr>
                      <w:spacing w:val="3"/>
                      <w:sz w:val="18"/>
                    </w:rPr>
                    <w:t> </w:t>
                  </w:r>
                  <w:r>
                    <w:rPr>
                      <w:sz w:val="18"/>
                    </w:rPr>
                    <w:t>reactivation</w:t>
                  </w:r>
                  <w:r>
                    <w:rPr>
                      <w:spacing w:val="3"/>
                      <w:sz w:val="18"/>
                    </w:rPr>
                    <w:t> </w:t>
                  </w:r>
                  <w:r>
                    <w:rPr>
                      <w:sz w:val="18"/>
                    </w:rPr>
                    <w:t>and</w:t>
                  </w:r>
                  <w:r>
                    <w:rPr>
                      <w:spacing w:val="3"/>
                      <w:sz w:val="18"/>
                    </w:rPr>
                    <w:t> </w:t>
                  </w:r>
                  <w:r>
                    <w:rPr>
                      <w:sz w:val="18"/>
                    </w:rPr>
                    <w:t>fault</w:t>
                  </w:r>
                  <w:r>
                    <w:rPr>
                      <w:spacing w:val="3"/>
                      <w:sz w:val="18"/>
                    </w:rPr>
                    <w:t> </w:t>
                  </w:r>
                  <w:r>
                    <w:rPr>
                      <w:sz w:val="18"/>
                    </w:rPr>
                    <w:t>slip</w:t>
                  </w:r>
                  <w:r>
                    <w:rPr>
                      <w:spacing w:val="3"/>
                      <w:sz w:val="18"/>
                    </w:rPr>
                    <w:t> </w:t>
                  </w:r>
                  <w:r>
                    <w:rPr>
                      <w:sz w:val="18"/>
                    </w:rPr>
                    <w:t>tendency</w:t>
                  </w:r>
                  <w:r>
                    <w:rPr>
                      <w:spacing w:val="4"/>
                      <w:sz w:val="18"/>
                    </w:rPr>
                    <w:t> </w:t>
                  </w:r>
                  <w:r>
                    <w:rPr>
                      <w:sz w:val="18"/>
                    </w:rPr>
                    <w:t>and</w:t>
                  </w:r>
                  <w:r>
                    <w:rPr>
                      <w:spacing w:val="3"/>
                      <w:sz w:val="18"/>
                    </w:rPr>
                    <w:t> </w:t>
                  </w:r>
                  <w:r>
                    <w:rPr>
                      <w:sz w:val="18"/>
                    </w:rPr>
                    <w:t>thus</w:t>
                  </w:r>
                  <w:r>
                    <w:rPr>
                      <w:spacing w:val="3"/>
                      <w:sz w:val="18"/>
                    </w:rPr>
                    <w:t> </w:t>
                  </w:r>
                  <w:r>
                    <w:rPr>
                      <w:sz w:val="18"/>
                    </w:rPr>
                    <w:t>identify</w:t>
                  </w:r>
                  <w:r>
                    <w:rPr>
                      <w:spacing w:val="3"/>
                      <w:sz w:val="18"/>
                    </w:rPr>
                    <w:t> </w:t>
                  </w:r>
                  <w:r>
                    <w:rPr>
                      <w:sz w:val="18"/>
                    </w:rPr>
                    <w:t>the</w:t>
                  </w:r>
                  <w:r>
                    <w:rPr>
                      <w:spacing w:val="3"/>
                      <w:sz w:val="18"/>
                    </w:rPr>
                    <w:t> </w:t>
                  </w:r>
                  <w:r>
                    <w:rPr>
                      <w:sz w:val="18"/>
                    </w:rPr>
                    <w:t>maximum</w:t>
                  </w:r>
                  <w:r>
                    <w:rPr>
                      <w:spacing w:val="3"/>
                      <w:sz w:val="18"/>
                    </w:rPr>
                    <w:t> </w:t>
                  </w:r>
                  <w:r>
                    <w:rPr>
                      <w:sz w:val="18"/>
                    </w:rPr>
                    <w:t>sustainable</w:t>
                  </w:r>
                  <w:r>
                    <w:rPr>
                      <w:spacing w:val="3"/>
                      <w:sz w:val="18"/>
                    </w:rPr>
                    <w:t> </w:t>
                  </w:r>
                  <w:r>
                    <w:rPr>
                      <w:sz w:val="18"/>
                    </w:rPr>
                    <w:t>pore</w:t>
                  </w:r>
                </w:p>
                <w:p>
                  <w:pPr>
                    <w:spacing w:before="9"/>
                    <w:ind w:left="301" w:right="0" w:firstLine="0"/>
                    <w:jc w:val="left"/>
                    <w:rPr>
                      <w:sz w:val="18"/>
                    </w:rPr>
                  </w:pPr>
                  <w:r>
                    <w:rPr>
                      <w:sz w:val="18"/>
                    </w:rPr>
                    <w:t>fluid pressure during injection in regard to the reservoir, seal and faults;</w:t>
                  </w:r>
                </w:p>
                <w:p>
                  <w:pPr>
                    <w:numPr>
                      <w:ilvl w:val="0"/>
                      <w:numId w:val="9"/>
                    </w:numPr>
                    <w:tabs>
                      <w:tab w:pos="302" w:val="left" w:leader="none"/>
                    </w:tabs>
                    <w:spacing w:before="9"/>
                    <w:ind w:left="301" w:right="0" w:hanging="228"/>
                    <w:jc w:val="left"/>
                    <w:rPr>
                      <w:sz w:val="18"/>
                    </w:rPr>
                  </w:pPr>
                  <w:r>
                    <w:rPr>
                      <w:sz w:val="18"/>
                    </w:rPr>
                    <w:t>Hydrodynamic</w:t>
                  </w:r>
                  <w:r>
                    <w:rPr>
                      <w:spacing w:val="3"/>
                      <w:sz w:val="18"/>
                    </w:rPr>
                    <w:t> </w:t>
                  </w:r>
                  <w:r>
                    <w:rPr>
                      <w:sz w:val="18"/>
                    </w:rPr>
                    <w:t>analysis</w:t>
                  </w:r>
                  <w:r>
                    <w:rPr>
                      <w:spacing w:val="4"/>
                      <w:sz w:val="18"/>
                    </w:rPr>
                    <w:t> </w:t>
                  </w:r>
                  <w:r>
                    <w:rPr>
                      <w:sz w:val="18"/>
                    </w:rPr>
                    <w:t>to</w:t>
                  </w:r>
                  <w:r>
                    <w:rPr>
                      <w:spacing w:val="3"/>
                      <w:sz w:val="18"/>
                    </w:rPr>
                    <w:t> </w:t>
                  </w:r>
                  <w:r>
                    <w:rPr>
                      <w:sz w:val="18"/>
                    </w:rPr>
                    <w:t>identify</w:t>
                  </w:r>
                  <w:r>
                    <w:rPr>
                      <w:spacing w:val="4"/>
                      <w:sz w:val="18"/>
                    </w:rPr>
                    <w:t> </w:t>
                  </w:r>
                  <w:r>
                    <w:rPr>
                      <w:sz w:val="18"/>
                    </w:rPr>
                    <w:t>the</w:t>
                  </w:r>
                  <w:r>
                    <w:rPr>
                      <w:spacing w:val="3"/>
                      <w:sz w:val="18"/>
                    </w:rPr>
                    <w:t> </w:t>
                  </w:r>
                  <w:r>
                    <w:rPr>
                      <w:sz w:val="18"/>
                    </w:rPr>
                    <w:t>magnitude</w:t>
                  </w:r>
                  <w:r>
                    <w:rPr>
                      <w:spacing w:val="4"/>
                      <w:sz w:val="18"/>
                    </w:rPr>
                    <w:t> </w:t>
                  </w:r>
                  <w:r>
                    <w:rPr>
                      <w:sz w:val="18"/>
                    </w:rPr>
                    <w:t>and</w:t>
                  </w:r>
                  <w:r>
                    <w:rPr>
                      <w:spacing w:val="3"/>
                      <w:sz w:val="18"/>
                    </w:rPr>
                    <w:t> </w:t>
                  </w:r>
                  <w:r>
                    <w:rPr>
                      <w:sz w:val="18"/>
                    </w:rPr>
                    <w:t>direction</w:t>
                  </w:r>
                  <w:r>
                    <w:rPr>
                      <w:spacing w:val="4"/>
                      <w:sz w:val="18"/>
                    </w:rPr>
                    <w:t> </w:t>
                  </w:r>
                  <w:r>
                    <w:rPr>
                      <w:sz w:val="18"/>
                    </w:rPr>
                    <w:t>of</w:t>
                  </w:r>
                  <w:r>
                    <w:rPr>
                      <w:spacing w:val="3"/>
                      <w:sz w:val="18"/>
                    </w:rPr>
                    <w:t> </w:t>
                  </w:r>
                  <w:r>
                    <w:rPr>
                      <w:sz w:val="18"/>
                    </w:rPr>
                    <w:t>water</w:t>
                  </w:r>
                  <w:r>
                    <w:rPr>
                      <w:spacing w:val="4"/>
                      <w:sz w:val="18"/>
                    </w:rPr>
                    <w:t> </w:t>
                  </w:r>
                  <w:r>
                    <w:rPr>
                      <w:spacing w:val="-3"/>
                      <w:sz w:val="18"/>
                    </w:rPr>
                    <w:t>flow,</w:t>
                  </w:r>
                  <w:r>
                    <w:rPr>
                      <w:spacing w:val="3"/>
                      <w:sz w:val="18"/>
                    </w:rPr>
                    <w:t> </w:t>
                  </w:r>
                  <w:r>
                    <w:rPr>
                      <w:sz w:val="18"/>
                    </w:rPr>
                    <w:t>hydraulic</w:t>
                  </w:r>
                  <w:r>
                    <w:rPr>
                      <w:spacing w:val="4"/>
                      <w:sz w:val="18"/>
                    </w:rPr>
                    <w:t> </w:t>
                  </w:r>
                  <w:r>
                    <w:rPr>
                      <w:sz w:val="18"/>
                    </w:rPr>
                    <w:t>interconnectivity</w:t>
                  </w:r>
                  <w:r>
                    <w:rPr>
                      <w:spacing w:val="3"/>
                      <w:sz w:val="18"/>
                    </w:rPr>
                    <w:t> </w:t>
                  </w:r>
                  <w:r>
                    <w:rPr>
                      <w:sz w:val="18"/>
                    </w:rPr>
                    <w:t>of</w:t>
                  </w:r>
                  <w:r>
                    <w:rPr>
                      <w:spacing w:val="4"/>
                      <w:sz w:val="18"/>
                    </w:rPr>
                    <w:t> </w:t>
                  </w:r>
                  <w:r>
                    <w:rPr>
                      <w:sz w:val="18"/>
                    </w:rPr>
                    <w:t>formations</w:t>
                  </w:r>
                  <w:r>
                    <w:rPr>
                      <w:spacing w:val="3"/>
                      <w:sz w:val="18"/>
                    </w:rPr>
                    <w:t> </w:t>
                  </w:r>
                  <w:r>
                    <w:rPr>
                      <w:sz w:val="18"/>
                    </w:rPr>
                    <w:t>and</w:t>
                  </w:r>
                  <w:r>
                    <w:rPr>
                      <w:spacing w:val="4"/>
                      <w:sz w:val="18"/>
                    </w:rPr>
                    <w:t> </w:t>
                  </w:r>
                  <w:r>
                    <w:rPr>
                      <w:sz w:val="18"/>
                    </w:rPr>
                    <w:t>pressure</w:t>
                  </w:r>
                </w:p>
                <w:p>
                  <w:pPr>
                    <w:spacing w:before="9"/>
                    <w:ind w:left="301" w:right="0" w:firstLine="0"/>
                    <w:jc w:val="left"/>
                    <w:rPr>
                      <w:sz w:val="18"/>
                    </w:rPr>
                  </w:pPr>
                  <w:r>
                    <w:rPr>
                      <w:sz w:val="18"/>
                    </w:rPr>
                    <w:t>decrease associated with hydrocarbon production;</w:t>
                  </w:r>
                </w:p>
                <w:p>
                  <w:pPr>
                    <w:numPr>
                      <w:ilvl w:val="0"/>
                      <w:numId w:val="9"/>
                    </w:numPr>
                    <w:tabs>
                      <w:tab w:pos="302" w:val="left" w:leader="none"/>
                    </w:tabs>
                    <w:spacing w:before="9"/>
                    <w:ind w:left="301" w:right="0" w:hanging="228"/>
                    <w:jc w:val="left"/>
                    <w:rPr>
                      <w:sz w:val="18"/>
                    </w:rPr>
                  </w:pPr>
                  <w:r>
                    <w:rPr>
                      <w:sz w:val="18"/>
                    </w:rPr>
                    <w:t>Seismological data, geomorphological data and tectonic investigations to indicate neotectonic</w:t>
                  </w:r>
                  <w:r>
                    <w:rPr>
                      <w:spacing w:val="36"/>
                      <w:sz w:val="18"/>
                    </w:rPr>
                    <w:t> </w:t>
                  </w:r>
                  <w:r>
                    <w:rPr>
                      <w:sz w:val="18"/>
                    </w:rPr>
                    <w:t>activity.</w:t>
                  </w:r>
                </w:p>
              </w:txbxContent>
            </v:textbox>
            <v:fill type="solid"/>
            <v:stroke dashstyle="solid"/>
          </v:shape>
        </w:pict>
      </w:r>
      <w:r>
        <w:rPr>
          <w:position w:val="0"/>
        </w:rPr>
      </w:r>
    </w:p>
    <w:p>
      <w:pPr>
        <w:pStyle w:val="BodyText"/>
        <w:spacing w:before="2"/>
        <w:rPr>
          <w:sz w:val="24"/>
        </w:rPr>
      </w:pPr>
    </w:p>
    <w:p>
      <w:pPr>
        <w:spacing w:after="0"/>
        <w:rPr>
          <w:sz w:val="24"/>
        </w:rPr>
        <w:sectPr>
          <w:pgSz w:w="12240" w:h="15840"/>
          <w:pgMar w:header="567" w:footer="0" w:top="760" w:bottom="280" w:left="580" w:right="600"/>
        </w:sectPr>
      </w:pPr>
    </w:p>
    <w:p>
      <w:pPr>
        <w:pStyle w:val="BodyText"/>
        <w:spacing w:line="206" w:lineRule="auto" w:before="83"/>
        <w:ind w:left="553"/>
        <w:jc w:val="both"/>
      </w:pPr>
      <w:r>
        <w:rPr/>
        <w:t>potential CO</w:t>
      </w:r>
      <w:r>
        <w:rPr>
          <w:position w:val="-6"/>
          <w:sz w:val="11"/>
        </w:rPr>
        <w:t>2</w:t>
      </w:r>
      <w:r>
        <w:rPr/>
        <w:t>-water-rock reactions that could weaken the seal rock or increase its porosity and permeability.</w:t>
      </w:r>
    </w:p>
    <w:p>
      <w:pPr>
        <w:pStyle w:val="BodyText"/>
        <w:spacing w:line="240" w:lineRule="exact" w:before="9"/>
        <w:ind w:left="553" w:firstLine="283"/>
        <w:jc w:val="both"/>
      </w:pPr>
      <w:r>
        <w:rPr/>
        <w:t>Methods have been described for making field-scale measurements of the permeability of caprocks for formation gas storage projects, based on theoretical developments in the 1950s and 1960s (Hantush and Jacobs, 1955; Hantush, 1960). These use water-pumping tests to measure the rate of leakage across the caprock (Witherspoon </w:t>
      </w:r>
      <w:r>
        <w:rPr>
          <w:i/>
        </w:rPr>
        <w:t>et al.</w:t>
      </w:r>
      <w:r>
        <w:rPr/>
        <w:t>, 1968). A related type of test, called a pressure ‘leak-off’ test, can be used to </w:t>
      </w:r>
      <w:r>
        <w:rPr>
          <w:spacing w:val="-3"/>
        </w:rPr>
        <w:t>measure </w:t>
      </w:r>
      <w:r>
        <w:rPr/>
        <w:t>caprock permeability and </w:t>
      </w:r>
      <w:r>
        <w:rPr>
          <w:i/>
        </w:rPr>
        <w:t>in situ </w:t>
      </w:r>
      <w:r>
        <w:rPr/>
        <w:t>stress. The capacity of a seal rock</w:t>
      </w:r>
      <w:r>
        <w:rPr>
          <w:spacing w:val="-14"/>
        </w:rPr>
        <w:t> </w:t>
      </w:r>
      <w:r>
        <w:rPr/>
        <w:t>to</w:t>
      </w:r>
      <w:r>
        <w:rPr>
          <w:spacing w:val="-14"/>
        </w:rPr>
        <w:t> </w:t>
      </w:r>
      <w:r>
        <w:rPr/>
        <w:t>hold</w:t>
      </w:r>
      <w:r>
        <w:rPr>
          <w:spacing w:val="-14"/>
        </w:rPr>
        <w:t> </w:t>
      </w:r>
      <w:r>
        <w:rPr/>
        <w:t>back</w:t>
      </w:r>
      <w:r>
        <w:rPr>
          <w:spacing w:val="-14"/>
        </w:rPr>
        <w:t> </w:t>
      </w:r>
      <w:r>
        <w:rPr/>
        <w:t>fluids</w:t>
      </w:r>
      <w:r>
        <w:rPr>
          <w:spacing w:val="-14"/>
        </w:rPr>
        <w:t> </w:t>
      </w:r>
      <w:r>
        <w:rPr/>
        <w:t>can</w:t>
      </w:r>
      <w:r>
        <w:rPr>
          <w:spacing w:val="-14"/>
        </w:rPr>
        <w:t> </w:t>
      </w:r>
      <w:r>
        <w:rPr/>
        <w:t>also</w:t>
      </w:r>
      <w:r>
        <w:rPr>
          <w:spacing w:val="-14"/>
        </w:rPr>
        <w:t> </w:t>
      </w:r>
      <w:r>
        <w:rPr/>
        <w:t>be</w:t>
      </w:r>
      <w:r>
        <w:rPr>
          <w:spacing w:val="-14"/>
        </w:rPr>
        <w:t> </w:t>
      </w:r>
      <w:r>
        <w:rPr/>
        <w:t>estimated</w:t>
      </w:r>
      <w:r>
        <w:rPr>
          <w:spacing w:val="-14"/>
        </w:rPr>
        <w:t> </w:t>
      </w:r>
      <w:r>
        <w:rPr/>
        <w:t>from</w:t>
      </w:r>
      <w:r>
        <w:rPr>
          <w:spacing w:val="-14"/>
        </w:rPr>
        <w:t> </w:t>
      </w:r>
      <w:r>
        <w:rPr/>
        <w:t>core</w:t>
      </w:r>
      <w:r>
        <w:rPr>
          <w:spacing w:val="-14"/>
        </w:rPr>
        <w:t> </w:t>
      </w:r>
      <w:r>
        <w:rPr/>
        <w:t>samples by mercury injection capillary pressure (MICP) analysis, </w:t>
      </w:r>
      <w:r>
        <w:rPr>
          <w:spacing w:val="-13"/>
        </w:rPr>
        <w:t>a </w:t>
      </w:r>
      <w:r>
        <w:rPr/>
        <w:t>method widely used in the oil and gas industry </w:t>
      </w:r>
      <w:r>
        <w:rPr>
          <w:spacing w:val="-4"/>
        </w:rPr>
        <w:t>(Vavra </w:t>
      </w:r>
      <w:r>
        <w:rPr>
          <w:i/>
        </w:rPr>
        <w:t>et al.</w:t>
      </w:r>
      <w:r>
        <w:rPr/>
        <w:t>, 1992). MICP analysis measures the pressures required to </w:t>
      </w:r>
      <w:r>
        <w:rPr>
          <w:spacing w:val="-4"/>
        </w:rPr>
        <w:t>move </w:t>
      </w:r>
      <w:r>
        <w:rPr/>
        <w:t>mercury through the pore network system of a seal rock. The resulting data can be used to derive the height of a column </w:t>
      </w:r>
      <w:r>
        <w:rPr>
          <w:spacing w:val="-6"/>
        </w:rPr>
        <w:t>of </w:t>
      </w:r>
      <w:r>
        <w:rPr/>
        <w:t>reservoir</w:t>
      </w:r>
      <w:r>
        <w:rPr>
          <w:spacing w:val="-4"/>
        </w:rPr>
        <w:t> </w:t>
      </w:r>
      <w:r>
        <w:rPr/>
        <w:t>rock</w:t>
      </w:r>
      <w:r>
        <w:rPr>
          <w:spacing w:val="-4"/>
        </w:rPr>
        <w:t> </w:t>
      </w:r>
      <w:r>
        <w:rPr/>
        <w:t>saturated</w:t>
      </w:r>
      <w:r>
        <w:rPr>
          <w:spacing w:val="-5"/>
        </w:rPr>
        <w:t> </w:t>
      </w:r>
      <w:r>
        <w:rPr/>
        <w:t>by</w:t>
      </w:r>
      <w:r>
        <w:rPr>
          <w:spacing w:val="-4"/>
        </w:rPr>
        <w:t> </w:t>
      </w:r>
      <w:r>
        <w:rPr/>
        <w:t>a</w:t>
      </w:r>
      <w:r>
        <w:rPr>
          <w:spacing w:val="-3"/>
        </w:rPr>
        <w:t> </w:t>
      </w:r>
      <w:r>
        <w:rPr/>
        <w:t>particular</w:t>
      </w:r>
      <w:r>
        <w:rPr>
          <w:spacing w:val="-5"/>
        </w:rPr>
        <w:t> </w:t>
      </w:r>
      <w:r>
        <w:rPr/>
        <w:t>fluid</w:t>
      </w:r>
      <w:r>
        <w:rPr>
          <w:spacing w:val="-5"/>
        </w:rPr>
        <w:t> </w:t>
      </w:r>
      <w:r>
        <w:rPr/>
        <w:t>(e.g.,</w:t>
      </w:r>
      <w:r>
        <w:rPr>
          <w:spacing w:val="-4"/>
        </w:rPr>
        <w:t> </w:t>
      </w:r>
      <w:r>
        <w:rPr/>
        <w:t>CO</w:t>
      </w:r>
      <w:r>
        <w:rPr>
          <w:position w:val="-6"/>
          <w:sz w:val="11"/>
        </w:rPr>
        <w:t>2</w:t>
      </w:r>
      <w:r>
        <w:rPr/>
        <w:t>)</w:t>
      </w:r>
      <w:r>
        <w:rPr>
          <w:spacing w:val="-4"/>
        </w:rPr>
        <w:t> </w:t>
      </w:r>
      <w:r>
        <w:rPr/>
        <w:t>that</w:t>
      </w:r>
      <w:r>
        <w:rPr>
          <w:spacing w:val="-3"/>
        </w:rPr>
        <w:t> </w:t>
      </w:r>
      <w:r>
        <w:rPr/>
        <w:t>the sealing strata would be capable of holding back (Gibson-Poole </w:t>
      </w:r>
      <w:r>
        <w:rPr>
          <w:i/>
        </w:rPr>
        <w:t>et al.</w:t>
      </w:r>
      <w:r>
        <w:rPr/>
        <w:t>,</w:t>
      </w:r>
      <w:r>
        <w:rPr>
          <w:spacing w:val="-1"/>
        </w:rPr>
        <w:t> </w:t>
      </w:r>
      <w:r>
        <w:rPr/>
        <w:t>2002).</w:t>
      </w:r>
    </w:p>
    <w:p>
      <w:pPr>
        <w:pStyle w:val="BodyText"/>
        <w:spacing w:before="4"/>
        <w:rPr>
          <w:sz w:val="21"/>
        </w:rPr>
      </w:pPr>
    </w:p>
    <w:p>
      <w:pPr>
        <w:pStyle w:val="ListParagraph"/>
        <w:numPr>
          <w:ilvl w:val="3"/>
          <w:numId w:val="8"/>
        </w:numPr>
        <w:tabs>
          <w:tab w:pos="1374" w:val="left" w:leader="none"/>
        </w:tabs>
        <w:spacing w:line="240" w:lineRule="auto" w:before="0" w:after="0"/>
        <w:ind w:left="1373" w:right="0" w:hanging="821"/>
        <w:jc w:val="both"/>
        <w:rPr>
          <w:i/>
          <w:sz w:val="20"/>
        </w:rPr>
      </w:pPr>
      <w:r>
        <w:rPr>
          <w:i/>
          <w:sz w:val="20"/>
        </w:rPr>
        <w:t>Geomechanical factors affecting site</w:t>
      </w:r>
      <w:r>
        <w:rPr>
          <w:i/>
          <w:spacing w:val="-6"/>
          <w:sz w:val="20"/>
        </w:rPr>
        <w:t> </w:t>
      </w:r>
      <w:r>
        <w:rPr>
          <w:i/>
          <w:sz w:val="20"/>
        </w:rPr>
        <w:t>integrity</w:t>
      </w:r>
    </w:p>
    <w:p>
      <w:pPr>
        <w:pStyle w:val="BodyText"/>
        <w:spacing w:line="240" w:lineRule="exact" w:before="5"/>
        <w:ind w:left="553" w:right="1"/>
        <w:jc w:val="both"/>
      </w:pPr>
      <w:r>
        <w:rPr/>
        <w:t>When CO</w:t>
      </w:r>
      <w:r>
        <w:rPr>
          <w:position w:val="-6"/>
          <w:sz w:val="11"/>
        </w:rPr>
        <w:t>2 </w:t>
      </w:r>
      <w:r>
        <w:rPr/>
        <w:t>is injected into a porous and permeable reservoir rock, it will be forced into pores at a pressure higher </w:t>
      </w:r>
      <w:r>
        <w:rPr>
          <w:spacing w:val="-3"/>
        </w:rPr>
        <w:t>than  </w:t>
      </w:r>
      <w:r>
        <w:rPr>
          <w:spacing w:val="44"/>
        </w:rPr>
        <w:t> </w:t>
      </w:r>
      <w:r>
        <w:rPr/>
        <w:t>that in the surrounding formation. This pressure could lead to deformation of the reservoir rock or the seal rock, resulting    in the opening of fractures or failure along a fault </w:t>
      </w:r>
      <w:r>
        <w:rPr>
          <w:spacing w:val="-3"/>
        </w:rPr>
        <w:t>plane. </w:t>
      </w:r>
      <w:r>
        <w:rPr/>
        <w:t>Geomechanical modelling of the subsurface is necessary in any storage site assessment and should focus on the maximum formation pressures that can be sustained in a storage site. As an example, at Weyburn, where the initial reservoir pressure</w:t>
      </w:r>
      <w:r>
        <w:rPr>
          <w:spacing w:val="21"/>
        </w:rPr>
        <w:t> </w:t>
      </w:r>
      <w:r>
        <w:rPr>
          <w:spacing w:val="-6"/>
        </w:rPr>
        <w:t>is</w:t>
      </w:r>
    </w:p>
    <w:p>
      <w:pPr>
        <w:pStyle w:val="BodyText"/>
        <w:spacing w:line="249" w:lineRule="auto" w:before="5"/>
        <w:ind w:left="553"/>
        <w:jc w:val="both"/>
      </w:pPr>
      <w:r>
        <w:rPr/>
        <w:t>14.2 MPa, the maximum injection pressure (90% of fracture pressure)</w:t>
      </w:r>
      <w:r>
        <w:rPr>
          <w:spacing w:val="-16"/>
        </w:rPr>
        <w:t> </w:t>
      </w:r>
      <w:r>
        <w:rPr/>
        <w:t>is</w:t>
      </w:r>
      <w:r>
        <w:rPr>
          <w:spacing w:val="-15"/>
        </w:rPr>
        <w:t> </w:t>
      </w:r>
      <w:r>
        <w:rPr/>
        <w:t>in</w:t>
      </w:r>
      <w:r>
        <w:rPr>
          <w:spacing w:val="-15"/>
        </w:rPr>
        <w:t> </w:t>
      </w:r>
      <w:r>
        <w:rPr/>
        <w:t>the</w:t>
      </w:r>
      <w:r>
        <w:rPr>
          <w:spacing w:val="-15"/>
        </w:rPr>
        <w:t> </w:t>
      </w:r>
      <w:r>
        <w:rPr/>
        <w:t>range</w:t>
      </w:r>
      <w:r>
        <w:rPr>
          <w:spacing w:val="-15"/>
        </w:rPr>
        <w:t> </w:t>
      </w:r>
      <w:r>
        <w:rPr/>
        <w:t>of</w:t>
      </w:r>
      <w:r>
        <w:rPr>
          <w:spacing w:val="-15"/>
        </w:rPr>
        <w:t> </w:t>
      </w:r>
      <w:r>
        <w:rPr/>
        <w:t>25–27</w:t>
      </w:r>
      <w:r>
        <w:rPr>
          <w:spacing w:val="-15"/>
        </w:rPr>
        <w:t> </w:t>
      </w:r>
      <w:r>
        <w:rPr/>
        <w:t>MPa</w:t>
      </w:r>
      <w:r>
        <w:rPr>
          <w:spacing w:val="-15"/>
        </w:rPr>
        <w:t> </w:t>
      </w:r>
      <w:r>
        <w:rPr/>
        <w:t>and</w:t>
      </w:r>
      <w:r>
        <w:rPr>
          <w:spacing w:val="-15"/>
        </w:rPr>
        <w:t> </w:t>
      </w:r>
      <w:r>
        <w:rPr/>
        <w:t>fracture</w:t>
      </w:r>
      <w:r>
        <w:rPr>
          <w:spacing w:val="-16"/>
        </w:rPr>
        <w:t> </w:t>
      </w:r>
      <w:r>
        <w:rPr/>
        <w:t>pressure</w:t>
      </w:r>
      <w:r>
        <w:rPr>
          <w:spacing w:val="-15"/>
        </w:rPr>
        <w:t> </w:t>
      </w:r>
      <w:r>
        <w:rPr/>
        <w:t>is</w:t>
      </w:r>
      <w:r>
        <w:rPr>
          <w:spacing w:val="-15"/>
        </w:rPr>
        <w:t> </w:t>
      </w:r>
      <w:r>
        <w:rPr>
          <w:spacing w:val="-7"/>
        </w:rPr>
        <w:t>in </w:t>
      </w:r>
      <w:r>
        <w:rPr/>
        <w:t>the range of 29–31 MPa. Coupled geomechanical-geochemical modelling may also be needed to document fracture sealing by precipitation</w:t>
      </w:r>
      <w:r>
        <w:rPr>
          <w:spacing w:val="-19"/>
        </w:rPr>
        <w:t> </w:t>
      </w:r>
      <w:r>
        <w:rPr/>
        <w:t>of</w:t>
      </w:r>
      <w:r>
        <w:rPr>
          <w:spacing w:val="-19"/>
        </w:rPr>
        <w:t> </w:t>
      </w:r>
      <w:r>
        <w:rPr/>
        <w:t>carbonates</w:t>
      </w:r>
      <w:r>
        <w:rPr>
          <w:spacing w:val="-19"/>
        </w:rPr>
        <w:t> </w:t>
      </w:r>
      <w:r>
        <w:rPr/>
        <w:t>in</w:t>
      </w:r>
      <w:r>
        <w:rPr>
          <w:spacing w:val="-19"/>
        </w:rPr>
        <w:t> </w:t>
      </w:r>
      <w:r>
        <w:rPr/>
        <w:t>fractures</w:t>
      </w:r>
      <w:r>
        <w:rPr>
          <w:spacing w:val="-19"/>
        </w:rPr>
        <w:t> </w:t>
      </w:r>
      <w:r>
        <w:rPr/>
        <w:t>or</w:t>
      </w:r>
      <w:r>
        <w:rPr>
          <w:spacing w:val="-19"/>
        </w:rPr>
        <w:t> </w:t>
      </w:r>
      <w:r>
        <w:rPr/>
        <w:t>pores.</w:t>
      </w:r>
      <w:r>
        <w:rPr>
          <w:spacing w:val="-19"/>
        </w:rPr>
        <w:t> </w:t>
      </w:r>
      <w:r>
        <w:rPr/>
        <w:t>Modelling</w:t>
      </w:r>
      <w:r>
        <w:rPr>
          <w:spacing w:val="-19"/>
        </w:rPr>
        <w:t> </w:t>
      </w:r>
      <w:r>
        <w:rPr/>
        <w:t>these will require knowledge of pore fluid composition,</w:t>
      </w:r>
      <w:r>
        <w:rPr>
          <w:spacing w:val="25"/>
        </w:rPr>
        <w:t> </w:t>
      </w:r>
      <w:r>
        <w:rPr/>
        <w:t>mineralogy,</w:t>
      </w:r>
    </w:p>
    <w:p>
      <w:pPr>
        <w:pStyle w:val="BodyText"/>
        <w:spacing w:line="249" w:lineRule="auto" w:before="63"/>
        <w:ind w:left="241" w:right="133"/>
        <w:jc w:val="both"/>
      </w:pPr>
      <w:r>
        <w:rPr/>
        <w:br w:type="column"/>
      </w:r>
      <w:r>
        <w:rPr>
          <w:i/>
        </w:rPr>
        <w:t>in situ </w:t>
      </w:r>
      <w:r>
        <w:rPr/>
        <w:t>stresses, pore fluid pressures and pre-existing fault orientations and their frictional properties (Streit and Hillis, 2003; Johnson </w:t>
      </w:r>
      <w:r>
        <w:rPr>
          <w:i/>
        </w:rPr>
        <w:t>et al.</w:t>
      </w:r>
      <w:r>
        <w:rPr/>
        <w:t>, 2005). These estimates can be made from conventional well and seismic data and leak-off tests, but the results can be enhanced by access to physical measurements  of rock strength. Application of this methodology at a regional scale is documented by Gibson-Poole </w:t>
      </w:r>
      <w:r>
        <w:rPr>
          <w:i/>
        </w:rPr>
        <w:t>et al.</w:t>
      </w:r>
      <w:r>
        <w:rPr>
          <w:i/>
          <w:spacing w:val="-6"/>
        </w:rPr>
        <w:t> </w:t>
      </w:r>
      <w:r>
        <w:rPr/>
        <w:t>(2002).</w:t>
      </w:r>
    </w:p>
    <w:p>
      <w:pPr>
        <w:pStyle w:val="BodyText"/>
        <w:spacing w:line="240" w:lineRule="exact" w:before="1"/>
        <w:ind w:left="241" w:right="133" w:firstLine="283"/>
        <w:jc w:val="both"/>
      </w:pPr>
      <w:r>
        <w:rPr/>
        <w:t>The efficacy of an oil or gas field seal rock can be characterized by examining its capillary entry pressure and </w:t>
      </w:r>
      <w:r>
        <w:rPr>
          <w:spacing w:val="-5"/>
        </w:rPr>
        <w:t>the </w:t>
      </w:r>
      <w:r>
        <w:rPr/>
        <w:t>potential hydrocarbon column height that it can sustain (see above).</w:t>
      </w:r>
      <w:r>
        <w:rPr>
          <w:spacing w:val="-11"/>
        </w:rPr>
        <w:t> </w:t>
      </w:r>
      <w:r>
        <w:rPr/>
        <w:t>However,</w:t>
      </w:r>
      <w:r>
        <w:rPr>
          <w:spacing w:val="-10"/>
        </w:rPr>
        <w:t> </w:t>
      </w:r>
      <w:r>
        <w:rPr/>
        <w:t>Jimenez</w:t>
      </w:r>
      <w:r>
        <w:rPr>
          <w:spacing w:val="-10"/>
        </w:rPr>
        <w:t> </w:t>
      </w:r>
      <w:r>
        <w:rPr/>
        <w:t>and</w:t>
      </w:r>
      <w:r>
        <w:rPr>
          <w:spacing w:val="-10"/>
        </w:rPr>
        <w:t> </w:t>
      </w:r>
      <w:r>
        <w:rPr/>
        <w:t>Chalaturnyk</w:t>
      </w:r>
      <w:r>
        <w:rPr>
          <w:spacing w:val="-10"/>
        </w:rPr>
        <w:t> </w:t>
      </w:r>
      <w:r>
        <w:rPr/>
        <w:t>(2003)</w:t>
      </w:r>
      <w:r>
        <w:rPr>
          <w:spacing w:val="-10"/>
        </w:rPr>
        <w:t> </w:t>
      </w:r>
      <w:r>
        <w:rPr/>
        <w:t>suggest</w:t>
      </w:r>
      <w:r>
        <w:rPr>
          <w:spacing w:val="-10"/>
        </w:rPr>
        <w:t> </w:t>
      </w:r>
      <w:r>
        <w:rPr/>
        <w:t>that the geomechanical processes, during depletion and subsequent CO</w:t>
      </w:r>
      <w:r>
        <w:rPr>
          <w:position w:val="-6"/>
          <w:sz w:val="11"/>
        </w:rPr>
        <w:t>2 </w:t>
      </w:r>
      <w:r>
        <w:rPr/>
        <w:t>injection, may affect the hydraulic integrity of the seal rock in hydrocarbon fields. Movement along faults can be produced in a hydrocarbon field by induced changes in the</w:t>
      </w:r>
      <w:r>
        <w:rPr>
          <w:spacing w:val="-35"/>
        </w:rPr>
        <w:t> </w:t>
      </w:r>
      <w:r>
        <w:rPr/>
        <w:t>pre- production</w:t>
      </w:r>
      <w:r>
        <w:rPr>
          <w:spacing w:val="-7"/>
        </w:rPr>
        <w:t> </w:t>
      </w:r>
      <w:r>
        <w:rPr/>
        <w:t>stress</w:t>
      </w:r>
      <w:r>
        <w:rPr>
          <w:spacing w:val="-7"/>
        </w:rPr>
        <w:t> </w:t>
      </w:r>
      <w:r>
        <w:rPr/>
        <w:t>regime.</w:t>
      </w:r>
      <w:r>
        <w:rPr>
          <w:spacing w:val="-9"/>
        </w:rPr>
        <w:t> </w:t>
      </w:r>
      <w:r>
        <w:rPr/>
        <w:t>This</w:t>
      </w:r>
      <w:r>
        <w:rPr>
          <w:spacing w:val="-7"/>
        </w:rPr>
        <w:t> </w:t>
      </w:r>
      <w:r>
        <w:rPr/>
        <w:t>can</w:t>
      </w:r>
      <w:r>
        <w:rPr>
          <w:spacing w:val="-7"/>
        </w:rPr>
        <w:t> </w:t>
      </w:r>
      <w:r>
        <w:rPr/>
        <w:t>happen</w:t>
      </w:r>
      <w:r>
        <w:rPr>
          <w:spacing w:val="-7"/>
        </w:rPr>
        <w:t> </w:t>
      </w:r>
      <w:r>
        <w:rPr/>
        <w:t>when</w:t>
      </w:r>
      <w:r>
        <w:rPr>
          <w:spacing w:val="-6"/>
        </w:rPr>
        <w:t> </w:t>
      </w:r>
      <w:r>
        <w:rPr/>
        <w:t>fluid</w:t>
      </w:r>
      <w:r>
        <w:rPr>
          <w:spacing w:val="-7"/>
        </w:rPr>
        <w:t> </w:t>
      </w:r>
      <w:r>
        <w:rPr/>
        <w:t>pressures are substantially depleted during hydrocarbon production (Streit and Hillis, 2003). Determining whether the induced stress changes result in compaction or pore collapse is critical in assessment of a depleted field. If pore collapse occurs, then it might not be possible to return a pressure-depleted field to its original pore pressure without the risk of induced failure. By having a reduced maximum pore fluid pressure, the total volume of CO</w:t>
      </w:r>
      <w:r>
        <w:rPr>
          <w:position w:val="-6"/>
          <w:sz w:val="11"/>
        </w:rPr>
        <w:t>2 </w:t>
      </w:r>
      <w:r>
        <w:rPr/>
        <w:t>that can be stored in a depleted field could be substantially less than otherwise</w:t>
      </w:r>
      <w:r>
        <w:rPr>
          <w:spacing w:val="-3"/>
        </w:rPr>
        <w:t> </w:t>
      </w:r>
      <w:r>
        <w:rPr/>
        <w:t>estimated.</w:t>
      </w:r>
    </w:p>
    <w:p>
      <w:pPr>
        <w:pStyle w:val="BodyText"/>
        <w:spacing w:before="4"/>
        <w:rPr>
          <w:sz w:val="21"/>
        </w:rPr>
      </w:pPr>
    </w:p>
    <w:p>
      <w:pPr>
        <w:pStyle w:val="ListParagraph"/>
        <w:numPr>
          <w:ilvl w:val="3"/>
          <w:numId w:val="8"/>
        </w:numPr>
        <w:tabs>
          <w:tab w:pos="1062" w:val="left" w:leader="none"/>
        </w:tabs>
        <w:spacing w:line="240" w:lineRule="auto" w:before="0" w:after="0"/>
        <w:ind w:left="1061" w:right="0" w:hanging="821"/>
        <w:jc w:val="both"/>
        <w:rPr>
          <w:i/>
          <w:sz w:val="20"/>
        </w:rPr>
      </w:pPr>
      <w:r>
        <w:rPr>
          <w:i/>
          <w:sz w:val="20"/>
        </w:rPr>
        <w:t>Geochemical factors affecting site</w:t>
      </w:r>
      <w:r>
        <w:rPr>
          <w:i/>
          <w:spacing w:val="-5"/>
          <w:sz w:val="20"/>
        </w:rPr>
        <w:t> </w:t>
      </w:r>
      <w:r>
        <w:rPr>
          <w:i/>
          <w:sz w:val="20"/>
        </w:rPr>
        <w:t>integrity</w:t>
      </w:r>
    </w:p>
    <w:p>
      <w:pPr>
        <w:pStyle w:val="BodyText"/>
        <w:spacing w:line="240" w:lineRule="exact" w:before="4"/>
        <w:ind w:left="241" w:right="134"/>
        <w:jc w:val="both"/>
      </w:pPr>
      <w:r>
        <w:rPr/>
        <w:t>The</w:t>
      </w:r>
      <w:r>
        <w:rPr>
          <w:spacing w:val="-10"/>
        </w:rPr>
        <w:t> </w:t>
      </w:r>
      <w:r>
        <w:rPr/>
        <w:t>mixing</w:t>
      </w:r>
      <w:r>
        <w:rPr>
          <w:spacing w:val="-10"/>
        </w:rPr>
        <w:t> </w:t>
      </w:r>
      <w:r>
        <w:rPr/>
        <w:t>of</w:t>
      </w:r>
      <w:r>
        <w:rPr>
          <w:spacing w:val="-9"/>
        </w:rPr>
        <w:t> </w:t>
      </w:r>
      <w:r>
        <w:rPr/>
        <w:t>CO</w:t>
      </w:r>
      <w:r>
        <w:rPr>
          <w:position w:val="-6"/>
          <w:sz w:val="11"/>
        </w:rPr>
        <w:t>2</w:t>
      </w:r>
      <w:r>
        <w:rPr>
          <w:spacing w:val="13"/>
          <w:position w:val="-6"/>
          <w:sz w:val="11"/>
        </w:rPr>
        <w:t> </w:t>
      </w:r>
      <w:r>
        <w:rPr/>
        <w:t>and</w:t>
      </w:r>
      <w:r>
        <w:rPr>
          <w:spacing w:val="-10"/>
        </w:rPr>
        <w:t> </w:t>
      </w:r>
      <w:r>
        <w:rPr/>
        <w:t>water</w:t>
      </w:r>
      <w:r>
        <w:rPr>
          <w:spacing w:val="-9"/>
        </w:rPr>
        <w:t> </w:t>
      </w:r>
      <w:r>
        <w:rPr/>
        <w:t>in</w:t>
      </w:r>
      <w:r>
        <w:rPr>
          <w:spacing w:val="-10"/>
        </w:rPr>
        <w:t> </w:t>
      </w:r>
      <w:r>
        <w:rPr/>
        <w:t>the</w:t>
      </w:r>
      <w:r>
        <w:rPr>
          <w:spacing w:val="-9"/>
        </w:rPr>
        <w:t> </w:t>
      </w:r>
      <w:r>
        <w:rPr/>
        <w:t>pore</w:t>
      </w:r>
      <w:r>
        <w:rPr>
          <w:spacing w:val="-10"/>
        </w:rPr>
        <w:t> </w:t>
      </w:r>
      <w:r>
        <w:rPr/>
        <w:t>system</w:t>
      </w:r>
      <w:r>
        <w:rPr>
          <w:spacing w:val="-9"/>
        </w:rPr>
        <w:t> </w:t>
      </w:r>
      <w:r>
        <w:rPr/>
        <w:t>of</w:t>
      </w:r>
      <w:r>
        <w:rPr>
          <w:spacing w:val="-10"/>
        </w:rPr>
        <w:t> </w:t>
      </w:r>
      <w:r>
        <w:rPr/>
        <w:t>the</w:t>
      </w:r>
      <w:r>
        <w:rPr>
          <w:spacing w:val="-9"/>
        </w:rPr>
        <w:t> </w:t>
      </w:r>
      <w:r>
        <w:rPr/>
        <w:t>reservoir rock will create dissolved CO</w:t>
      </w:r>
      <w:r>
        <w:rPr>
          <w:position w:val="-6"/>
          <w:sz w:val="11"/>
        </w:rPr>
        <w:t>2</w:t>
      </w:r>
      <w:r>
        <w:rPr/>
        <w:t>, carbonic acid and bicarbonate ions. The acidification of the pore water reduces the amount  of CO</w:t>
      </w:r>
      <w:r>
        <w:rPr>
          <w:position w:val="-6"/>
          <w:sz w:val="11"/>
        </w:rPr>
        <w:t>2 </w:t>
      </w:r>
      <w:r>
        <w:rPr/>
        <w:t>that can be dissolved. As a consequence, rocks </w:t>
      </w:r>
      <w:r>
        <w:rPr>
          <w:spacing w:val="-3"/>
        </w:rPr>
        <w:t>that  </w:t>
      </w:r>
      <w:r>
        <w:rPr/>
        <w:t>buffer</w:t>
      </w:r>
      <w:r>
        <w:rPr>
          <w:spacing w:val="-5"/>
        </w:rPr>
        <w:t> </w:t>
      </w:r>
      <w:r>
        <w:rPr/>
        <w:t>the</w:t>
      </w:r>
      <w:r>
        <w:rPr>
          <w:spacing w:val="-5"/>
        </w:rPr>
        <w:t> </w:t>
      </w:r>
      <w:r>
        <w:rPr/>
        <w:t>pore</w:t>
      </w:r>
      <w:r>
        <w:rPr>
          <w:spacing w:val="-5"/>
        </w:rPr>
        <w:t> </w:t>
      </w:r>
      <w:r>
        <w:rPr/>
        <w:t>water</w:t>
      </w:r>
      <w:r>
        <w:rPr>
          <w:spacing w:val="-4"/>
        </w:rPr>
        <w:t> </w:t>
      </w:r>
      <w:r>
        <w:rPr>
          <w:i/>
        </w:rPr>
        <w:t>p</w:t>
      </w:r>
      <w:r>
        <w:rPr/>
        <w:t>H</w:t>
      </w:r>
      <w:r>
        <w:rPr>
          <w:spacing w:val="-6"/>
        </w:rPr>
        <w:t> </w:t>
      </w:r>
      <w:r>
        <w:rPr/>
        <w:t>to</w:t>
      </w:r>
      <w:r>
        <w:rPr>
          <w:spacing w:val="-5"/>
        </w:rPr>
        <w:t> </w:t>
      </w:r>
      <w:r>
        <w:rPr/>
        <w:t>higher</w:t>
      </w:r>
      <w:r>
        <w:rPr>
          <w:spacing w:val="-5"/>
        </w:rPr>
        <w:t> </w:t>
      </w:r>
      <w:r>
        <w:rPr/>
        <w:t>values</w:t>
      </w:r>
      <w:r>
        <w:rPr>
          <w:spacing w:val="-4"/>
        </w:rPr>
        <w:t> </w:t>
      </w:r>
      <w:r>
        <w:rPr/>
        <w:t>(reducing</w:t>
      </w:r>
      <w:r>
        <w:rPr>
          <w:spacing w:val="-5"/>
        </w:rPr>
        <w:t> </w:t>
      </w:r>
      <w:r>
        <w:rPr/>
        <w:t>the</w:t>
      </w:r>
      <w:r>
        <w:rPr>
          <w:spacing w:val="-5"/>
        </w:rPr>
        <w:t> </w:t>
      </w:r>
      <w:r>
        <w:rPr/>
        <w:t>acidity) facilitate the storage of CO</w:t>
      </w:r>
      <w:r>
        <w:rPr>
          <w:position w:val="-6"/>
          <w:sz w:val="11"/>
        </w:rPr>
        <w:t>2 </w:t>
      </w:r>
      <w:r>
        <w:rPr/>
        <w:t>as a dissolved phase (Section 5.2). The</w:t>
      </w:r>
      <w:r>
        <w:rPr>
          <w:spacing w:val="-18"/>
        </w:rPr>
        <w:t> </w:t>
      </w:r>
      <w:r>
        <w:rPr/>
        <w:t>CO</w:t>
      </w:r>
      <w:r>
        <w:rPr>
          <w:position w:val="-6"/>
          <w:sz w:val="11"/>
        </w:rPr>
        <w:t>2</w:t>
      </w:r>
      <w:r>
        <w:rPr/>
        <w:t>-rich</w:t>
      </w:r>
      <w:r>
        <w:rPr>
          <w:spacing w:val="-17"/>
        </w:rPr>
        <w:t> </w:t>
      </w:r>
      <w:r>
        <w:rPr/>
        <w:t>water</w:t>
      </w:r>
      <w:r>
        <w:rPr>
          <w:spacing w:val="-19"/>
        </w:rPr>
        <w:t> </w:t>
      </w:r>
      <w:r>
        <w:rPr/>
        <w:t>may</w:t>
      </w:r>
      <w:r>
        <w:rPr>
          <w:spacing w:val="-17"/>
        </w:rPr>
        <w:t> </w:t>
      </w:r>
      <w:r>
        <w:rPr/>
        <w:t>react</w:t>
      </w:r>
      <w:r>
        <w:rPr>
          <w:spacing w:val="-18"/>
        </w:rPr>
        <w:t> </w:t>
      </w:r>
      <w:r>
        <w:rPr/>
        <w:t>with</w:t>
      </w:r>
      <w:r>
        <w:rPr>
          <w:spacing w:val="-18"/>
        </w:rPr>
        <w:t> </w:t>
      </w:r>
      <w:r>
        <w:rPr/>
        <w:t>minerals</w:t>
      </w:r>
      <w:r>
        <w:rPr>
          <w:spacing w:val="-18"/>
        </w:rPr>
        <w:t> </w:t>
      </w:r>
      <w:r>
        <w:rPr/>
        <w:t>in</w:t>
      </w:r>
      <w:r>
        <w:rPr>
          <w:spacing w:val="-17"/>
        </w:rPr>
        <w:t> </w:t>
      </w:r>
      <w:r>
        <w:rPr/>
        <w:t>the</w:t>
      </w:r>
      <w:r>
        <w:rPr>
          <w:spacing w:val="-18"/>
        </w:rPr>
        <w:t> </w:t>
      </w:r>
      <w:r>
        <w:rPr/>
        <w:t>reservoir</w:t>
      </w:r>
      <w:r>
        <w:rPr>
          <w:spacing w:val="-17"/>
        </w:rPr>
        <w:t> </w:t>
      </w:r>
      <w:r>
        <w:rPr/>
        <w:t>rock or</w:t>
      </w:r>
      <w:r>
        <w:rPr>
          <w:spacing w:val="-9"/>
        </w:rPr>
        <w:t> </w:t>
      </w:r>
      <w:r>
        <w:rPr/>
        <w:t>caprock</w:t>
      </w:r>
      <w:r>
        <w:rPr>
          <w:spacing w:val="-8"/>
        </w:rPr>
        <w:t> </w:t>
      </w:r>
      <w:r>
        <w:rPr/>
        <w:t>matrix</w:t>
      </w:r>
      <w:r>
        <w:rPr>
          <w:spacing w:val="-8"/>
        </w:rPr>
        <w:t> </w:t>
      </w:r>
      <w:r>
        <w:rPr/>
        <w:t>or</w:t>
      </w:r>
      <w:r>
        <w:rPr>
          <w:spacing w:val="-8"/>
        </w:rPr>
        <w:t> </w:t>
      </w:r>
      <w:r>
        <w:rPr/>
        <w:t>with</w:t>
      </w:r>
      <w:r>
        <w:rPr>
          <w:spacing w:val="-8"/>
        </w:rPr>
        <w:t> </w:t>
      </w:r>
      <w:r>
        <w:rPr/>
        <w:t>the</w:t>
      </w:r>
      <w:r>
        <w:rPr>
          <w:spacing w:val="-8"/>
        </w:rPr>
        <w:t> </w:t>
      </w:r>
      <w:r>
        <w:rPr/>
        <w:t>primary</w:t>
      </w:r>
      <w:r>
        <w:rPr>
          <w:spacing w:val="-9"/>
        </w:rPr>
        <w:t> </w:t>
      </w:r>
      <w:r>
        <w:rPr/>
        <w:t>pore</w:t>
      </w:r>
      <w:r>
        <w:rPr>
          <w:spacing w:val="-8"/>
        </w:rPr>
        <w:t> </w:t>
      </w:r>
      <w:r>
        <w:rPr/>
        <w:t>fluid.</w:t>
      </w:r>
      <w:r>
        <w:rPr>
          <w:spacing w:val="-8"/>
        </w:rPr>
        <w:t> </w:t>
      </w:r>
      <w:r>
        <w:rPr/>
        <w:t>Importantly,</w:t>
      </w:r>
      <w:r>
        <w:rPr>
          <w:spacing w:val="-8"/>
        </w:rPr>
        <w:t> </w:t>
      </w:r>
      <w:r>
        <w:rPr/>
        <w:t>it may</w:t>
      </w:r>
      <w:r>
        <w:rPr>
          <w:spacing w:val="-8"/>
        </w:rPr>
        <w:t> </w:t>
      </w:r>
      <w:r>
        <w:rPr/>
        <w:t>also</w:t>
      </w:r>
      <w:r>
        <w:rPr>
          <w:spacing w:val="-8"/>
        </w:rPr>
        <w:t> </w:t>
      </w:r>
      <w:r>
        <w:rPr/>
        <w:t>react</w:t>
      </w:r>
      <w:r>
        <w:rPr>
          <w:spacing w:val="-8"/>
        </w:rPr>
        <w:t> </w:t>
      </w:r>
      <w:r>
        <w:rPr/>
        <w:t>with</w:t>
      </w:r>
      <w:r>
        <w:rPr>
          <w:spacing w:val="-8"/>
        </w:rPr>
        <w:t> </w:t>
      </w:r>
      <w:r>
        <w:rPr/>
        <w:t>borehole</w:t>
      </w:r>
      <w:r>
        <w:rPr>
          <w:spacing w:val="-8"/>
        </w:rPr>
        <w:t> </w:t>
      </w:r>
      <w:r>
        <w:rPr/>
        <w:t>cements</w:t>
      </w:r>
      <w:r>
        <w:rPr>
          <w:spacing w:val="-8"/>
        </w:rPr>
        <w:t> </w:t>
      </w:r>
      <w:r>
        <w:rPr/>
        <w:t>and</w:t>
      </w:r>
      <w:r>
        <w:rPr>
          <w:spacing w:val="-8"/>
        </w:rPr>
        <w:t> </w:t>
      </w:r>
      <w:r>
        <w:rPr/>
        <w:t>steels</w:t>
      </w:r>
      <w:r>
        <w:rPr>
          <w:spacing w:val="-7"/>
        </w:rPr>
        <w:t> </w:t>
      </w:r>
      <w:r>
        <w:rPr/>
        <w:t>(see</w:t>
      </w:r>
      <w:r>
        <w:rPr>
          <w:spacing w:val="-8"/>
        </w:rPr>
        <w:t> </w:t>
      </w:r>
      <w:r>
        <w:rPr/>
        <w:t>discussion</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157" w:right="39"/>
        <w:jc w:val="both"/>
      </w:pPr>
      <w:r>
        <w:rPr/>
        <w:t>below). Such reactions may cause either mineral dissolution and potential breakdown of the rock (or cement) matrix </w:t>
      </w:r>
      <w:r>
        <w:rPr>
          <w:spacing w:val="-6"/>
        </w:rPr>
        <w:t>or </w:t>
      </w:r>
      <w:r>
        <w:rPr/>
        <w:t>mineral</w:t>
      </w:r>
      <w:r>
        <w:rPr>
          <w:spacing w:val="-11"/>
        </w:rPr>
        <w:t> </w:t>
      </w:r>
      <w:r>
        <w:rPr/>
        <w:t>precipitation</w:t>
      </w:r>
      <w:r>
        <w:rPr>
          <w:spacing w:val="-12"/>
        </w:rPr>
        <w:t> </w:t>
      </w:r>
      <w:r>
        <w:rPr/>
        <w:t>and</w:t>
      </w:r>
      <w:r>
        <w:rPr>
          <w:spacing w:val="-10"/>
        </w:rPr>
        <w:t> </w:t>
      </w:r>
      <w:r>
        <w:rPr/>
        <w:t>plugging</w:t>
      </w:r>
      <w:r>
        <w:rPr>
          <w:spacing w:val="-11"/>
        </w:rPr>
        <w:t> </w:t>
      </w:r>
      <w:r>
        <w:rPr/>
        <w:t>of</w:t>
      </w:r>
      <w:r>
        <w:rPr>
          <w:spacing w:val="-10"/>
        </w:rPr>
        <w:t> </w:t>
      </w:r>
      <w:r>
        <w:rPr/>
        <w:t>the</w:t>
      </w:r>
      <w:r>
        <w:rPr>
          <w:spacing w:val="-11"/>
        </w:rPr>
        <w:t> </w:t>
      </w:r>
      <w:r>
        <w:rPr/>
        <w:t>pore</w:t>
      </w:r>
      <w:r>
        <w:rPr>
          <w:spacing w:val="-10"/>
        </w:rPr>
        <w:t> </w:t>
      </w:r>
      <w:r>
        <w:rPr/>
        <w:t>system</w:t>
      </w:r>
      <w:r>
        <w:rPr>
          <w:spacing w:val="-12"/>
        </w:rPr>
        <w:t> </w:t>
      </w:r>
      <w:r>
        <w:rPr/>
        <w:t>(and</w:t>
      </w:r>
      <w:r>
        <w:rPr>
          <w:spacing w:val="-10"/>
        </w:rPr>
        <w:t> </w:t>
      </w:r>
      <w:r>
        <w:rPr/>
        <w:t>thus,</w:t>
      </w:r>
      <w:bookmarkStart w:name="5.4.2 Performance prediction and optimiz" w:id="61"/>
      <w:bookmarkEnd w:id="61"/>
      <w:r>
        <w:rPr/>
      </w:r>
      <w:r>
        <w:rPr/>
        <w:t> reduction in permeability).</w:t>
      </w:r>
    </w:p>
    <w:p>
      <w:pPr>
        <w:pStyle w:val="BodyText"/>
        <w:spacing w:line="225" w:lineRule="auto" w:before="12"/>
        <w:ind w:left="157" w:right="38" w:firstLine="283"/>
        <w:jc w:val="both"/>
      </w:pPr>
      <w:r>
        <w:rPr/>
        <w:t>A carbonate mineral formation effectively traps stored CO</w:t>
      </w:r>
      <w:r>
        <w:rPr>
          <w:position w:val="-6"/>
          <w:sz w:val="11"/>
        </w:rPr>
        <w:t>2 </w:t>
      </w:r>
      <w:r>
        <w:rPr/>
        <w:t>as an immobile solid phase (Section 5.2). If the mineralogical composition</w:t>
      </w:r>
      <w:r>
        <w:rPr>
          <w:spacing w:val="-9"/>
        </w:rPr>
        <w:t> </w:t>
      </w:r>
      <w:r>
        <w:rPr/>
        <w:t>of</w:t>
      </w:r>
      <w:r>
        <w:rPr>
          <w:spacing w:val="-9"/>
        </w:rPr>
        <w:t> </w:t>
      </w:r>
      <w:r>
        <w:rPr/>
        <w:t>the</w:t>
      </w:r>
      <w:r>
        <w:rPr>
          <w:spacing w:val="-9"/>
        </w:rPr>
        <w:t> </w:t>
      </w:r>
      <w:r>
        <w:rPr/>
        <w:t>rock</w:t>
      </w:r>
      <w:r>
        <w:rPr>
          <w:spacing w:val="-8"/>
        </w:rPr>
        <w:t> </w:t>
      </w:r>
      <w:r>
        <w:rPr/>
        <w:t>matrix</w:t>
      </w:r>
      <w:r>
        <w:rPr>
          <w:spacing w:val="-9"/>
        </w:rPr>
        <w:t> </w:t>
      </w:r>
      <w:r>
        <w:rPr/>
        <w:t>is</w:t>
      </w:r>
      <w:r>
        <w:rPr>
          <w:spacing w:val="-9"/>
        </w:rPr>
        <w:t> </w:t>
      </w:r>
      <w:r>
        <w:rPr/>
        <w:t>strongly</w:t>
      </w:r>
      <w:r>
        <w:rPr>
          <w:spacing w:val="-9"/>
        </w:rPr>
        <w:t> </w:t>
      </w:r>
      <w:r>
        <w:rPr/>
        <w:t>dominated</w:t>
      </w:r>
      <w:r>
        <w:rPr>
          <w:spacing w:val="-8"/>
        </w:rPr>
        <w:t> </w:t>
      </w:r>
      <w:r>
        <w:rPr/>
        <w:t>by</w:t>
      </w:r>
      <w:r>
        <w:rPr>
          <w:spacing w:val="-9"/>
        </w:rPr>
        <w:t> </w:t>
      </w:r>
      <w:r>
        <w:rPr/>
        <w:t>quartz,</w:t>
      </w:r>
    </w:p>
    <w:p>
      <w:pPr>
        <w:pStyle w:val="BodyText"/>
        <w:spacing w:line="240" w:lineRule="exact" w:before="7"/>
        <w:ind w:left="157" w:right="39"/>
        <w:jc w:val="both"/>
      </w:pPr>
      <w:r>
        <w:rPr/>
        <w:t>geochemical reactions will be dominated by simple dissolution into the brine and CO</w:t>
      </w:r>
      <w:r>
        <w:rPr>
          <w:position w:val="-6"/>
          <w:sz w:val="11"/>
        </w:rPr>
        <w:t>2</w:t>
      </w:r>
      <w:r>
        <w:rPr/>
        <w:t>-water-rock reactions can be neglected. In this case, complex geochemical simulations of rock-water interactions will not be needed. However, for more complex mineralogies, sophisticated simulations, based on laboratory experimental data that use reservoir and caprock samples and native</w:t>
      </w:r>
      <w:r>
        <w:rPr>
          <w:spacing w:val="-10"/>
        </w:rPr>
        <w:t> </w:t>
      </w:r>
      <w:r>
        <w:rPr/>
        <w:t>pore</w:t>
      </w:r>
      <w:r>
        <w:rPr>
          <w:spacing w:val="-10"/>
        </w:rPr>
        <w:t> </w:t>
      </w:r>
      <w:r>
        <w:rPr/>
        <w:t>fluids,</w:t>
      </w:r>
      <w:r>
        <w:rPr>
          <w:spacing w:val="-9"/>
        </w:rPr>
        <w:t> </w:t>
      </w:r>
      <w:r>
        <w:rPr/>
        <w:t>may</w:t>
      </w:r>
      <w:r>
        <w:rPr>
          <w:spacing w:val="-10"/>
        </w:rPr>
        <w:t> </w:t>
      </w:r>
      <w:r>
        <w:rPr/>
        <w:t>be</w:t>
      </w:r>
      <w:r>
        <w:rPr>
          <w:spacing w:val="-10"/>
        </w:rPr>
        <w:t> </w:t>
      </w:r>
      <w:r>
        <w:rPr/>
        <w:t>necessary</w:t>
      </w:r>
      <w:r>
        <w:rPr>
          <w:spacing w:val="-9"/>
        </w:rPr>
        <w:t> </w:t>
      </w:r>
      <w:r>
        <w:rPr/>
        <w:t>to</w:t>
      </w:r>
      <w:r>
        <w:rPr>
          <w:spacing w:val="-10"/>
        </w:rPr>
        <w:t> </w:t>
      </w:r>
      <w:r>
        <w:rPr/>
        <w:t>fully</w:t>
      </w:r>
      <w:r>
        <w:rPr>
          <w:spacing w:val="-10"/>
        </w:rPr>
        <w:t> </w:t>
      </w:r>
      <w:r>
        <w:rPr/>
        <w:t>assess</w:t>
      </w:r>
      <w:r>
        <w:rPr>
          <w:spacing w:val="-9"/>
        </w:rPr>
        <w:t> </w:t>
      </w:r>
      <w:r>
        <w:rPr/>
        <w:t>the</w:t>
      </w:r>
      <w:r>
        <w:rPr>
          <w:spacing w:val="-10"/>
        </w:rPr>
        <w:t> </w:t>
      </w:r>
      <w:r>
        <w:rPr/>
        <w:t>potential effects</w:t>
      </w:r>
      <w:r>
        <w:rPr>
          <w:spacing w:val="-13"/>
        </w:rPr>
        <w:t> </w:t>
      </w:r>
      <w:r>
        <w:rPr/>
        <w:t>of</w:t>
      </w:r>
      <w:r>
        <w:rPr>
          <w:spacing w:val="-12"/>
        </w:rPr>
        <w:t> </w:t>
      </w:r>
      <w:r>
        <w:rPr/>
        <w:t>such</w:t>
      </w:r>
      <w:r>
        <w:rPr>
          <w:spacing w:val="-13"/>
        </w:rPr>
        <w:t> </w:t>
      </w:r>
      <w:r>
        <w:rPr/>
        <w:t>reactions</w:t>
      </w:r>
      <w:r>
        <w:rPr>
          <w:spacing w:val="-12"/>
        </w:rPr>
        <w:t> </w:t>
      </w:r>
      <w:r>
        <w:rPr/>
        <w:t>in</w:t>
      </w:r>
      <w:r>
        <w:rPr>
          <w:spacing w:val="-12"/>
        </w:rPr>
        <w:t> </w:t>
      </w:r>
      <w:r>
        <w:rPr/>
        <w:t>more</w:t>
      </w:r>
      <w:r>
        <w:rPr>
          <w:spacing w:val="-13"/>
        </w:rPr>
        <w:t> </w:t>
      </w:r>
      <w:r>
        <w:rPr/>
        <w:t>complex</w:t>
      </w:r>
      <w:r>
        <w:rPr>
          <w:spacing w:val="-12"/>
        </w:rPr>
        <w:t> </w:t>
      </w:r>
      <w:r>
        <w:rPr/>
        <w:t>systems</w:t>
      </w:r>
      <w:r>
        <w:rPr>
          <w:spacing w:val="-12"/>
        </w:rPr>
        <w:t> </w:t>
      </w:r>
      <w:r>
        <w:rPr/>
        <w:t>(Bachu</w:t>
      </w:r>
      <w:r>
        <w:rPr>
          <w:spacing w:val="-13"/>
        </w:rPr>
        <w:t> </w:t>
      </w:r>
      <w:r>
        <w:rPr>
          <w:i/>
        </w:rPr>
        <w:t>et</w:t>
      </w:r>
      <w:r>
        <w:rPr>
          <w:i/>
          <w:spacing w:val="-12"/>
        </w:rPr>
        <w:t> </w:t>
      </w:r>
      <w:r>
        <w:rPr>
          <w:i/>
        </w:rPr>
        <w:t>al.</w:t>
      </w:r>
      <w:r>
        <w:rPr/>
        <w:t>, 1994;</w:t>
      </w:r>
      <w:r>
        <w:rPr>
          <w:spacing w:val="-11"/>
        </w:rPr>
        <w:t> </w:t>
      </w:r>
      <w:r>
        <w:rPr/>
        <w:t>Czernichowski-Lauriol</w:t>
      </w:r>
      <w:r>
        <w:rPr>
          <w:spacing w:val="-11"/>
        </w:rPr>
        <w:t> </w:t>
      </w:r>
      <w:r>
        <w:rPr>
          <w:i/>
        </w:rPr>
        <w:t>et</w:t>
      </w:r>
      <w:r>
        <w:rPr>
          <w:i/>
          <w:spacing w:val="-11"/>
        </w:rPr>
        <w:t> </w:t>
      </w:r>
      <w:r>
        <w:rPr>
          <w:i/>
        </w:rPr>
        <w:t>al.</w:t>
      </w:r>
      <w:r>
        <w:rPr/>
        <w:t>,</w:t>
      </w:r>
      <w:r>
        <w:rPr>
          <w:spacing w:val="-11"/>
        </w:rPr>
        <w:t> </w:t>
      </w:r>
      <w:r>
        <w:rPr/>
        <w:t>1996;</w:t>
      </w:r>
      <w:r>
        <w:rPr>
          <w:spacing w:val="-10"/>
        </w:rPr>
        <w:t> </w:t>
      </w:r>
      <w:r>
        <w:rPr/>
        <w:t>Rochelle</w:t>
      </w:r>
      <w:r>
        <w:rPr>
          <w:spacing w:val="-11"/>
        </w:rPr>
        <w:t> </w:t>
      </w:r>
      <w:r>
        <w:rPr>
          <w:i/>
        </w:rPr>
        <w:t>et</w:t>
      </w:r>
      <w:r>
        <w:rPr>
          <w:i/>
          <w:spacing w:val="-11"/>
        </w:rPr>
        <w:t> </w:t>
      </w:r>
      <w:r>
        <w:rPr>
          <w:i/>
        </w:rPr>
        <w:t>al.</w:t>
      </w:r>
      <w:r>
        <w:rPr/>
        <w:t>,</w:t>
      </w:r>
      <w:r>
        <w:rPr>
          <w:spacing w:val="-11"/>
        </w:rPr>
        <w:t> </w:t>
      </w:r>
      <w:r>
        <w:rPr>
          <w:spacing w:val="-3"/>
        </w:rPr>
        <w:t>1999, </w:t>
      </w:r>
      <w:r>
        <w:rPr/>
        <w:t>2004; Gunter </w:t>
      </w:r>
      <w:r>
        <w:rPr>
          <w:i/>
        </w:rPr>
        <w:t>et al.</w:t>
      </w:r>
      <w:r>
        <w:rPr/>
        <w:t>, 2000). Studies of rock samples recovered from natural systems rich in CO</w:t>
      </w:r>
      <w:r>
        <w:rPr>
          <w:position w:val="-6"/>
          <w:sz w:val="11"/>
        </w:rPr>
        <w:t>2 </w:t>
      </w:r>
      <w:r>
        <w:rPr/>
        <w:t>can provide indications of what reactions might occur in the very long term (Pearce </w:t>
      </w:r>
      <w:r>
        <w:rPr>
          <w:i/>
        </w:rPr>
        <w:t>et</w:t>
      </w:r>
      <w:r>
        <w:rPr>
          <w:i/>
          <w:spacing w:val="-15"/>
        </w:rPr>
        <w:t> </w:t>
      </w:r>
      <w:r>
        <w:rPr>
          <w:i/>
        </w:rPr>
        <w:t>al.</w:t>
      </w:r>
      <w:r>
        <w:rPr/>
        <w:t>, 1996). Reactions in boreholes are considered by Crolet </w:t>
      </w:r>
      <w:r>
        <w:rPr>
          <w:spacing w:val="-3"/>
        </w:rPr>
        <w:t>(1983), </w:t>
      </w:r>
      <w:r>
        <w:rPr/>
        <w:t>Rochelle </w:t>
      </w:r>
      <w:r>
        <w:rPr>
          <w:i/>
        </w:rPr>
        <w:t>et al. </w:t>
      </w:r>
      <w:r>
        <w:rPr/>
        <w:t>(2004) and Schremp and Roberson (1975). Natural CO</w:t>
      </w:r>
      <w:r>
        <w:rPr>
          <w:position w:val="-6"/>
          <w:sz w:val="11"/>
        </w:rPr>
        <w:t>2 </w:t>
      </w:r>
      <w:r>
        <w:rPr/>
        <w:t>reservoirs also allow sampling of solid and fluid reactants and reaction products,  thus  allowing  formulation  of geochemical models that can be verified with numerical simulations, further facilitating quantitative predictions of water-CO</w:t>
      </w:r>
      <w:r>
        <w:rPr>
          <w:position w:val="-6"/>
          <w:sz w:val="11"/>
        </w:rPr>
        <w:t>2</w:t>
      </w:r>
      <w:r>
        <w:rPr/>
        <w:t>-rock reactions </w:t>
      </w:r>
      <w:r>
        <w:rPr>
          <w:spacing w:val="-3"/>
        </w:rPr>
        <w:t>(May,</w:t>
      </w:r>
      <w:r>
        <w:rPr>
          <w:spacing w:val="-1"/>
        </w:rPr>
        <w:t> </w:t>
      </w:r>
      <w:r>
        <w:rPr/>
        <w:t>1998).</w:t>
      </w:r>
    </w:p>
    <w:p>
      <w:pPr>
        <w:pStyle w:val="BodyText"/>
        <w:spacing w:before="4"/>
        <w:rPr>
          <w:sz w:val="21"/>
        </w:rPr>
      </w:pPr>
    </w:p>
    <w:p>
      <w:pPr>
        <w:pStyle w:val="ListParagraph"/>
        <w:numPr>
          <w:ilvl w:val="3"/>
          <w:numId w:val="8"/>
        </w:numPr>
        <w:tabs>
          <w:tab w:pos="977" w:val="left" w:leader="none"/>
        </w:tabs>
        <w:spacing w:line="240" w:lineRule="auto" w:before="0" w:after="0"/>
        <w:ind w:left="976" w:right="0" w:hanging="821"/>
        <w:jc w:val="both"/>
        <w:rPr>
          <w:i/>
          <w:sz w:val="20"/>
        </w:rPr>
      </w:pPr>
      <w:r>
        <w:rPr>
          <w:i/>
          <w:sz w:val="20"/>
        </w:rPr>
        <w:t>Anthropogenic factors affecting storage</w:t>
      </w:r>
      <w:r>
        <w:rPr>
          <w:i/>
          <w:spacing w:val="-6"/>
          <w:sz w:val="20"/>
        </w:rPr>
        <w:t> </w:t>
      </w:r>
      <w:r>
        <w:rPr>
          <w:i/>
          <w:sz w:val="20"/>
        </w:rPr>
        <w:t>integrity</w:t>
      </w:r>
    </w:p>
    <w:p>
      <w:pPr>
        <w:pStyle w:val="BodyText"/>
        <w:spacing w:line="240" w:lineRule="exact" w:before="5"/>
        <w:ind w:left="157" w:right="38"/>
        <w:jc w:val="both"/>
      </w:pPr>
      <w:r>
        <w:rPr/>
        <w:t>As discussed at greater length in Section 5.7.2, anthropogenic factors such as active or abandoned wells, mine shafts and subsurface production can impact storage </w:t>
      </w:r>
      <w:r>
        <w:rPr>
          <w:spacing w:val="-3"/>
        </w:rPr>
        <w:t>security. </w:t>
      </w:r>
      <w:r>
        <w:rPr/>
        <w:t>Abandoned wells that penetrate the storage formation can be of particular concern</w:t>
      </w:r>
      <w:r>
        <w:rPr>
          <w:spacing w:val="-8"/>
        </w:rPr>
        <w:t> </w:t>
      </w:r>
      <w:r>
        <w:rPr/>
        <w:t>because</w:t>
      </w:r>
      <w:r>
        <w:rPr>
          <w:spacing w:val="-7"/>
        </w:rPr>
        <w:t> </w:t>
      </w:r>
      <w:r>
        <w:rPr/>
        <w:t>they</w:t>
      </w:r>
      <w:r>
        <w:rPr>
          <w:spacing w:val="-7"/>
        </w:rPr>
        <w:t> </w:t>
      </w:r>
      <w:r>
        <w:rPr/>
        <w:t>may</w:t>
      </w:r>
      <w:r>
        <w:rPr>
          <w:spacing w:val="-7"/>
        </w:rPr>
        <w:t> </w:t>
      </w:r>
      <w:r>
        <w:rPr/>
        <w:t>provide</w:t>
      </w:r>
      <w:r>
        <w:rPr>
          <w:spacing w:val="-7"/>
        </w:rPr>
        <w:t> </w:t>
      </w:r>
      <w:r>
        <w:rPr/>
        <w:t>short</w:t>
      </w:r>
      <w:r>
        <w:rPr>
          <w:spacing w:val="-8"/>
        </w:rPr>
        <w:t> </w:t>
      </w:r>
      <w:r>
        <w:rPr/>
        <w:t>circuits</w:t>
      </w:r>
      <w:r>
        <w:rPr>
          <w:spacing w:val="-8"/>
        </w:rPr>
        <w:t> </w:t>
      </w:r>
      <w:r>
        <w:rPr/>
        <w:t>for</w:t>
      </w:r>
      <w:r>
        <w:rPr>
          <w:spacing w:val="-7"/>
        </w:rPr>
        <w:t> </w:t>
      </w:r>
      <w:r>
        <w:rPr/>
        <w:t>CO</w:t>
      </w:r>
      <w:r>
        <w:rPr>
          <w:position w:val="-6"/>
          <w:sz w:val="11"/>
        </w:rPr>
        <w:t>2</w:t>
      </w:r>
      <w:r>
        <w:rPr>
          <w:spacing w:val="16"/>
          <w:position w:val="-6"/>
          <w:sz w:val="11"/>
        </w:rPr>
        <w:t> </w:t>
      </w:r>
      <w:r>
        <w:rPr/>
        <w:t>to</w:t>
      </w:r>
      <w:r>
        <w:rPr>
          <w:spacing w:val="-8"/>
        </w:rPr>
        <w:t> </w:t>
      </w:r>
      <w:r>
        <w:rPr/>
        <w:t>leak from the storage formation to the surface (Celia and Bachu, 2003; Gasda </w:t>
      </w:r>
      <w:r>
        <w:rPr>
          <w:i/>
        </w:rPr>
        <w:t>et al.</w:t>
      </w:r>
      <w:r>
        <w:rPr/>
        <w:t>, 2004). Therefore, locating and assessing the condition of abandoned and active wells is an important component of site characterization. It is possible to locate abandoned wells with airborne magnetometer surveys. In  most cases, abandoned wells will have metal casings, but this may not be the case for wells drilled long ago or those never completed for oil or gas production. Countries with oil and gas production will have at least some records of the more recently drilled wells, depth of wells and other information stored in    a geographic database. The consistency and quality of record keeping of drilled wells (oil and gas, mining exploration </w:t>
      </w:r>
      <w:r>
        <w:rPr>
          <w:spacing w:val="-4"/>
        </w:rPr>
        <w:t>and </w:t>
      </w:r>
      <w:r>
        <w:rPr/>
        <w:t>water) varies considerably, from  excellent  for  recent  wells to nonexistent, particularly for older wells (Stenhouse </w:t>
      </w:r>
      <w:r>
        <w:rPr>
          <w:i/>
        </w:rPr>
        <w:t>et al.</w:t>
      </w:r>
      <w:r>
        <w:rPr/>
        <w:t>, 2004).</w:t>
      </w:r>
    </w:p>
    <w:p>
      <w:pPr>
        <w:pStyle w:val="BodyText"/>
        <w:spacing w:before="3"/>
        <w:rPr>
          <w:sz w:val="21"/>
        </w:rPr>
      </w:pPr>
    </w:p>
    <w:p>
      <w:pPr>
        <w:pStyle w:val="Heading2"/>
        <w:numPr>
          <w:ilvl w:val="2"/>
          <w:numId w:val="7"/>
        </w:numPr>
        <w:tabs>
          <w:tab w:pos="976" w:val="left" w:leader="none"/>
          <w:tab w:pos="977" w:val="left" w:leader="none"/>
        </w:tabs>
        <w:spacing w:line="249" w:lineRule="auto" w:before="0" w:after="0"/>
        <w:ind w:left="977" w:right="867" w:hanging="820"/>
        <w:jc w:val="left"/>
      </w:pPr>
      <w:r>
        <w:rPr>
          <w:i/>
        </w:rPr>
        <w:t>Performance prediction and </w:t>
      </w:r>
      <w:r>
        <w:rPr>
          <w:i/>
          <w:spacing w:val="-2"/>
        </w:rPr>
        <w:t>optimization </w:t>
      </w:r>
      <w:r>
        <w:rPr/>
        <w:t>modelling</w:t>
      </w:r>
    </w:p>
    <w:p>
      <w:pPr>
        <w:pStyle w:val="BodyText"/>
        <w:spacing w:before="7"/>
        <w:rPr>
          <w:b/>
          <w:i/>
        </w:rPr>
      </w:pPr>
    </w:p>
    <w:p>
      <w:pPr>
        <w:pStyle w:val="BodyText"/>
        <w:spacing w:line="240" w:lineRule="exact"/>
        <w:ind w:left="157" w:right="38"/>
        <w:jc w:val="both"/>
      </w:pPr>
      <w:r>
        <w:rPr/>
        <w:t>Computer simulation also has a key role in the design and operation of field projects for underground injection of CO</w:t>
      </w:r>
      <w:r>
        <w:rPr>
          <w:position w:val="-6"/>
          <w:sz w:val="11"/>
        </w:rPr>
        <w:t>2</w:t>
      </w:r>
      <w:r>
        <w:rPr/>
        <w:t>. Predictions of the storage capacity of the site or the expected incremental</w:t>
      </w:r>
      <w:r>
        <w:rPr>
          <w:spacing w:val="-7"/>
        </w:rPr>
        <w:t> </w:t>
      </w:r>
      <w:r>
        <w:rPr/>
        <w:t>recovery</w:t>
      </w:r>
      <w:r>
        <w:rPr>
          <w:spacing w:val="-7"/>
        </w:rPr>
        <w:t> </w:t>
      </w:r>
      <w:r>
        <w:rPr/>
        <w:t>in</w:t>
      </w:r>
      <w:r>
        <w:rPr>
          <w:spacing w:val="-7"/>
        </w:rPr>
        <w:t> </w:t>
      </w:r>
      <w:r>
        <w:rPr/>
        <w:t>enhanced</w:t>
      </w:r>
      <w:r>
        <w:rPr>
          <w:spacing w:val="-7"/>
        </w:rPr>
        <w:t> </w:t>
      </w:r>
      <w:r>
        <w:rPr/>
        <w:t>recovery</w:t>
      </w:r>
      <w:r>
        <w:rPr>
          <w:spacing w:val="-7"/>
        </w:rPr>
        <w:t> </w:t>
      </w:r>
      <w:r>
        <w:rPr/>
        <w:t>projects,</w:t>
      </w:r>
      <w:r>
        <w:rPr>
          <w:spacing w:val="-7"/>
        </w:rPr>
        <w:t> </w:t>
      </w:r>
      <w:r>
        <w:rPr/>
        <w:t>are</w:t>
      </w:r>
      <w:r>
        <w:rPr>
          <w:spacing w:val="-7"/>
        </w:rPr>
        <w:t> </w:t>
      </w:r>
      <w:r>
        <w:rPr/>
        <w:t>vital</w:t>
      </w:r>
      <w:r>
        <w:rPr>
          <w:spacing w:val="-7"/>
        </w:rPr>
        <w:t> </w:t>
      </w:r>
      <w:r>
        <w:rPr/>
        <w:t>to</w:t>
      </w:r>
    </w:p>
    <w:p>
      <w:pPr>
        <w:pStyle w:val="BodyText"/>
        <w:spacing w:line="240" w:lineRule="exact" w:before="58"/>
        <w:ind w:left="156" w:right="530"/>
        <w:jc w:val="both"/>
      </w:pPr>
      <w:r>
        <w:rPr/>
        <w:br w:type="column"/>
      </w:r>
      <w:r>
        <w:rPr/>
        <w:t>an initial assessment of economic feasibility. In a similar vein, simulation can be used in tandem with economic assessments to optimize the location, number, design and depth of injection wells. For enhanced recovery projects, the timing of CO</w:t>
      </w:r>
      <w:r>
        <w:rPr>
          <w:position w:val="-6"/>
          <w:sz w:val="11"/>
        </w:rPr>
        <w:t>2 </w:t>
      </w:r>
      <w:r>
        <w:rPr/>
        <w:t>injection relative to production is vital to the success of the operation and the effect of various strategies can be assessed by simulation. Simulations of the long-term distribution of CO</w:t>
      </w:r>
      <w:r>
        <w:rPr>
          <w:position w:val="-6"/>
          <w:sz w:val="11"/>
        </w:rPr>
        <w:t>2 </w:t>
      </w:r>
      <w:r>
        <w:rPr/>
        <w:t>in the subsurface (e.g., migration rate and direction and rate of dissolution in the formation water) are important for  the design of cost-effective monitoring programmes, since the results will influence the location of monitoring wells and the frequency</w:t>
      </w:r>
      <w:r>
        <w:rPr>
          <w:spacing w:val="-6"/>
        </w:rPr>
        <w:t> </w:t>
      </w:r>
      <w:r>
        <w:rPr/>
        <w:t>of</w:t>
      </w:r>
      <w:r>
        <w:rPr>
          <w:spacing w:val="-4"/>
        </w:rPr>
        <w:t> </w:t>
      </w:r>
      <w:r>
        <w:rPr/>
        <w:t>repeat</w:t>
      </w:r>
      <w:r>
        <w:rPr>
          <w:spacing w:val="-6"/>
        </w:rPr>
        <w:t> </w:t>
      </w:r>
      <w:r>
        <w:rPr/>
        <w:t>measurements,</w:t>
      </w:r>
      <w:r>
        <w:rPr>
          <w:spacing w:val="-5"/>
        </w:rPr>
        <w:t> </w:t>
      </w:r>
      <w:r>
        <w:rPr/>
        <w:t>such</w:t>
      </w:r>
      <w:r>
        <w:rPr>
          <w:spacing w:val="-5"/>
        </w:rPr>
        <w:t> </w:t>
      </w:r>
      <w:r>
        <w:rPr/>
        <w:t>as</w:t>
      </w:r>
      <w:r>
        <w:rPr>
          <w:spacing w:val="-5"/>
        </w:rPr>
        <w:t> </w:t>
      </w:r>
      <w:r>
        <w:rPr/>
        <w:t>for</w:t>
      </w:r>
      <w:r>
        <w:rPr>
          <w:spacing w:val="-4"/>
        </w:rPr>
        <w:t> </w:t>
      </w:r>
      <w:r>
        <w:rPr/>
        <w:t>seismic,</w:t>
      </w:r>
      <w:r>
        <w:rPr>
          <w:spacing w:val="-5"/>
        </w:rPr>
        <w:t> </w:t>
      </w:r>
      <w:r>
        <w:rPr/>
        <w:t>soil</w:t>
      </w:r>
      <w:r>
        <w:rPr>
          <w:spacing w:val="-6"/>
        </w:rPr>
        <w:t> </w:t>
      </w:r>
      <w:r>
        <w:rPr/>
        <w:t>gas or</w:t>
      </w:r>
      <w:r>
        <w:rPr>
          <w:spacing w:val="-15"/>
        </w:rPr>
        <w:t> </w:t>
      </w:r>
      <w:r>
        <w:rPr/>
        <w:t>water</w:t>
      </w:r>
      <w:r>
        <w:rPr>
          <w:spacing w:val="-14"/>
        </w:rPr>
        <w:t> </w:t>
      </w:r>
      <w:r>
        <w:rPr/>
        <w:t>chemistry.</w:t>
      </w:r>
      <w:r>
        <w:rPr>
          <w:spacing w:val="-14"/>
        </w:rPr>
        <w:t> </w:t>
      </w:r>
      <w:r>
        <w:rPr/>
        <w:t>During</w:t>
      </w:r>
      <w:r>
        <w:rPr>
          <w:spacing w:val="-14"/>
        </w:rPr>
        <w:t> </w:t>
      </w:r>
      <w:r>
        <w:rPr/>
        <w:t>injection</w:t>
      </w:r>
      <w:r>
        <w:rPr>
          <w:spacing w:val="-14"/>
        </w:rPr>
        <w:t> </w:t>
      </w:r>
      <w:r>
        <w:rPr/>
        <w:t>and</w:t>
      </w:r>
      <w:r>
        <w:rPr>
          <w:spacing w:val="-14"/>
        </w:rPr>
        <w:t> </w:t>
      </w:r>
      <w:r>
        <w:rPr/>
        <w:t>monitoring</w:t>
      </w:r>
      <w:r>
        <w:rPr>
          <w:spacing w:val="-14"/>
        </w:rPr>
        <w:t> </w:t>
      </w:r>
      <w:r>
        <w:rPr/>
        <w:t>operations, simulation models can be adjusted to match field observations and then used to assess the impact of possible</w:t>
      </w:r>
      <w:r>
        <w:rPr>
          <w:spacing w:val="32"/>
        </w:rPr>
        <w:t> </w:t>
      </w:r>
      <w:r>
        <w:rPr/>
        <w:t>operational changes, such as drilling new wells or altering injection rates, often</w:t>
      </w:r>
      <w:r>
        <w:rPr>
          <w:spacing w:val="-13"/>
        </w:rPr>
        <w:t> </w:t>
      </w:r>
      <w:r>
        <w:rPr/>
        <w:t>with</w:t>
      </w:r>
      <w:r>
        <w:rPr>
          <w:spacing w:val="-12"/>
        </w:rPr>
        <w:t> </w:t>
      </w:r>
      <w:r>
        <w:rPr/>
        <w:t>the</w:t>
      </w:r>
      <w:r>
        <w:rPr>
          <w:spacing w:val="-12"/>
        </w:rPr>
        <w:t> </w:t>
      </w:r>
      <w:r>
        <w:rPr/>
        <w:t>goal</w:t>
      </w:r>
      <w:r>
        <w:rPr>
          <w:spacing w:val="-13"/>
        </w:rPr>
        <w:t> </w:t>
      </w:r>
      <w:r>
        <w:rPr/>
        <w:t>of</w:t>
      </w:r>
      <w:r>
        <w:rPr>
          <w:spacing w:val="-12"/>
        </w:rPr>
        <w:t> </w:t>
      </w:r>
      <w:r>
        <w:rPr/>
        <w:t>further</w:t>
      </w:r>
      <w:r>
        <w:rPr>
          <w:spacing w:val="-12"/>
        </w:rPr>
        <w:t> </w:t>
      </w:r>
      <w:r>
        <w:rPr/>
        <w:t>improving</w:t>
      </w:r>
      <w:r>
        <w:rPr>
          <w:spacing w:val="-12"/>
        </w:rPr>
        <w:t> </w:t>
      </w:r>
      <w:r>
        <w:rPr/>
        <w:t>recovery</w:t>
      </w:r>
      <w:r>
        <w:rPr>
          <w:spacing w:val="-13"/>
        </w:rPr>
        <w:t> </w:t>
      </w:r>
      <w:r>
        <w:rPr/>
        <w:t>(in</w:t>
      </w:r>
      <w:r>
        <w:rPr>
          <w:spacing w:val="-12"/>
        </w:rPr>
        <w:t> </w:t>
      </w:r>
      <w:r>
        <w:rPr/>
        <w:t>the</w:t>
      </w:r>
      <w:r>
        <w:rPr>
          <w:spacing w:val="-12"/>
        </w:rPr>
        <w:t> </w:t>
      </w:r>
      <w:r>
        <w:rPr/>
        <w:t>context of</w:t>
      </w:r>
      <w:r>
        <w:rPr>
          <w:spacing w:val="-10"/>
        </w:rPr>
        <w:t> </w:t>
      </w:r>
      <w:r>
        <w:rPr/>
        <w:t>hydrocarbon</w:t>
      </w:r>
      <w:r>
        <w:rPr>
          <w:spacing w:val="-10"/>
        </w:rPr>
        <w:t> </w:t>
      </w:r>
      <w:r>
        <w:rPr/>
        <w:t>extraction)</w:t>
      </w:r>
      <w:r>
        <w:rPr>
          <w:spacing w:val="-10"/>
        </w:rPr>
        <w:t> </w:t>
      </w:r>
      <w:r>
        <w:rPr/>
        <w:t>or</w:t>
      </w:r>
      <w:r>
        <w:rPr>
          <w:spacing w:val="-10"/>
        </w:rPr>
        <w:t> </w:t>
      </w:r>
      <w:r>
        <w:rPr/>
        <w:t>of</w:t>
      </w:r>
      <w:r>
        <w:rPr>
          <w:spacing w:val="-10"/>
        </w:rPr>
        <w:t> </w:t>
      </w:r>
      <w:r>
        <w:rPr/>
        <w:t>avoiding</w:t>
      </w:r>
      <w:r>
        <w:rPr>
          <w:spacing w:val="-10"/>
        </w:rPr>
        <w:t> </w:t>
      </w:r>
      <w:r>
        <w:rPr/>
        <w:t>migration</w:t>
      </w:r>
      <w:r>
        <w:rPr>
          <w:spacing w:val="-10"/>
        </w:rPr>
        <w:t> </w:t>
      </w:r>
      <w:r>
        <w:rPr/>
        <w:t>of</w:t>
      </w:r>
      <w:r>
        <w:rPr>
          <w:spacing w:val="-9"/>
        </w:rPr>
        <w:t> </w:t>
      </w:r>
      <w:r>
        <w:rPr/>
        <w:t>CO</w:t>
      </w:r>
      <w:r>
        <w:rPr>
          <w:position w:val="-6"/>
          <w:sz w:val="11"/>
        </w:rPr>
        <w:t>2</w:t>
      </w:r>
      <w:r>
        <w:rPr>
          <w:spacing w:val="12"/>
          <w:position w:val="-6"/>
          <w:sz w:val="11"/>
        </w:rPr>
        <w:t> </w:t>
      </w:r>
      <w:r>
        <w:rPr/>
        <w:t>past a likely</w:t>
      </w:r>
      <w:r>
        <w:rPr>
          <w:spacing w:val="-1"/>
        </w:rPr>
        <w:t> </w:t>
      </w:r>
      <w:r>
        <w:rPr/>
        <w:t>spill-point.</w:t>
      </w:r>
    </w:p>
    <w:p>
      <w:pPr>
        <w:pStyle w:val="BodyText"/>
        <w:spacing w:line="240" w:lineRule="exact"/>
        <w:ind w:left="156" w:right="531" w:firstLine="283"/>
        <w:jc w:val="both"/>
        <w:rPr>
          <w:i/>
        </w:rPr>
      </w:pPr>
      <w:r>
        <w:rPr/>
        <w:t>Section 5.2 described the important physical, chemical  and geomechanical processes that must be considered when evaluating a storage project. Numerical simulators currently  in use in the oil, gas and geothermal energy industries provide important</w:t>
      </w:r>
      <w:r>
        <w:rPr>
          <w:spacing w:val="-10"/>
        </w:rPr>
        <w:t> </w:t>
      </w:r>
      <w:r>
        <w:rPr/>
        <w:t>subsets</w:t>
      </w:r>
      <w:r>
        <w:rPr>
          <w:spacing w:val="-9"/>
        </w:rPr>
        <w:t> </w:t>
      </w:r>
      <w:r>
        <w:rPr/>
        <w:t>of</w:t>
      </w:r>
      <w:r>
        <w:rPr>
          <w:spacing w:val="-10"/>
        </w:rPr>
        <w:t> </w:t>
      </w:r>
      <w:r>
        <w:rPr/>
        <w:t>the</w:t>
      </w:r>
      <w:r>
        <w:rPr>
          <w:spacing w:val="-9"/>
        </w:rPr>
        <w:t> </w:t>
      </w:r>
      <w:r>
        <w:rPr/>
        <w:t>required</w:t>
      </w:r>
      <w:r>
        <w:rPr>
          <w:spacing w:val="-10"/>
        </w:rPr>
        <w:t> </w:t>
      </w:r>
      <w:r>
        <w:rPr/>
        <w:t>capabilities.</w:t>
      </w:r>
      <w:r>
        <w:rPr>
          <w:spacing w:val="-12"/>
        </w:rPr>
        <w:t> </w:t>
      </w:r>
      <w:r>
        <w:rPr/>
        <w:t>They</w:t>
      </w:r>
      <w:r>
        <w:rPr>
          <w:spacing w:val="-9"/>
        </w:rPr>
        <w:t> </w:t>
      </w:r>
      <w:r>
        <w:rPr/>
        <w:t>have</w:t>
      </w:r>
      <w:r>
        <w:rPr>
          <w:spacing w:val="-10"/>
        </w:rPr>
        <w:t> </w:t>
      </w:r>
      <w:r>
        <w:rPr/>
        <w:t>served as</w:t>
      </w:r>
      <w:r>
        <w:rPr>
          <w:spacing w:val="-25"/>
        </w:rPr>
        <w:t> </w:t>
      </w:r>
      <w:r>
        <w:rPr/>
        <w:t>convenient</w:t>
      </w:r>
      <w:r>
        <w:rPr>
          <w:spacing w:val="-25"/>
        </w:rPr>
        <w:t> </w:t>
      </w:r>
      <w:r>
        <w:rPr/>
        <w:t>starting</w:t>
      </w:r>
      <w:r>
        <w:rPr>
          <w:spacing w:val="-25"/>
        </w:rPr>
        <w:t> </w:t>
      </w:r>
      <w:r>
        <w:rPr/>
        <w:t>points</w:t>
      </w:r>
      <w:r>
        <w:rPr>
          <w:spacing w:val="-25"/>
        </w:rPr>
        <w:t> </w:t>
      </w:r>
      <w:r>
        <w:rPr/>
        <w:t>for</w:t>
      </w:r>
      <w:r>
        <w:rPr>
          <w:spacing w:val="-25"/>
        </w:rPr>
        <w:t> </w:t>
      </w:r>
      <w:r>
        <w:rPr/>
        <w:t>recent</w:t>
      </w:r>
      <w:r>
        <w:rPr>
          <w:spacing w:val="-24"/>
        </w:rPr>
        <w:t> </w:t>
      </w:r>
      <w:r>
        <w:rPr/>
        <w:t>and</w:t>
      </w:r>
      <w:r>
        <w:rPr>
          <w:spacing w:val="-25"/>
        </w:rPr>
        <w:t> </w:t>
      </w:r>
      <w:r>
        <w:rPr/>
        <w:t>ongoing</w:t>
      </w:r>
      <w:r>
        <w:rPr>
          <w:spacing w:val="-25"/>
        </w:rPr>
        <w:t> </w:t>
      </w:r>
      <w:r>
        <w:rPr/>
        <w:t>development efforts specifically targeted at modelling the geological</w:t>
      </w:r>
      <w:r>
        <w:rPr>
          <w:spacing w:val="-28"/>
        </w:rPr>
        <w:t> </w:t>
      </w:r>
      <w:r>
        <w:rPr/>
        <w:t>storage of</w:t>
      </w:r>
      <w:r>
        <w:rPr>
          <w:spacing w:val="-6"/>
        </w:rPr>
        <w:t> </w:t>
      </w:r>
      <w:r>
        <w:rPr/>
        <w:t>CO</w:t>
      </w:r>
      <w:r>
        <w:rPr>
          <w:position w:val="-6"/>
          <w:sz w:val="11"/>
        </w:rPr>
        <w:t>2</w:t>
      </w:r>
      <w:r>
        <w:rPr/>
        <w:t>.</w:t>
      </w:r>
      <w:r>
        <w:rPr>
          <w:spacing w:val="-6"/>
        </w:rPr>
        <w:t> </w:t>
      </w:r>
      <w:r>
        <w:rPr/>
        <w:t>Many</w:t>
      </w:r>
      <w:r>
        <w:rPr>
          <w:spacing w:val="-6"/>
        </w:rPr>
        <w:t> </w:t>
      </w:r>
      <w:r>
        <w:rPr/>
        <w:t>simulation</w:t>
      </w:r>
      <w:r>
        <w:rPr>
          <w:spacing w:val="-6"/>
        </w:rPr>
        <w:t> </w:t>
      </w:r>
      <w:r>
        <w:rPr/>
        <w:t>codes</w:t>
      </w:r>
      <w:r>
        <w:rPr>
          <w:spacing w:val="-6"/>
        </w:rPr>
        <w:t> </w:t>
      </w:r>
      <w:r>
        <w:rPr/>
        <w:t>have</w:t>
      </w:r>
      <w:r>
        <w:rPr>
          <w:spacing w:val="-5"/>
        </w:rPr>
        <w:t> </w:t>
      </w:r>
      <w:r>
        <w:rPr/>
        <w:t>been</w:t>
      </w:r>
      <w:r>
        <w:rPr>
          <w:spacing w:val="-6"/>
        </w:rPr>
        <w:t> </w:t>
      </w:r>
      <w:r>
        <w:rPr/>
        <w:t>used</w:t>
      </w:r>
      <w:r>
        <w:rPr>
          <w:spacing w:val="-6"/>
        </w:rPr>
        <w:t> </w:t>
      </w:r>
      <w:r>
        <w:rPr/>
        <w:t>and</w:t>
      </w:r>
      <w:r>
        <w:rPr>
          <w:spacing w:val="-6"/>
        </w:rPr>
        <w:t> </w:t>
      </w:r>
      <w:r>
        <w:rPr/>
        <w:t>adapted</w:t>
      </w:r>
      <w:r>
        <w:rPr>
          <w:spacing w:val="-6"/>
        </w:rPr>
        <w:t> </w:t>
      </w:r>
      <w:r>
        <w:rPr/>
        <w:t>for this purpose (White, 1995; Nitao, 1996; White and Oostrom, 1997; Pruess </w:t>
      </w:r>
      <w:r>
        <w:rPr>
          <w:i/>
        </w:rPr>
        <w:t>et al.</w:t>
      </w:r>
      <w:r>
        <w:rPr/>
        <w:t>, 1999; Lichtner, 2001; Steefel, 2001; Xu</w:t>
      </w:r>
      <w:r>
        <w:rPr>
          <w:spacing w:val="9"/>
        </w:rPr>
        <w:t> </w:t>
      </w:r>
      <w:r>
        <w:rPr>
          <w:i/>
        </w:rPr>
        <w:t>et</w:t>
      </w:r>
    </w:p>
    <w:p>
      <w:pPr>
        <w:spacing w:before="5"/>
        <w:ind w:left="156" w:right="0" w:firstLine="0"/>
        <w:jc w:val="both"/>
        <w:rPr>
          <w:sz w:val="20"/>
        </w:rPr>
      </w:pPr>
      <w:r>
        <w:rPr>
          <w:i/>
          <w:sz w:val="20"/>
        </w:rPr>
        <w:t>al.</w:t>
      </w:r>
      <w:r>
        <w:rPr>
          <w:sz w:val="20"/>
        </w:rPr>
        <w:t>, 2003).</w:t>
      </w:r>
    </w:p>
    <w:p>
      <w:pPr>
        <w:pStyle w:val="BodyText"/>
        <w:spacing w:line="240" w:lineRule="exact" w:before="5"/>
        <w:ind w:left="156" w:right="530" w:firstLine="283"/>
        <w:jc w:val="both"/>
      </w:pPr>
      <w:r>
        <w:rPr/>
        <w:t>Simulation</w:t>
      </w:r>
      <w:r>
        <w:rPr>
          <w:spacing w:val="-28"/>
        </w:rPr>
        <w:t> </w:t>
      </w:r>
      <w:r>
        <w:rPr/>
        <w:t>codes</w:t>
      </w:r>
      <w:r>
        <w:rPr>
          <w:spacing w:val="-28"/>
        </w:rPr>
        <w:t> </w:t>
      </w:r>
      <w:r>
        <w:rPr/>
        <w:t>are</w:t>
      </w:r>
      <w:r>
        <w:rPr>
          <w:spacing w:val="-28"/>
        </w:rPr>
        <w:t> </w:t>
      </w:r>
      <w:r>
        <w:rPr/>
        <w:t>available</w:t>
      </w:r>
      <w:r>
        <w:rPr>
          <w:spacing w:val="-28"/>
        </w:rPr>
        <w:t> </w:t>
      </w:r>
      <w:r>
        <w:rPr/>
        <w:t>for</w:t>
      </w:r>
      <w:r>
        <w:rPr>
          <w:spacing w:val="-28"/>
        </w:rPr>
        <w:t> </w:t>
      </w:r>
      <w:r>
        <w:rPr/>
        <w:t>multiphase</w:t>
      </w:r>
      <w:r>
        <w:rPr>
          <w:spacing w:val="-28"/>
        </w:rPr>
        <w:t> </w:t>
      </w:r>
      <w:r>
        <w:rPr/>
        <w:t>flow</w:t>
      </w:r>
      <w:r>
        <w:rPr>
          <w:spacing w:val="-28"/>
        </w:rPr>
        <w:t> </w:t>
      </w:r>
      <w:r>
        <w:rPr/>
        <w:t>processes, chemical reactions and geomechanical changes, but most</w:t>
      </w:r>
      <w:r>
        <w:rPr>
          <w:spacing w:val="-34"/>
        </w:rPr>
        <w:t> </w:t>
      </w:r>
      <w:r>
        <w:rPr>
          <w:spacing w:val="-3"/>
        </w:rPr>
        <w:t>codes </w:t>
      </w:r>
      <w:r>
        <w:rPr/>
        <w:t>account for only a subset  of  these  processes.  Capabilities  for a comprehensive treatment of different processes </w:t>
      </w:r>
      <w:r>
        <w:rPr>
          <w:spacing w:val="-4"/>
        </w:rPr>
        <w:t>are </w:t>
      </w:r>
      <w:r>
        <w:rPr/>
        <w:t>limited at present. This is especially true for the coupling </w:t>
      </w:r>
      <w:r>
        <w:rPr>
          <w:spacing w:val="-6"/>
        </w:rPr>
        <w:t>of </w:t>
      </w:r>
      <w:r>
        <w:rPr/>
        <w:t>multiphase fluid </w:t>
      </w:r>
      <w:r>
        <w:rPr>
          <w:spacing w:val="-4"/>
        </w:rPr>
        <w:t>flow, </w:t>
      </w:r>
      <w:r>
        <w:rPr/>
        <w:t>geochemical reactions and (particularly) geomechanics, which are very important for the integrity of potential geological storage sites (Rutqvist and </w:t>
      </w:r>
      <w:r>
        <w:rPr>
          <w:spacing w:val="-3"/>
        </w:rPr>
        <w:t>Tsang, </w:t>
      </w:r>
      <w:r>
        <w:rPr/>
        <w:t>2002). Demonstrating that they can model the important physical and chemical processes accurately and reliably is necessary </w:t>
      </w:r>
      <w:r>
        <w:rPr>
          <w:spacing w:val="-4"/>
        </w:rPr>
        <w:t>for </w:t>
      </w:r>
      <w:r>
        <w:rPr/>
        <w:t>establishing credibility as practical engineering tools. </w:t>
      </w:r>
      <w:r>
        <w:rPr>
          <w:spacing w:val="-4"/>
        </w:rPr>
        <w:t>Recently, </w:t>
      </w:r>
      <w:r>
        <w:rPr/>
        <w:t>an analytical model developed for predicting the evolution </w:t>
      </w:r>
      <w:r>
        <w:rPr>
          <w:spacing w:val="-7"/>
        </w:rPr>
        <w:t>of</w:t>
      </w:r>
      <w:r>
        <w:rPr>
          <w:spacing w:val="36"/>
        </w:rPr>
        <w:t> </w:t>
      </w:r>
      <w:r>
        <w:rPr/>
        <w:t>a plume of CO</w:t>
      </w:r>
      <w:r>
        <w:rPr>
          <w:position w:val="-6"/>
          <w:sz w:val="11"/>
        </w:rPr>
        <w:t>2 </w:t>
      </w:r>
      <w:r>
        <w:rPr/>
        <w:t>injected into a deep saline formation, as well as potential CO</w:t>
      </w:r>
      <w:r>
        <w:rPr>
          <w:position w:val="-6"/>
          <w:sz w:val="11"/>
        </w:rPr>
        <w:t>2 </w:t>
      </w:r>
      <w:r>
        <w:rPr/>
        <w:t>leakage rates through abandoned wells, has shown good matching with results obtained from the industry numerical simulator ECLIPSE (Celia </w:t>
      </w:r>
      <w:r>
        <w:rPr>
          <w:i/>
        </w:rPr>
        <w:t>et al.</w:t>
      </w:r>
      <w:r>
        <w:rPr/>
        <w:t>, 2005; Nordbotten </w:t>
      </w:r>
      <w:r>
        <w:rPr>
          <w:i/>
        </w:rPr>
        <w:t>et al.</w:t>
      </w:r>
      <w:r>
        <w:rPr/>
        <w:t>,</w:t>
      </w:r>
      <w:r>
        <w:rPr>
          <w:spacing w:val="-1"/>
        </w:rPr>
        <w:t> </w:t>
      </w:r>
      <w:r>
        <w:rPr/>
        <w:t>2005b).</w:t>
      </w:r>
    </w:p>
    <w:p>
      <w:pPr>
        <w:pStyle w:val="BodyText"/>
        <w:spacing w:line="240" w:lineRule="exact"/>
        <w:ind w:left="156" w:right="530" w:firstLine="283"/>
        <w:jc w:val="both"/>
      </w:pPr>
      <w:r>
        <w:rPr/>
        <w:t>A code intercomparison study involving ten research groups from six countries was conducted recently to evaluate the capabilities and accuracy of numerical simulators for geological storage of greenhouse gases (Pruess </w:t>
      </w:r>
      <w:r>
        <w:rPr>
          <w:i/>
        </w:rPr>
        <w:t>et al.</w:t>
      </w:r>
      <w:r>
        <w:rPr/>
        <w:t>, 2004). The test problems addressed CO</w:t>
      </w:r>
      <w:r>
        <w:rPr>
          <w:position w:val="-6"/>
          <w:sz w:val="11"/>
        </w:rPr>
        <w:t>2 </w:t>
      </w:r>
      <w:r>
        <w:rPr/>
        <w:t>storage in saline formations and oil and gas reservoirs. The results of the intercomparison were encouraging in that substantial agreement was found between results obtained with different simulators. However, there were also areas with only fair agreement, as well as some</w:t>
      </w:r>
    </w:p>
    <w:p>
      <w:pPr>
        <w:spacing w:after="0" w:line="240" w:lineRule="exact"/>
        <w:jc w:val="both"/>
        <w:sectPr>
          <w:type w:val="continuous"/>
          <w:pgSz w:w="12240" w:h="15840"/>
          <w:pgMar w:top="400" w:bottom="280" w:left="580" w:right="600"/>
          <w:cols w:num="2" w:equalWidth="0">
            <w:col w:w="5242" w:space="84"/>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553"/>
        <w:jc w:val="both"/>
      </w:pPr>
      <w:bookmarkStart w:name="5.4.3 Examples of storage site character" w:id="62"/>
      <w:bookmarkEnd w:id="62"/>
      <w:r>
        <w:rPr/>
      </w:r>
      <w:r>
        <w:rPr/>
        <w:t>significant</w:t>
      </w:r>
      <w:r>
        <w:rPr>
          <w:spacing w:val="-9"/>
        </w:rPr>
        <w:t> </w:t>
      </w:r>
      <w:r>
        <w:rPr/>
        <w:t>discrepancies.</w:t>
      </w:r>
      <w:r>
        <w:rPr>
          <w:spacing w:val="-8"/>
        </w:rPr>
        <w:t> </w:t>
      </w:r>
      <w:r>
        <w:rPr/>
        <w:t>Most</w:t>
      </w:r>
      <w:r>
        <w:rPr>
          <w:spacing w:val="-8"/>
        </w:rPr>
        <w:t> </w:t>
      </w:r>
      <w:r>
        <w:rPr/>
        <w:t>discrepancies</w:t>
      </w:r>
      <w:r>
        <w:rPr>
          <w:spacing w:val="-8"/>
        </w:rPr>
        <w:t> </w:t>
      </w:r>
      <w:r>
        <w:rPr/>
        <w:t>could</w:t>
      </w:r>
      <w:r>
        <w:rPr>
          <w:spacing w:val="-8"/>
        </w:rPr>
        <w:t> </w:t>
      </w:r>
      <w:r>
        <w:rPr/>
        <w:t>be</w:t>
      </w:r>
      <w:r>
        <w:rPr>
          <w:spacing w:val="-8"/>
        </w:rPr>
        <w:t> </w:t>
      </w:r>
      <w:r>
        <w:rPr/>
        <w:t>traced</w:t>
      </w:r>
      <w:r>
        <w:rPr>
          <w:spacing w:val="-8"/>
        </w:rPr>
        <w:t> </w:t>
      </w:r>
      <w:r>
        <w:rPr/>
        <w:t>to differences</w:t>
      </w:r>
      <w:r>
        <w:rPr>
          <w:spacing w:val="-13"/>
        </w:rPr>
        <w:t> </w:t>
      </w:r>
      <w:r>
        <w:rPr/>
        <w:t>in</w:t>
      </w:r>
      <w:r>
        <w:rPr>
          <w:spacing w:val="-12"/>
        </w:rPr>
        <w:t> </w:t>
      </w:r>
      <w:r>
        <w:rPr/>
        <w:t>fluid</w:t>
      </w:r>
      <w:r>
        <w:rPr>
          <w:spacing w:val="-12"/>
        </w:rPr>
        <w:t> </w:t>
      </w:r>
      <w:r>
        <w:rPr/>
        <w:t>property</w:t>
      </w:r>
      <w:r>
        <w:rPr>
          <w:spacing w:val="-12"/>
        </w:rPr>
        <w:t> </w:t>
      </w:r>
      <w:r>
        <w:rPr/>
        <w:t>descriptions,</w:t>
      </w:r>
      <w:r>
        <w:rPr>
          <w:spacing w:val="-12"/>
        </w:rPr>
        <w:t> </w:t>
      </w:r>
      <w:r>
        <w:rPr/>
        <w:t>such</w:t>
      </w:r>
      <w:r>
        <w:rPr>
          <w:spacing w:val="-13"/>
        </w:rPr>
        <w:t> </w:t>
      </w:r>
      <w:r>
        <w:rPr/>
        <w:t>as</w:t>
      </w:r>
      <w:r>
        <w:rPr>
          <w:spacing w:val="-12"/>
        </w:rPr>
        <w:t> </w:t>
      </w:r>
      <w:r>
        <w:rPr/>
        <w:t>fluid</w:t>
      </w:r>
      <w:r>
        <w:rPr>
          <w:spacing w:val="-12"/>
        </w:rPr>
        <w:t> </w:t>
      </w:r>
      <w:r>
        <w:rPr/>
        <w:t>densities and</w:t>
      </w:r>
      <w:r>
        <w:rPr>
          <w:spacing w:val="-21"/>
        </w:rPr>
        <w:t> </w:t>
      </w:r>
      <w:r>
        <w:rPr/>
        <w:t>viscosities</w:t>
      </w:r>
      <w:r>
        <w:rPr>
          <w:spacing w:val="-21"/>
        </w:rPr>
        <w:t> </w:t>
      </w:r>
      <w:r>
        <w:rPr/>
        <w:t>and</w:t>
      </w:r>
      <w:r>
        <w:rPr>
          <w:spacing w:val="-21"/>
        </w:rPr>
        <w:t> </w:t>
      </w:r>
      <w:r>
        <w:rPr/>
        <w:t>mutual</w:t>
      </w:r>
      <w:r>
        <w:rPr>
          <w:spacing w:val="-21"/>
        </w:rPr>
        <w:t> </w:t>
      </w:r>
      <w:r>
        <w:rPr/>
        <w:t>solubility</w:t>
      </w:r>
      <w:r>
        <w:rPr>
          <w:spacing w:val="-20"/>
        </w:rPr>
        <w:t> </w:t>
      </w:r>
      <w:r>
        <w:rPr/>
        <w:t>of</w:t>
      </w:r>
      <w:r>
        <w:rPr>
          <w:spacing w:val="-21"/>
        </w:rPr>
        <w:t> </w:t>
      </w:r>
      <w:r>
        <w:rPr/>
        <w:t>CO</w:t>
      </w:r>
      <w:r>
        <w:rPr>
          <w:position w:val="-6"/>
          <w:sz w:val="11"/>
        </w:rPr>
        <w:t>2</w:t>
      </w:r>
      <w:r>
        <w:rPr>
          <w:spacing w:val="2"/>
          <w:position w:val="-6"/>
          <w:sz w:val="11"/>
        </w:rPr>
        <w:t> </w:t>
      </w:r>
      <w:r>
        <w:rPr/>
        <w:t>and</w:t>
      </w:r>
      <w:r>
        <w:rPr>
          <w:spacing w:val="-21"/>
        </w:rPr>
        <w:t> </w:t>
      </w:r>
      <w:r>
        <w:rPr>
          <w:spacing w:val="-3"/>
        </w:rPr>
        <w:t>water.</w:t>
      </w:r>
      <w:r>
        <w:rPr>
          <w:spacing w:val="-23"/>
        </w:rPr>
        <w:t> </w:t>
      </w:r>
      <w:r>
        <w:rPr/>
        <w:t>The</w:t>
      </w:r>
      <w:r>
        <w:rPr>
          <w:spacing w:val="-21"/>
        </w:rPr>
        <w:t> </w:t>
      </w:r>
      <w:r>
        <w:rPr/>
        <w:t>study concluded that ‘although code development work undoubtedly must continue . . . codes are available now that can model the complex phenomena accompanying geological storage of CO</w:t>
      </w:r>
      <w:r>
        <w:rPr>
          <w:position w:val="-6"/>
          <w:sz w:val="11"/>
        </w:rPr>
        <w:t>2 </w:t>
      </w:r>
      <w:r>
        <w:rPr/>
        <w:t>in a robust manner and with quantitatively similar results’ (Pruess </w:t>
      </w:r>
      <w:r>
        <w:rPr>
          <w:i/>
        </w:rPr>
        <w:t>et al.</w:t>
      </w:r>
      <w:r>
        <w:rPr/>
        <w:t>,</w:t>
      </w:r>
      <w:r>
        <w:rPr>
          <w:spacing w:val="-1"/>
        </w:rPr>
        <w:t> </w:t>
      </w:r>
      <w:r>
        <w:rPr/>
        <w:t>2004).</w:t>
      </w:r>
    </w:p>
    <w:p>
      <w:pPr>
        <w:pStyle w:val="BodyText"/>
        <w:spacing w:line="240" w:lineRule="exact"/>
        <w:ind w:left="553" w:right="10" w:firstLine="283"/>
        <w:jc w:val="both"/>
      </w:pPr>
      <w:r>
        <w:rPr/>
        <w:t>Another, similar intercomparison study  was  conducted  for simulation of storage of CO</w:t>
      </w:r>
      <w:r>
        <w:rPr>
          <w:position w:val="-6"/>
          <w:sz w:val="11"/>
        </w:rPr>
        <w:t>2 </w:t>
      </w:r>
      <w:r>
        <w:rPr/>
        <w:t>in coal  beds,  considering both pure CO</w:t>
      </w:r>
      <w:r>
        <w:rPr>
          <w:position w:val="-6"/>
          <w:sz w:val="11"/>
        </w:rPr>
        <w:t>2  </w:t>
      </w:r>
      <w:r>
        <w:rPr/>
        <w:t>injection and injection of flue gases (Law </w:t>
      </w:r>
      <w:r>
        <w:rPr>
          <w:i/>
        </w:rPr>
        <w:t>et  </w:t>
      </w:r>
      <w:r>
        <w:rPr>
          <w:i/>
        </w:rPr>
        <w:t>al.</w:t>
      </w:r>
      <w:r>
        <w:rPr/>
        <w:t>, 2003). Again, there was good agreement between the simulation results from different codes. Code</w:t>
      </w:r>
      <w:r>
        <w:rPr>
          <w:spacing w:val="-19"/>
        </w:rPr>
        <w:t> </w:t>
      </w:r>
      <w:r>
        <w:rPr/>
        <w:t>intercomparisons are useful for checking mathematical methods and numerical approximations</w:t>
      </w:r>
      <w:r>
        <w:rPr>
          <w:spacing w:val="-7"/>
        </w:rPr>
        <w:t> </w:t>
      </w:r>
      <w:r>
        <w:rPr/>
        <w:t>and</w:t>
      </w:r>
      <w:r>
        <w:rPr>
          <w:spacing w:val="-5"/>
        </w:rPr>
        <w:t> </w:t>
      </w:r>
      <w:r>
        <w:rPr/>
        <w:t>to</w:t>
      </w:r>
      <w:r>
        <w:rPr>
          <w:spacing w:val="-6"/>
        </w:rPr>
        <w:t> </w:t>
      </w:r>
      <w:r>
        <w:rPr/>
        <w:t>provide</w:t>
      </w:r>
      <w:r>
        <w:rPr>
          <w:spacing w:val="-6"/>
        </w:rPr>
        <w:t> </w:t>
      </w:r>
      <w:r>
        <w:rPr/>
        <w:t>insight</w:t>
      </w:r>
      <w:r>
        <w:rPr>
          <w:spacing w:val="-6"/>
        </w:rPr>
        <w:t> </w:t>
      </w:r>
      <w:r>
        <w:rPr/>
        <w:t>into</w:t>
      </w:r>
      <w:r>
        <w:rPr>
          <w:spacing w:val="-7"/>
        </w:rPr>
        <w:t> </w:t>
      </w:r>
      <w:r>
        <w:rPr/>
        <w:t>relevant</w:t>
      </w:r>
      <w:r>
        <w:rPr>
          <w:spacing w:val="-6"/>
        </w:rPr>
        <w:t> </w:t>
      </w:r>
      <w:r>
        <w:rPr/>
        <w:t>phenomena by</w:t>
      </w:r>
      <w:r>
        <w:rPr>
          <w:spacing w:val="-6"/>
        </w:rPr>
        <w:t> </w:t>
      </w:r>
      <w:r>
        <w:rPr/>
        <w:t>using</w:t>
      </w:r>
      <w:r>
        <w:rPr>
          <w:spacing w:val="-6"/>
        </w:rPr>
        <w:t> </w:t>
      </w:r>
      <w:r>
        <w:rPr/>
        <w:t>the</w:t>
      </w:r>
      <w:r>
        <w:rPr>
          <w:spacing w:val="-6"/>
        </w:rPr>
        <w:t> </w:t>
      </w:r>
      <w:r>
        <w:rPr/>
        <w:t>different</w:t>
      </w:r>
      <w:r>
        <w:rPr>
          <w:spacing w:val="-6"/>
        </w:rPr>
        <w:t> </w:t>
      </w:r>
      <w:r>
        <w:rPr/>
        <w:t>descriptions</w:t>
      </w:r>
      <w:r>
        <w:rPr>
          <w:spacing w:val="-6"/>
        </w:rPr>
        <w:t> </w:t>
      </w:r>
      <w:r>
        <w:rPr/>
        <w:t>of</w:t>
      </w:r>
      <w:r>
        <w:rPr>
          <w:spacing w:val="-6"/>
        </w:rPr>
        <w:t> </w:t>
      </w:r>
      <w:r>
        <w:rPr/>
        <w:t>the</w:t>
      </w:r>
      <w:r>
        <w:rPr>
          <w:spacing w:val="-6"/>
        </w:rPr>
        <w:t> </w:t>
      </w:r>
      <w:r>
        <w:rPr/>
        <w:t>physics</w:t>
      </w:r>
      <w:r>
        <w:rPr>
          <w:spacing w:val="-6"/>
        </w:rPr>
        <w:t> </w:t>
      </w:r>
      <w:r>
        <w:rPr/>
        <w:t>(or</w:t>
      </w:r>
      <w:r>
        <w:rPr>
          <w:spacing w:val="-6"/>
        </w:rPr>
        <w:t> </w:t>
      </w:r>
      <w:r>
        <w:rPr/>
        <w:t>chemistry) implemented. However, establishing the realism and accuracy of physical and chemical process models is a more demanding task, one that requires carefully controlled and monitored field and laboratory experiments. Only after simulation models</w:t>
      </w:r>
      <w:r>
        <w:rPr>
          <w:spacing w:val="-26"/>
        </w:rPr>
        <w:t> </w:t>
      </w:r>
      <w:r>
        <w:rPr/>
        <w:t>have been</w:t>
      </w:r>
      <w:r>
        <w:rPr>
          <w:spacing w:val="-10"/>
        </w:rPr>
        <w:t> </w:t>
      </w:r>
      <w:r>
        <w:rPr/>
        <w:t>shown</w:t>
      </w:r>
      <w:r>
        <w:rPr>
          <w:spacing w:val="-9"/>
        </w:rPr>
        <w:t> </w:t>
      </w:r>
      <w:r>
        <w:rPr/>
        <w:t>to</w:t>
      </w:r>
      <w:r>
        <w:rPr>
          <w:spacing w:val="-10"/>
        </w:rPr>
        <w:t> </w:t>
      </w:r>
      <w:r>
        <w:rPr/>
        <w:t>be</w:t>
      </w:r>
      <w:r>
        <w:rPr>
          <w:spacing w:val="-9"/>
        </w:rPr>
        <w:t> </w:t>
      </w:r>
      <w:r>
        <w:rPr/>
        <w:t>capable</w:t>
      </w:r>
      <w:r>
        <w:rPr>
          <w:spacing w:val="-10"/>
        </w:rPr>
        <w:t> </w:t>
      </w:r>
      <w:r>
        <w:rPr/>
        <w:t>of</w:t>
      </w:r>
      <w:r>
        <w:rPr>
          <w:spacing w:val="-9"/>
        </w:rPr>
        <w:t> </w:t>
      </w:r>
      <w:r>
        <w:rPr/>
        <w:t>adequately</w:t>
      </w:r>
      <w:r>
        <w:rPr>
          <w:spacing w:val="-10"/>
        </w:rPr>
        <w:t> </w:t>
      </w:r>
      <w:r>
        <w:rPr/>
        <w:t>representing</w:t>
      </w:r>
      <w:r>
        <w:rPr>
          <w:spacing w:val="-9"/>
        </w:rPr>
        <w:t> </w:t>
      </w:r>
      <w:r>
        <w:rPr/>
        <w:t>real-world observations</w:t>
      </w:r>
      <w:r>
        <w:rPr>
          <w:spacing w:val="-8"/>
        </w:rPr>
        <w:t> </w:t>
      </w:r>
      <w:r>
        <w:rPr/>
        <w:t>can</w:t>
      </w:r>
      <w:r>
        <w:rPr>
          <w:spacing w:val="-8"/>
        </w:rPr>
        <w:t> </w:t>
      </w:r>
      <w:r>
        <w:rPr/>
        <w:t>they</w:t>
      </w:r>
      <w:r>
        <w:rPr>
          <w:spacing w:val="-9"/>
        </w:rPr>
        <w:t> </w:t>
      </w:r>
      <w:r>
        <w:rPr/>
        <w:t>be</w:t>
      </w:r>
      <w:r>
        <w:rPr>
          <w:spacing w:val="-8"/>
        </w:rPr>
        <w:t> </w:t>
      </w:r>
      <w:r>
        <w:rPr/>
        <w:t>relied</w:t>
      </w:r>
      <w:r>
        <w:rPr>
          <w:spacing w:val="-9"/>
        </w:rPr>
        <w:t> </w:t>
      </w:r>
      <w:r>
        <w:rPr/>
        <w:t>upon</w:t>
      </w:r>
      <w:r>
        <w:rPr>
          <w:spacing w:val="-8"/>
        </w:rPr>
        <w:t> </w:t>
      </w:r>
      <w:r>
        <w:rPr/>
        <w:t>for</w:t>
      </w:r>
      <w:r>
        <w:rPr>
          <w:spacing w:val="-8"/>
        </w:rPr>
        <w:t> </w:t>
      </w:r>
      <w:r>
        <w:rPr/>
        <w:t>engineering</w:t>
      </w:r>
      <w:r>
        <w:rPr>
          <w:spacing w:val="-9"/>
        </w:rPr>
        <w:t> </w:t>
      </w:r>
      <w:r>
        <w:rPr/>
        <w:t>design</w:t>
      </w:r>
      <w:r>
        <w:rPr>
          <w:spacing w:val="-8"/>
        </w:rPr>
        <w:t> </w:t>
      </w:r>
      <w:r>
        <w:rPr>
          <w:spacing w:val="-4"/>
        </w:rPr>
        <w:t>and </w:t>
      </w:r>
      <w:r>
        <w:rPr/>
        <w:t>analysis.</w:t>
      </w:r>
      <w:r>
        <w:rPr>
          <w:spacing w:val="-14"/>
        </w:rPr>
        <w:t> </w:t>
      </w:r>
      <w:r>
        <w:rPr/>
        <w:t>Methods</w:t>
      </w:r>
      <w:r>
        <w:rPr>
          <w:spacing w:val="-14"/>
        </w:rPr>
        <w:t> </w:t>
      </w:r>
      <w:r>
        <w:rPr/>
        <w:t>for</w:t>
      </w:r>
      <w:r>
        <w:rPr>
          <w:spacing w:val="-14"/>
        </w:rPr>
        <w:t> </w:t>
      </w:r>
      <w:r>
        <w:rPr/>
        <w:t>calibrating</w:t>
      </w:r>
      <w:r>
        <w:rPr>
          <w:spacing w:val="-14"/>
        </w:rPr>
        <w:t> </w:t>
      </w:r>
      <w:r>
        <w:rPr/>
        <w:t>models</w:t>
      </w:r>
      <w:r>
        <w:rPr>
          <w:spacing w:val="-14"/>
        </w:rPr>
        <w:t> </w:t>
      </w:r>
      <w:r>
        <w:rPr/>
        <w:t>to</w:t>
      </w:r>
      <w:r>
        <w:rPr>
          <w:spacing w:val="-13"/>
        </w:rPr>
        <w:t> </w:t>
      </w:r>
      <w:r>
        <w:rPr/>
        <w:t>complex</w:t>
      </w:r>
      <w:r>
        <w:rPr>
          <w:spacing w:val="-14"/>
        </w:rPr>
        <w:t> </w:t>
      </w:r>
      <w:r>
        <w:rPr/>
        <w:t>engineered subsurface systems are available, but validating them requires field testing that is time consuming and</w:t>
      </w:r>
      <w:r>
        <w:rPr>
          <w:spacing w:val="-5"/>
        </w:rPr>
        <w:t> </w:t>
      </w:r>
      <w:r>
        <w:rPr/>
        <w:t>expensive.</w:t>
      </w:r>
    </w:p>
    <w:p>
      <w:pPr>
        <w:pStyle w:val="BodyText"/>
        <w:spacing w:line="249" w:lineRule="auto" w:before="5"/>
        <w:ind w:left="553" w:right="10" w:firstLine="283"/>
        <w:jc w:val="both"/>
      </w:pPr>
      <w:r>
        <w:rPr/>
        <w:t>The principal difficulty is that the complex geological models on which the simulation models are based are subject to considerable uncertainties, resulting both from uncertainties in data interpretation and, in some cases, sparse data sets. Measurements taken at wells provide information on  rock  and fluid properties at that location, but statistical techniques must</w:t>
      </w:r>
      <w:r>
        <w:rPr>
          <w:spacing w:val="-4"/>
        </w:rPr>
        <w:t> </w:t>
      </w:r>
      <w:r>
        <w:rPr/>
        <w:t>be</w:t>
      </w:r>
      <w:r>
        <w:rPr>
          <w:spacing w:val="-3"/>
        </w:rPr>
        <w:t> </w:t>
      </w:r>
      <w:r>
        <w:rPr/>
        <w:t>used</w:t>
      </w:r>
      <w:r>
        <w:rPr>
          <w:spacing w:val="-4"/>
        </w:rPr>
        <w:t> </w:t>
      </w:r>
      <w:r>
        <w:rPr/>
        <w:t>to</w:t>
      </w:r>
      <w:r>
        <w:rPr>
          <w:spacing w:val="-3"/>
        </w:rPr>
        <w:t> </w:t>
      </w:r>
      <w:r>
        <w:rPr/>
        <w:t>estimate</w:t>
      </w:r>
      <w:r>
        <w:rPr>
          <w:spacing w:val="-4"/>
        </w:rPr>
        <w:t> </w:t>
      </w:r>
      <w:r>
        <w:rPr/>
        <w:t>properties</w:t>
      </w:r>
      <w:r>
        <w:rPr>
          <w:spacing w:val="-3"/>
        </w:rPr>
        <w:t> </w:t>
      </w:r>
      <w:r>
        <w:rPr/>
        <w:t>away</w:t>
      </w:r>
      <w:r>
        <w:rPr>
          <w:spacing w:val="-4"/>
        </w:rPr>
        <w:t> </w:t>
      </w:r>
      <w:r>
        <w:rPr/>
        <w:t>from</w:t>
      </w:r>
      <w:r>
        <w:rPr>
          <w:spacing w:val="-3"/>
        </w:rPr>
        <w:t> </w:t>
      </w:r>
      <w:r>
        <w:rPr/>
        <w:t>the</w:t>
      </w:r>
      <w:r>
        <w:rPr>
          <w:spacing w:val="-4"/>
        </w:rPr>
        <w:t> </w:t>
      </w:r>
      <w:r>
        <w:rPr/>
        <w:t>wells.</w:t>
      </w:r>
      <w:r>
        <w:rPr>
          <w:spacing w:val="-7"/>
        </w:rPr>
        <w:t> </w:t>
      </w:r>
      <w:r>
        <w:rPr/>
        <w:t>When simulating a field in which injection or production is already occurring, a standard approach in the oil and gas industry is   to adjust some parameters of the geological model to match selected</w:t>
      </w:r>
      <w:r>
        <w:rPr>
          <w:spacing w:val="-16"/>
        </w:rPr>
        <w:t> </w:t>
      </w:r>
      <w:r>
        <w:rPr/>
        <w:t>field</w:t>
      </w:r>
      <w:r>
        <w:rPr>
          <w:spacing w:val="-15"/>
        </w:rPr>
        <w:t> </w:t>
      </w:r>
      <w:r>
        <w:rPr/>
        <w:t>observations.</w:t>
      </w:r>
      <w:r>
        <w:rPr>
          <w:spacing w:val="-18"/>
        </w:rPr>
        <w:t> </w:t>
      </w:r>
      <w:r>
        <w:rPr/>
        <w:t>This</w:t>
      </w:r>
      <w:r>
        <w:rPr>
          <w:spacing w:val="-15"/>
        </w:rPr>
        <w:t> </w:t>
      </w:r>
      <w:r>
        <w:rPr/>
        <w:t>does</w:t>
      </w:r>
      <w:r>
        <w:rPr>
          <w:spacing w:val="-15"/>
        </w:rPr>
        <w:t> </w:t>
      </w:r>
      <w:r>
        <w:rPr/>
        <w:t>not</w:t>
      </w:r>
      <w:r>
        <w:rPr>
          <w:spacing w:val="-15"/>
        </w:rPr>
        <w:t> </w:t>
      </w:r>
      <w:r>
        <w:rPr/>
        <w:t>prove</w:t>
      </w:r>
      <w:r>
        <w:rPr>
          <w:spacing w:val="-15"/>
        </w:rPr>
        <w:t> </w:t>
      </w:r>
      <w:r>
        <w:rPr/>
        <w:t>that</w:t>
      </w:r>
      <w:r>
        <w:rPr>
          <w:spacing w:val="-15"/>
        </w:rPr>
        <w:t> </w:t>
      </w:r>
      <w:r>
        <w:rPr/>
        <w:t>the</w:t>
      </w:r>
      <w:r>
        <w:rPr>
          <w:spacing w:val="-15"/>
        </w:rPr>
        <w:t> </w:t>
      </w:r>
      <w:r>
        <w:rPr/>
        <w:t>model</w:t>
      </w:r>
      <w:r>
        <w:rPr>
          <w:spacing w:val="-15"/>
        </w:rPr>
        <w:t> </w:t>
      </w:r>
      <w:r>
        <w:rPr/>
        <w:t>is correct, but it does provide additional constraints on the model parameters. In the case of saline formation storage, history matching</w:t>
      </w:r>
      <w:r>
        <w:rPr>
          <w:spacing w:val="-15"/>
        </w:rPr>
        <w:t> </w:t>
      </w:r>
      <w:r>
        <w:rPr/>
        <w:t>is</w:t>
      </w:r>
      <w:r>
        <w:rPr>
          <w:spacing w:val="-15"/>
        </w:rPr>
        <w:t> </w:t>
      </w:r>
      <w:r>
        <w:rPr/>
        <w:t>generally</w:t>
      </w:r>
      <w:r>
        <w:rPr>
          <w:spacing w:val="-15"/>
        </w:rPr>
        <w:t> </w:t>
      </w:r>
      <w:r>
        <w:rPr/>
        <w:t>not</w:t>
      </w:r>
      <w:r>
        <w:rPr>
          <w:spacing w:val="-15"/>
        </w:rPr>
        <w:t> </w:t>
      </w:r>
      <w:r>
        <w:rPr/>
        <w:t>feasible</w:t>
      </w:r>
      <w:r>
        <w:rPr>
          <w:spacing w:val="-15"/>
        </w:rPr>
        <w:t> </w:t>
      </w:r>
      <w:r>
        <w:rPr/>
        <w:t>for</w:t>
      </w:r>
      <w:r>
        <w:rPr>
          <w:spacing w:val="-15"/>
        </w:rPr>
        <w:t> </w:t>
      </w:r>
      <w:r>
        <w:rPr/>
        <w:t>constraining</w:t>
      </w:r>
      <w:r>
        <w:rPr>
          <w:spacing w:val="-15"/>
        </w:rPr>
        <w:t> </w:t>
      </w:r>
      <w:r>
        <w:rPr/>
        <w:t>uncertainties, due to a lack of underground data for comparison. Systematic parameter variation routines and statistical functions should  be included in future coupled simulators to allow uncertainty estimates for numerical reservoir simulation</w:t>
      </w:r>
      <w:r>
        <w:rPr>
          <w:spacing w:val="-3"/>
        </w:rPr>
        <w:t> </w:t>
      </w:r>
      <w:r>
        <w:rPr/>
        <w:t>results.</w:t>
      </w:r>
    </w:p>
    <w:p>
      <w:pPr>
        <w:pStyle w:val="BodyText"/>
        <w:spacing w:line="240" w:lineRule="exact" w:before="10"/>
        <w:ind w:left="553" w:right="11" w:firstLine="283"/>
        <w:jc w:val="both"/>
      </w:pPr>
      <w:r>
        <w:rPr/>
        <w:t>Field tests of CO</w:t>
      </w:r>
      <w:r>
        <w:rPr>
          <w:position w:val="-6"/>
          <w:sz w:val="11"/>
        </w:rPr>
        <w:t>2 </w:t>
      </w:r>
      <w:r>
        <w:rPr/>
        <w:t>injection are under way or planned in several</w:t>
      </w:r>
      <w:r>
        <w:rPr>
          <w:spacing w:val="-23"/>
        </w:rPr>
        <w:t> </w:t>
      </w:r>
      <w:r>
        <w:rPr/>
        <w:t>countries</w:t>
      </w:r>
      <w:r>
        <w:rPr>
          <w:spacing w:val="-22"/>
        </w:rPr>
        <w:t> </w:t>
      </w:r>
      <w:r>
        <w:rPr/>
        <w:t>and</w:t>
      </w:r>
      <w:r>
        <w:rPr>
          <w:spacing w:val="-22"/>
        </w:rPr>
        <w:t> </w:t>
      </w:r>
      <w:r>
        <w:rPr/>
        <w:t>these</w:t>
      </w:r>
      <w:r>
        <w:rPr>
          <w:spacing w:val="-21"/>
        </w:rPr>
        <w:t> </w:t>
      </w:r>
      <w:r>
        <w:rPr/>
        <w:t>tests</w:t>
      </w:r>
      <w:r>
        <w:rPr>
          <w:spacing w:val="-22"/>
        </w:rPr>
        <w:t> </w:t>
      </w:r>
      <w:r>
        <w:rPr/>
        <w:t>provide</w:t>
      </w:r>
      <w:r>
        <w:rPr>
          <w:spacing w:val="-22"/>
        </w:rPr>
        <w:t> </w:t>
      </w:r>
      <w:r>
        <w:rPr/>
        <w:t>opportunities</w:t>
      </w:r>
      <w:r>
        <w:rPr>
          <w:spacing w:val="-21"/>
        </w:rPr>
        <w:t> </w:t>
      </w:r>
      <w:r>
        <w:rPr/>
        <w:t>to</w:t>
      </w:r>
      <w:r>
        <w:rPr>
          <w:spacing w:val="-22"/>
        </w:rPr>
        <w:t> </w:t>
      </w:r>
      <w:r>
        <w:rPr/>
        <w:t>validate simulation models. For example, in </w:t>
      </w:r>
      <w:r>
        <w:rPr>
          <w:spacing w:val="-3"/>
        </w:rPr>
        <w:t>Statoil’s </w:t>
      </w:r>
      <w:r>
        <w:rPr/>
        <w:t>Sleipner project, simulation results have been matched to information on the distribution</w:t>
      </w:r>
      <w:r>
        <w:rPr>
          <w:spacing w:val="-14"/>
        </w:rPr>
        <w:t> </w:t>
      </w:r>
      <w:r>
        <w:rPr/>
        <w:t>of</w:t>
      </w:r>
      <w:r>
        <w:rPr>
          <w:spacing w:val="-14"/>
        </w:rPr>
        <w:t> </w:t>
      </w:r>
      <w:r>
        <w:rPr/>
        <w:t>CO</w:t>
      </w:r>
      <w:r>
        <w:rPr>
          <w:position w:val="-6"/>
          <w:sz w:val="11"/>
        </w:rPr>
        <w:t>2</w:t>
      </w:r>
      <w:r>
        <w:rPr>
          <w:spacing w:val="8"/>
          <w:position w:val="-6"/>
          <w:sz w:val="11"/>
        </w:rPr>
        <w:t> </w:t>
      </w:r>
      <w:r>
        <w:rPr/>
        <w:t>in</w:t>
      </w:r>
      <w:r>
        <w:rPr>
          <w:spacing w:val="-13"/>
        </w:rPr>
        <w:t> </w:t>
      </w:r>
      <w:r>
        <w:rPr/>
        <w:t>the</w:t>
      </w:r>
      <w:r>
        <w:rPr>
          <w:spacing w:val="-14"/>
        </w:rPr>
        <w:t> </w:t>
      </w:r>
      <w:r>
        <w:rPr/>
        <w:t>subsurface,</w:t>
      </w:r>
      <w:r>
        <w:rPr>
          <w:spacing w:val="-14"/>
        </w:rPr>
        <w:t> </w:t>
      </w:r>
      <w:r>
        <w:rPr/>
        <w:t>based</w:t>
      </w:r>
      <w:r>
        <w:rPr>
          <w:spacing w:val="-13"/>
        </w:rPr>
        <w:t> </w:t>
      </w:r>
      <w:r>
        <w:rPr/>
        <w:t>on</w:t>
      </w:r>
      <w:r>
        <w:rPr>
          <w:spacing w:val="-14"/>
        </w:rPr>
        <w:t> </w:t>
      </w:r>
      <w:r>
        <w:rPr/>
        <w:t>the</w:t>
      </w:r>
      <w:r>
        <w:rPr>
          <w:spacing w:val="-14"/>
        </w:rPr>
        <w:t> </w:t>
      </w:r>
      <w:r>
        <w:rPr/>
        <w:t>interpretation of repeat three-dimensional seismic surveys (Lindeberg </w:t>
      </w:r>
      <w:r>
        <w:rPr>
          <w:i/>
        </w:rPr>
        <w:t>et al.</w:t>
      </w:r>
      <w:r>
        <w:rPr/>
        <w:t>, 2001; van der Meer </w:t>
      </w:r>
      <w:r>
        <w:rPr>
          <w:i/>
        </w:rPr>
        <w:t>et al.</w:t>
      </w:r>
      <w:r>
        <w:rPr/>
        <w:t>, 2001; see also Section 5.4.3. At the </w:t>
      </w:r>
      <w:r>
        <w:rPr>
          <w:spacing w:val="-3"/>
        </w:rPr>
        <w:t>Weyburn </w:t>
      </w:r>
      <w:r>
        <w:rPr/>
        <w:t>project in Canada, repeat seismic surveys and water chemistry sampling provide information on CO</w:t>
      </w:r>
      <w:r>
        <w:rPr>
          <w:position w:val="-6"/>
          <w:sz w:val="11"/>
        </w:rPr>
        <w:t>2 </w:t>
      </w:r>
      <w:r>
        <w:rPr/>
        <w:t>distribution that can likewise be used to adjust the simulation models (Moberg </w:t>
      </w:r>
      <w:r>
        <w:rPr>
          <w:i/>
        </w:rPr>
        <w:t>et al.</w:t>
      </w:r>
      <w:r>
        <w:rPr/>
        <w:t>, 2003; White </w:t>
      </w:r>
      <w:r>
        <w:rPr>
          <w:i/>
        </w:rPr>
        <w:t>et al.</w:t>
      </w:r>
      <w:r>
        <w:rPr/>
        <w:t>,</w:t>
      </w:r>
      <w:r>
        <w:rPr>
          <w:spacing w:val="-6"/>
        </w:rPr>
        <w:t> </w:t>
      </w:r>
      <w:r>
        <w:rPr/>
        <w:t>2004).</w:t>
      </w:r>
    </w:p>
    <w:p>
      <w:pPr>
        <w:pStyle w:val="BodyText"/>
        <w:spacing w:line="206" w:lineRule="auto" w:before="24"/>
        <w:ind w:left="553" w:right="11" w:firstLine="283"/>
        <w:jc w:val="both"/>
      </w:pPr>
      <w:r>
        <w:rPr/>
        <w:t>Predictions of the long-term distribution of injected CO</w:t>
      </w:r>
      <w:r>
        <w:rPr>
          <w:position w:val="-6"/>
          <w:sz w:val="11"/>
        </w:rPr>
        <w:t>2</w:t>
      </w:r>
      <w:r>
        <w:rPr/>
        <w:t>, including the effects of geochemical reactions, cannot be</w:t>
      </w:r>
    </w:p>
    <w:p>
      <w:pPr>
        <w:pStyle w:val="BodyText"/>
        <w:spacing w:line="240" w:lineRule="exact" w:before="58"/>
        <w:ind w:left="229" w:right="133"/>
        <w:jc w:val="both"/>
      </w:pPr>
      <w:r>
        <w:rPr/>
        <w:br w:type="column"/>
      </w:r>
      <w:r>
        <w:rPr/>
        <w:t>directly validated on a field scale because these reactions may take hundreds to thousands of years. However, the simulation of important mechanisms,  such  as  the  convective  mixing  of dissolved CO</w:t>
      </w:r>
      <w:r>
        <w:rPr>
          <w:position w:val="-6"/>
          <w:sz w:val="11"/>
        </w:rPr>
        <w:t>2</w:t>
      </w:r>
      <w:r>
        <w:rPr/>
        <w:t>, can be tested by comparison to laboratory analogues (Ennis-King and Paterson, 2003). Another possible route is to match simulations to the  geochemical  changes  that have occurred in appropriate natural </w:t>
      </w:r>
      <w:r>
        <w:rPr>
          <w:spacing w:val="-3"/>
        </w:rPr>
        <w:t>underground </w:t>
      </w:r>
      <w:r>
        <w:rPr/>
        <w:t>accumulations of CO</w:t>
      </w:r>
      <w:r>
        <w:rPr>
          <w:position w:val="-6"/>
          <w:sz w:val="11"/>
        </w:rPr>
        <w:t>2</w:t>
      </w:r>
      <w:r>
        <w:rPr/>
        <w:t>, such as the precipitation of carbonate minerals, since these provide evidence for the slow processes that affect the long-term distribution of CO</w:t>
      </w:r>
      <w:r>
        <w:rPr>
          <w:position w:val="-6"/>
          <w:sz w:val="11"/>
        </w:rPr>
        <w:t>2 </w:t>
      </w:r>
      <w:r>
        <w:rPr/>
        <w:t>(Johnson </w:t>
      </w:r>
      <w:r>
        <w:rPr>
          <w:i/>
        </w:rPr>
        <w:t>et </w:t>
      </w:r>
      <w:r>
        <w:rPr>
          <w:i/>
          <w:spacing w:val="-4"/>
        </w:rPr>
        <w:t>al.</w:t>
      </w:r>
      <w:r>
        <w:rPr>
          <w:spacing w:val="-4"/>
        </w:rPr>
        <w:t>, </w:t>
      </w:r>
      <w:r>
        <w:rPr/>
        <w:t>2005). It is also important to have reliable and accurate </w:t>
      </w:r>
      <w:r>
        <w:rPr>
          <w:spacing w:val="-4"/>
        </w:rPr>
        <w:t>data </w:t>
      </w:r>
      <w:r>
        <w:rPr/>
        <w:t>regarding the thermophysical properties of CO</w:t>
      </w:r>
      <w:r>
        <w:rPr>
          <w:position w:val="-6"/>
          <w:sz w:val="11"/>
        </w:rPr>
        <w:t>2 </w:t>
      </w:r>
      <w:r>
        <w:rPr/>
        <w:t>and mixtures of CO</w:t>
      </w:r>
      <w:r>
        <w:rPr>
          <w:position w:val="-6"/>
          <w:sz w:val="11"/>
        </w:rPr>
        <w:t>2 </w:t>
      </w:r>
      <w:r>
        <w:rPr/>
        <w:t>with methane, water and potential contaminants such  as H</w:t>
      </w:r>
      <w:r>
        <w:rPr>
          <w:position w:val="-6"/>
          <w:sz w:val="11"/>
        </w:rPr>
        <w:t>2</w:t>
      </w:r>
      <w:r>
        <w:rPr/>
        <w:t>S and SO</w:t>
      </w:r>
      <w:r>
        <w:rPr>
          <w:position w:val="-6"/>
          <w:sz w:val="11"/>
        </w:rPr>
        <w:t>2</w:t>
      </w:r>
      <w:r>
        <w:rPr/>
        <w:t>. </w:t>
      </w:r>
      <w:r>
        <w:rPr>
          <w:spacing w:val="-3"/>
        </w:rPr>
        <w:t>Similarly, </w:t>
      </w:r>
      <w:r>
        <w:rPr/>
        <w:t>it is important to have data on relative permeability and capillary pressure under drainage and imbibition conditions. Code comparison studies show that the largest discrepancies between different simulators can be traced</w:t>
      </w:r>
      <w:r>
        <w:rPr>
          <w:spacing w:val="-5"/>
        </w:rPr>
        <w:t> </w:t>
      </w:r>
      <w:r>
        <w:rPr/>
        <w:t>to</w:t>
      </w:r>
      <w:r>
        <w:rPr>
          <w:spacing w:val="-4"/>
        </w:rPr>
        <w:t> </w:t>
      </w:r>
      <w:r>
        <w:rPr/>
        <w:t>uncertainties</w:t>
      </w:r>
      <w:r>
        <w:rPr>
          <w:spacing w:val="-4"/>
        </w:rPr>
        <w:t> </w:t>
      </w:r>
      <w:r>
        <w:rPr/>
        <w:t>in</w:t>
      </w:r>
      <w:r>
        <w:rPr>
          <w:spacing w:val="-4"/>
        </w:rPr>
        <w:t> </w:t>
      </w:r>
      <w:r>
        <w:rPr/>
        <w:t>these</w:t>
      </w:r>
      <w:r>
        <w:rPr>
          <w:spacing w:val="-4"/>
        </w:rPr>
        <w:t> </w:t>
      </w:r>
      <w:r>
        <w:rPr/>
        <w:t>parameters</w:t>
      </w:r>
      <w:r>
        <w:rPr>
          <w:spacing w:val="-4"/>
        </w:rPr>
        <w:t> </w:t>
      </w:r>
      <w:r>
        <w:rPr/>
        <w:t>(Pruess</w:t>
      </w:r>
      <w:r>
        <w:rPr>
          <w:spacing w:val="-5"/>
        </w:rPr>
        <w:t> </w:t>
      </w:r>
      <w:r>
        <w:rPr>
          <w:i/>
        </w:rPr>
        <w:t>et</w:t>
      </w:r>
      <w:r>
        <w:rPr>
          <w:i/>
          <w:spacing w:val="-4"/>
        </w:rPr>
        <w:t> </w:t>
      </w:r>
      <w:r>
        <w:rPr>
          <w:i/>
        </w:rPr>
        <w:t>al.</w:t>
      </w:r>
      <w:r>
        <w:rPr/>
        <w:t>,</w:t>
      </w:r>
      <w:r>
        <w:rPr>
          <w:spacing w:val="-4"/>
        </w:rPr>
        <w:t> </w:t>
      </w:r>
      <w:r>
        <w:rPr/>
        <w:t>2004). For sites where </w:t>
      </w:r>
      <w:r>
        <w:rPr>
          <w:spacing w:val="-4"/>
        </w:rPr>
        <w:t>few, </w:t>
      </w:r>
      <w:r>
        <w:rPr/>
        <w:t>if </w:t>
      </w:r>
      <w:r>
        <w:rPr>
          <w:spacing w:val="-4"/>
        </w:rPr>
        <w:t>any, </w:t>
      </w:r>
      <w:r>
        <w:rPr/>
        <w:t>CO</w:t>
      </w:r>
      <w:r>
        <w:rPr>
          <w:position w:val="-6"/>
          <w:sz w:val="11"/>
        </w:rPr>
        <w:t>2</w:t>
      </w:r>
      <w:r>
        <w:rPr/>
        <w:t>-water-rock interactions occur, reactive chemical transport modelling may not be needed </w:t>
      </w:r>
      <w:r>
        <w:rPr>
          <w:spacing w:val="-5"/>
        </w:rPr>
        <w:t>and </w:t>
      </w:r>
      <w:r>
        <w:rPr/>
        <w:t>simpler</w:t>
      </w:r>
      <w:r>
        <w:rPr>
          <w:spacing w:val="-10"/>
        </w:rPr>
        <w:t> </w:t>
      </w:r>
      <w:r>
        <w:rPr/>
        <w:t>simulations</w:t>
      </w:r>
      <w:r>
        <w:rPr>
          <w:spacing w:val="-9"/>
        </w:rPr>
        <w:t> </w:t>
      </w:r>
      <w:r>
        <w:rPr/>
        <w:t>that</w:t>
      </w:r>
      <w:r>
        <w:rPr>
          <w:spacing w:val="-9"/>
        </w:rPr>
        <w:t> </w:t>
      </w:r>
      <w:r>
        <w:rPr/>
        <w:t>consider</w:t>
      </w:r>
      <w:r>
        <w:rPr>
          <w:spacing w:val="-9"/>
        </w:rPr>
        <w:t> </w:t>
      </w:r>
      <w:r>
        <w:rPr/>
        <w:t>only</w:t>
      </w:r>
      <w:r>
        <w:rPr>
          <w:spacing w:val="-8"/>
        </w:rPr>
        <w:t> </w:t>
      </w:r>
      <w:r>
        <w:rPr/>
        <w:t>CO</w:t>
      </w:r>
      <w:r>
        <w:rPr>
          <w:position w:val="-6"/>
          <w:sz w:val="11"/>
        </w:rPr>
        <w:t>2</w:t>
      </w:r>
      <w:r>
        <w:rPr/>
        <w:t>-water</w:t>
      </w:r>
      <w:r>
        <w:rPr>
          <w:spacing w:val="-8"/>
        </w:rPr>
        <w:t> </w:t>
      </w:r>
      <w:r>
        <w:rPr/>
        <w:t>reactions</w:t>
      </w:r>
      <w:r>
        <w:rPr>
          <w:spacing w:val="-9"/>
        </w:rPr>
        <w:t> </w:t>
      </w:r>
      <w:r>
        <w:rPr/>
        <w:t>will suffice.</w:t>
      </w:r>
    </w:p>
    <w:p>
      <w:pPr>
        <w:pStyle w:val="BodyText"/>
        <w:spacing w:before="3"/>
        <w:rPr>
          <w:sz w:val="21"/>
        </w:rPr>
      </w:pPr>
    </w:p>
    <w:p>
      <w:pPr>
        <w:pStyle w:val="Heading2"/>
        <w:numPr>
          <w:ilvl w:val="2"/>
          <w:numId w:val="7"/>
        </w:numPr>
        <w:tabs>
          <w:tab w:pos="1049" w:val="left" w:leader="none"/>
          <w:tab w:pos="1050" w:val="left" w:leader="none"/>
        </w:tabs>
        <w:spacing w:line="249" w:lineRule="auto" w:before="1" w:after="0"/>
        <w:ind w:left="1049" w:right="596" w:hanging="820"/>
        <w:jc w:val="left"/>
      </w:pPr>
      <w:r>
        <w:rPr>
          <w:i/>
        </w:rPr>
        <w:t>Examples of storage site characterization</w:t>
      </w:r>
      <w:r>
        <w:rPr>
          <w:i/>
          <w:spacing w:val="-11"/>
        </w:rPr>
        <w:t> </w:t>
      </w:r>
      <w:r>
        <w:rPr>
          <w:i/>
        </w:rPr>
        <w:t>and </w:t>
      </w:r>
      <w:r>
        <w:rPr/>
        <w:t>performance prediction</w:t>
      </w:r>
    </w:p>
    <w:p>
      <w:pPr>
        <w:pStyle w:val="BodyText"/>
        <w:spacing w:before="6"/>
        <w:rPr>
          <w:b/>
          <w:i/>
        </w:rPr>
      </w:pPr>
    </w:p>
    <w:p>
      <w:pPr>
        <w:pStyle w:val="BodyText"/>
        <w:spacing w:line="240" w:lineRule="exact"/>
        <w:ind w:left="229" w:right="132"/>
        <w:jc w:val="both"/>
      </w:pPr>
      <w:r>
        <w:rPr/>
        <w:t>Following are examples and lessons learned from two case studies</w:t>
      </w:r>
      <w:r>
        <w:rPr>
          <w:spacing w:val="-14"/>
        </w:rPr>
        <w:t> </w:t>
      </w:r>
      <w:r>
        <w:rPr/>
        <w:t>of</w:t>
      </w:r>
      <w:r>
        <w:rPr>
          <w:spacing w:val="-13"/>
        </w:rPr>
        <w:t> </w:t>
      </w:r>
      <w:r>
        <w:rPr/>
        <w:t>characterization</w:t>
      </w:r>
      <w:r>
        <w:rPr>
          <w:spacing w:val="-14"/>
        </w:rPr>
        <w:t> </w:t>
      </w:r>
      <w:r>
        <w:rPr/>
        <w:t>of</w:t>
      </w:r>
      <w:r>
        <w:rPr>
          <w:spacing w:val="-13"/>
        </w:rPr>
        <w:t> </w:t>
      </w:r>
      <w:r>
        <w:rPr/>
        <w:t>a</w:t>
      </w:r>
      <w:r>
        <w:rPr>
          <w:spacing w:val="-13"/>
        </w:rPr>
        <w:t> </w:t>
      </w:r>
      <w:r>
        <w:rPr/>
        <w:t>CO</w:t>
      </w:r>
      <w:r>
        <w:rPr>
          <w:position w:val="-6"/>
          <w:sz w:val="11"/>
        </w:rPr>
        <w:t>2</w:t>
      </w:r>
      <w:r>
        <w:rPr>
          <w:spacing w:val="8"/>
          <w:position w:val="-6"/>
          <w:sz w:val="11"/>
        </w:rPr>
        <w:t> </w:t>
      </w:r>
      <w:r>
        <w:rPr/>
        <w:t>storage</w:t>
      </w:r>
      <w:r>
        <w:rPr>
          <w:spacing w:val="-14"/>
        </w:rPr>
        <w:t> </w:t>
      </w:r>
      <w:r>
        <w:rPr/>
        <w:t>site:</w:t>
      </w:r>
      <w:r>
        <w:rPr>
          <w:spacing w:val="-14"/>
        </w:rPr>
        <w:t> </w:t>
      </w:r>
      <w:r>
        <w:rPr/>
        <w:t>one</w:t>
      </w:r>
      <w:r>
        <w:rPr>
          <w:spacing w:val="-13"/>
        </w:rPr>
        <w:t> </w:t>
      </w:r>
      <w:r>
        <w:rPr/>
        <w:t>of</w:t>
      </w:r>
      <w:r>
        <w:rPr>
          <w:spacing w:val="-13"/>
        </w:rPr>
        <w:t> </w:t>
      </w:r>
      <w:r>
        <w:rPr/>
        <w:t>an</w:t>
      </w:r>
      <w:r>
        <w:rPr>
          <w:spacing w:val="-13"/>
        </w:rPr>
        <w:t> </w:t>
      </w:r>
      <w:r>
        <w:rPr/>
        <w:t>actual operating</w:t>
      </w:r>
      <w:r>
        <w:rPr>
          <w:spacing w:val="-11"/>
        </w:rPr>
        <w:t> </w:t>
      </w:r>
      <w:r>
        <w:rPr/>
        <w:t>CO</w:t>
      </w:r>
      <w:r>
        <w:rPr>
          <w:position w:val="-6"/>
          <w:sz w:val="11"/>
        </w:rPr>
        <w:t>2</w:t>
      </w:r>
      <w:r>
        <w:rPr>
          <w:spacing w:val="11"/>
          <w:position w:val="-6"/>
          <w:sz w:val="11"/>
        </w:rPr>
        <w:t> </w:t>
      </w:r>
      <w:r>
        <w:rPr/>
        <w:t>storage</w:t>
      </w:r>
      <w:r>
        <w:rPr>
          <w:spacing w:val="-10"/>
        </w:rPr>
        <w:t> </w:t>
      </w:r>
      <w:r>
        <w:rPr/>
        <w:t>site</w:t>
      </w:r>
      <w:r>
        <w:rPr>
          <w:spacing w:val="-11"/>
        </w:rPr>
        <w:t> </w:t>
      </w:r>
      <w:r>
        <w:rPr/>
        <w:t>(Sleipner</w:t>
      </w:r>
      <w:r>
        <w:rPr>
          <w:spacing w:val="-11"/>
        </w:rPr>
        <w:t> </w:t>
      </w:r>
      <w:r>
        <w:rPr/>
        <w:t>Gas</w:t>
      </w:r>
      <w:r>
        <w:rPr>
          <w:spacing w:val="-11"/>
        </w:rPr>
        <w:t> </w:t>
      </w:r>
      <w:r>
        <w:rPr/>
        <w:t>Field</w:t>
      </w:r>
      <w:r>
        <w:rPr>
          <w:spacing w:val="-11"/>
        </w:rPr>
        <w:t> </w:t>
      </w:r>
      <w:r>
        <w:rPr/>
        <w:t>in</w:t>
      </w:r>
      <w:r>
        <w:rPr>
          <w:spacing w:val="-10"/>
        </w:rPr>
        <w:t> </w:t>
      </w:r>
      <w:r>
        <w:rPr/>
        <w:t>the</w:t>
      </w:r>
      <w:r>
        <w:rPr>
          <w:spacing w:val="-11"/>
        </w:rPr>
        <w:t> </w:t>
      </w:r>
      <w:r>
        <w:rPr/>
        <w:t>North</w:t>
      </w:r>
      <w:r>
        <w:rPr>
          <w:spacing w:val="-11"/>
        </w:rPr>
        <w:t> </w:t>
      </w:r>
      <w:r>
        <w:rPr/>
        <w:t>Sea) and the other of a potential or theoretical site (Petrel Sub-basin offshore northwest Australia). A common theme throughout these studies is the integration and multidisciplinary approach required to adequately document and monitor any injection site.</w:t>
      </w:r>
      <w:r>
        <w:rPr>
          <w:spacing w:val="-9"/>
        </w:rPr>
        <w:t> </w:t>
      </w:r>
      <w:r>
        <w:rPr/>
        <w:t>There</w:t>
      </w:r>
      <w:r>
        <w:rPr>
          <w:spacing w:val="-7"/>
        </w:rPr>
        <w:t> </w:t>
      </w:r>
      <w:r>
        <w:rPr/>
        <w:t>are</w:t>
      </w:r>
      <w:r>
        <w:rPr>
          <w:spacing w:val="-6"/>
        </w:rPr>
        <w:t> </w:t>
      </w:r>
      <w:r>
        <w:rPr/>
        <w:t>lessons</w:t>
      </w:r>
      <w:r>
        <w:rPr>
          <w:spacing w:val="-5"/>
        </w:rPr>
        <w:t> </w:t>
      </w:r>
      <w:r>
        <w:rPr/>
        <w:t>to</w:t>
      </w:r>
      <w:r>
        <w:rPr>
          <w:spacing w:val="-6"/>
        </w:rPr>
        <w:t> </w:t>
      </w:r>
      <w:r>
        <w:rPr/>
        <w:t>be</w:t>
      </w:r>
      <w:r>
        <w:rPr>
          <w:spacing w:val="-6"/>
        </w:rPr>
        <w:t> </w:t>
      </w:r>
      <w:r>
        <w:rPr/>
        <w:t>learned</w:t>
      </w:r>
      <w:r>
        <w:rPr>
          <w:spacing w:val="-6"/>
        </w:rPr>
        <w:t> </w:t>
      </w:r>
      <w:r>
        <w:rPr/>
        <w:t>from</w:t>
      </w:r>
      <w:r>
        <w:rPr>
          <w:spacing w:val="-6"/>
        </w:rPr>
        <w:t> </w:t>
      </w:r>
      <w:r>
        <w:rPr/>
        <w:t>these</w:t>
      </w:r>
      <w:r>
        <w:rPr>
          <w:spacing w:val="-6"/>
        </w:rPr>
        <w:t> </w:t>
      </w:r>
      <w:r>
        <w:rPr/>
        <w:t>studies,</w:t>
      </w:r>
      <w:r>
        <w:rPr>
          <w:spacing w:val="-6"/>
        </w:rPr>
        <w:t> </w:t>
      </w:r>
      <w:r>
        <w:rPr/>
        <w:t>because they</w:t>
      </w:r>
      <w:r>
        <w:rPr>
          <w:spacing w:val="-9"/>
        </w:rPr>
        <w:t> </w:t>
      </w:r>
      <w:r>
        <w:rPr/>
        <w:t>have</w:t>
      </w:r>
      <w:r>
        <w:rPr>
          <w:spacing w:val="-9"/>
        </w:rPr>
        <w:t> </w:t>
      </w:r>
      <w:r>
        <w:rPr/>
        <w:t>identified</w:t>
      </w:r>
      <w:r>
        <w:rPr>
          <w:spacing w:val="-9"/>
        </w:rPr>
        <w:t> </w:t>
      </w:r>
      <w:r>
        <w:rPr/>
        <w:t>issues</w:t>
      </w:r>
      <w:r>
        <w:rPr>
          <w:spacing w:val="-8"/>
        </w:rPr>
        <w:t> </w:t>
      </w:r>
      <w:r>
        <w:rPr/>
        <w:t>that</w:t>
      </w:r>
      <w:r>
        <w:rPr>
          <w:spacing w:val="-9"/>
        </w:rPr>
        <w:t> </w:t>
      </w:r>
      <w:r>
        <w:rPr/>
        <w:t>in</w:t>
      </w:r>
      <w:r>
        <w:rPr>
          <w:spacing w:val="-9"/>
        </w:rPr>
        <w:t> </w:t>
      </w:r>
      <w:r>
        <w:rPr/>
        <w:t>hindsight</w:t>
      </w:r>
      <w:r>
        <w:rPr>
          <w:spacing w:val="-9"/>
        </w:rPr>
        <w:t> </w:t>
      </w:r>
      <w:r>
        <w:rPr/>
        <w:t>should</w:t>
      </w:r>
      <w:r>
        <w:rPr>
          <w:spacing w:val="-9"/>
        </w:rPr>
        <w:t> </w:t>
      </w:r>
      <w:r>
        <w:rPr/>
        <w:t>be</w:t>
      </w:r>
      <w:r>
        <w:rPr>
          <w:spacing w:val="-9"/>
        </w:rPr>
        <w:t> </w:t>
      </w:r>
      <w:r>
        <w:rPr/>
        <w:t>examined prior to any CO</w:t>
      </w:r>
      <w:r>
        <w:rPr>
          <w:position w:val="-6"/>
          <w:sz w:val="11"/>
        </w:rPr>
        <w:t>2</w:t>
      </w:r>
      <w:r>
        <w:rPr>
          <w:spacing w:val="22"/>
          <w:position w:val="-6"/>
          <w:sz w:val="11"/>
        </w:rPr>
        <w:t> </w:t>
      </w:r>
      <w:r>
        <w:rPr/>
        <w:t>injection.</w:t>
      </w:r>
    </w:p>
    <w:p>
      <w:pPr>
        <w:pStyle w:val="BodyText"/>
        <w:spacing w:before="4"/>
        <w:rPr>
          <w:sz w:val="21"/>
        </w:rPr>
      </w:pPr>
    </w:p>
    <w:p>
      <w:pPr>
        <w:pStyle w:val="ListParagraph"/>
        <w:numPr>
          <w:ilvl w:val="3"/>
          <w:numId w:val="7"/>
        </w:numPr>
        <w:tabs>
          <w:tab w:pos="1050" w:val="left" w:leader="none"/>
        </w:tabs>
        <w:spacing w:line="240" w:lineRule="auto" w:before="0" w:after="0"/>
        <w:ind w:left="1049" w:right="0" w:hanging="821"/>
        <w:jc w:val="both"/>
        <w:rPr>
          <w:i/>
          <w:sz w:val="20"/>
        </w:rPr>
      </w:pPr>
      <w:r>
        <w:rPr>
          <w:i/>
          <w:sz w:val="20"/>
        </w:rPr>
        <w:t>Sleipner</w:t>
      </w:r>
    </w:p>
    <w:p>
      <w:pPr>
        <w:pStyle w:val="BodyText"/>
        <w:spacing w:line="240" w:lineRule="exact" w:before="5"/>
        <w:ind w:left="229" w:right="133"/>
        <w:jc w:val="both"/>
      </w:pPr>
      <w:r>
        <w:rPr/>
        <w:t>Studies of the Sleipner CO</w:t>
      </w:r>
      <w:r>
        <w:rPr>
          <w:position w:val="-6"/>
          <w:sz w:val="11"/>
        </w:rPr>
        <w:t>2 </w:t>
      </w:r>
      <w:r>
        <w:rPr/>
        <w:t>Injection Project </w:t>
      </w:r>
      <w:hyperlink w:history="true" w:anchor="_bookmark5">
        <w:r>
          <w:rPr/>
          <w:t>(Box 5.1)</w:t>
        </w:r>
      </w:hyperlink>
      <w:r>
        <w:rPr/>
        <w:t> highlighted the advantages of detailed knowledge of </w:t>
      </w:r>
      <w:r>
        <w:rPr>
          <w:spacing w:val="-5"/>
        </w:rPr>
        <w:t>the </w:t>
      </w:r>
      <w:r>
        <w:rPr/>
        <w:t>reservoir stratigraphy (Chadwick </w:t>
      </w:r>
      <w:r>
        <w:rPr>
          <w:i/>
        </w:rPr>
        <w:t>et al.</w:t>
      </w:r>
      <w:r>
        <w:rPr/>
        <w:t>, 2003). After the initial CO</w:t>
      </w:r>
      <w:r>
        <w:rPr>
          <w:position w:val="-6"/>
          <w:sz w:val="11"/>
        </w:rPr>
        <w:t>2</w:t>
      </w:r>
      <w:r>
        <w:rPr>
          <w:spacing w:val="-3"/>
          <w:position w:val="-6"/>
          <w:sz w:val="11"/>
        </w:rPr>
        <w:t> </w:t>
      </w:r>
      <w:r>
        <w:rPr/>
        <w:t>injection,</w:t>
      </w:r>
      <w:r>
        <w:rPr>
          <w:spacing w:val="-25"/>
        </w:rPr>
        <w:t> </w:t>
      </w:r>
      <w:r>
        <w:rPr/>
        <w:t>small</w:t>
      </w:r>
      <w:r>
        <w:rPr>
          <w:spacing w:val="-25"/>
        </w:rPr>
        <w:t> </w:t>
      </w:r>
      <w:r>
        <w:rPr/>
        <w:t>layers</w:t>
      </w:r>
      <w:r>
        <w:rPr>
          <w:spacing w:val="-25"/>
        </w:rPr>
        <w:t> </w:t>
      </w:r>
      <w:r>
        <w:rPr/>
        <w:t>of</w:t>
      </w:r>
      <w:r>
        <w:rPr>
          <w:spacing w:val="-25"/>
        </w:rPr>
        <w:t> </w:t>
      </w:r>
      <w:r>
        <w:rPr/>
        <w:t>low-permeability</w:t>
      </w:r>
      <w:r>
        <w:rPr>
          <w:spacing w:val="-25"/>
        </w:rPr>
        <w:t> </w:t>
      </w:r>
      <w:r>
        <w:rPr/>
        <w:t>sediments</w:t>
      </w:r>
      <w:r>
        <w:rPr>
          <w:spacing w:val="-25"/>
        </w:rPr>
        <w:t> </w:t>
      </w:r>
      <w:r>
        <w:rPr/>
        <w:t>within the saline formation interval and sandy lenses near the base of the seal were clearly seen to be exercising an important control on the distribution of CO</w:t>
      </w:r>
      <w:r>
        <w:rPr>
          <w:position w:val="-6"/>
          <w:sz w:val="11"/>
        </w:rPr>
        <w:t>2 </w:t>
      </w:r>
      <w:r>
        <w:rPr/>
        <w:t>within the reservoir rock </w:t>
      </w:r>
      <w:hyperlink w:history="true" w:anchor="_bookmark28">
        <w:r>
          <w:rPr/>
          <w:t>(Figure</w:t>
        </w:r>
      </w:hyperlink>
      <w:r>
        <w:rPr/>
        <w:t> </w:t>
      </w:r>
      <w:hyperlink w:history="true" w:anchor="_bookmark28">
        <w:r>
          <w:rPr/>
          <w:t>5.16a,b). </w:t>
        </w:r>
      </w:hyperlink>
      <w:r>
        <w:rPr/>
        <w:t>Time-lapse three-dimensional seismic imaging of the developing CO</w:t>
      </w:r>
      <w:r>
        <w:rPr>
          <w:position w:val="-6"/>
          <w:sz w:val="11"/>
        </w:rPr>
        <w:t>2 </w:t>
      </w:r>
      <w:r>
        <w:rPr/>
        <w:t>plume also identified the need for precision depth</w:t>
      </w:r>
      <w:r>
        <w:rPr>
          <w:spacing w:val="-21"/>
        </w:rPr>
        <w:t> </w:t>
      </w:r>
      <w:r>
        <w:rPr/>
        <w:t>mapping</w:t>
      </w:r>
      <w:r>
        <w:rPr>
          <w:spacing w:val="-21"/>
        </w:rPr>
        <w:t> </w:t>
      </w:r>
      <w:r>
        <w:rPr/>
        <w:t>of</w:t>
      </w:r>
      <w:r>
        <w:rPr>
          <w:spacing w:val="-20"/>
        </w:rPr>
        <w:t> </w:t>
      </w:r>
      <w:r>
        <w:rPr/>
        <w:t>the</w:t>
      </w:r>
      <w:r>
        <w:rPr>
          <w:spacing w:val="-21"/>
        </w:rPr>
        <w:t> </w:t>
      </w:r>
      <w:r>
        <w:rPr/>
        <w:t>bottom</w:t>
      </w:r>
      <w:r>
        <w:rPr>
          <w:spacing w:val="-21"/>
        </w:rPr>
        <w:t> </w:t>
      </w:r>
      <w:r>
        <w:rPr/>
        <w:t>of</w:t>
      </w:r>
      <w:r>
        <w:rPr>
          <w:spacing w:val="-20"/>
        </w:rPr>
        <w:t> </w:t>
      </w:r>
      <w:r>
        <w:rPr/>
        <w:t>the</w:t>
      </w:r>
      <w:r>
        <w:rPr>
          <w:spacing w:val="-21"/>
        </w:rPr>
        <w:t> </w:t>
      </w:r>
      <w:r>
        <w:rPr/>
        <w:t>caprock</w:t>
      </w:r>
      <w:r>
        <w:rPr>
          <w:spacing w:val="-21"/>
        </w:rPr>
        <w:t> </w:t>
      </w:r>
      <w:r>
        <w:rPr/>
        <w:t>interval.</w:t>
      </w:r>
      <w:r>
        <w:rPr>
          <w:spacing w:val="-31"/>
        </w:rPr>
        <w:t> </w:t>
      </w:r>
      <w:r>
        <w:rPr/>
        <w:t>At</w:t>
      </w:r>
      <w:r>
        <w:rPr>
          <w:spacing w:val="-20"/>
        </w:rPr>
        <w:t> </w:t>
      </w:r>
      <w:r>
        <w:rPr/>
        <w:t>Sleipner, the top of the reservoir is almost flat at a regional scale.</w:t>
      </w:r>
      <w:r>
        <w:rPr>
          <w:spacing w:val="-28"/>
        </w:rPr>
        <w:t> </w:t>
      </w:r>
      <w:r>
        <w:rPr/>
        <w:t>Hence, any subtle variance in the actual versus predicted depth could substantially affect migration patterns and rate. Identification and</w:t>
      </w:r>
      <w:r>
        <w:rPr>
          <w:spacing w:val="-7"/>
        </w:rPr>
        <w:t> </w:t>
      </w:r>
      <w:r>
        <w:rPr/>
        <w:t>mapping</w:t>
      </w:r>
      <w:r>
        <w:rPr>
          <w:spacing w:val="-7"/>
        </w:rPr>
        <w:t> </w:t>
      </w:r>
      <w:r>
        <w:rPr/>
        <w:t>of</w:t>
      </w:r>
      <w:r>
        <w:rPr>
          <w:spacing w:val="-7"/>
        </w:rPr>
        <w:t> </w:t>
      </w:r>
      <w:r>
        <w:rPr/>
        <w:t>a</w:t>
      </w:r>
      <w:r>
        <w:rPr>
          <w:spacing w:val="-7"/>
        </w:rPr>
        <w:t> </w:t>
      </w:r>
      <w:r>
        <w:rPr/>
        <w:t>sand</w:t>
      </w:r>
      <w:r>
        <w:rPr>
          <w:spacing w:val="-6"/>
        </w:rPr>
        <w:t> </w:t>
      </w:r>
      <w:r>
        <w:rPr/>
        <w:t>lens</w:t>
      </w:r>
      <w:r>
        <w:rPr>
          <w:spacing w:val="-7"/>
        </w:rPr>
        <w:t> </w:t>
      </w:r>
      <w:r>
        <w:rPr/>
        <w:t>above</w:t>
      </w:r>
      <w:r>
        <w:rPr>
          <w:spacing w:val="-7"/>
        </w:rPr>
        <w:t> </w:t>
      </w:r>
      <w:r>
        <w:rPr/>
        <w:t>what</w:t>
      </w:r>
      <w:r>
        <w:rPr>
          <w:spacing w:val="-7"/>
        </w:rPr>
        <w:t> </w:t>
      </w:r>
      <w:r>
        <w:rPr/>
        <w:t>was</w:t>
      </w:r>
      <w:r>
        <w:rPr>
          <w:spacing w:val="-6"/>
        </w:rPr>
        <w:t> </w:t>
      </w:r>
      <w:r>
        <w:rPr/>
        <w:t>initially</w:t>
      </w:r>
      <w:r>
        <w:rPr>
          <w:spacing w:val="-7"/>
        </w:rPr>
        <w:t> </w:t>
      </w:r>
      <w:r>
        <w:rPr/>
        <w:t>interpreted as the top of the reservoir resulted in a significant change to the predicted migration direction of the CO</w:t>
      </w:r>
      <w:r>
        <w:rPr>
          <w:position w:val="-6"/>
          <w:sz w:val="11"/>
        </w:rPr>
        <w:t>2 </w:t>
      </w:r>
      <w:hyperlink w:history="true" w:anchor="_bookmark28">
        <w:r>
          <w:rPr/>
          <w:t>(Figure 5.16a,b).</w:t>
        </w:r>
      </w:hyperlink>
      <w:r>
        <w:rPr/>
        <w:t> These results show the benefit of repeated three-dimensional seismic</w:t>
      </w:r>
      <w:r>
        <w:rPr>
          <w:spacing w:val="21"/>
        </w:rPr>
        <w:t> </w:t>
      </w:r>
      <w:r>
        <w:rPr/>
        <w:t>monitoring</w:t>
      </w:r>
      <w:r>
        <w:rPr>
          <w:spacing w:val="21"/>
        </w:rPr>
        <w:t> </w:t>
      </w:r>
      <w:r>
        <w:rPr/>
        <w:t>and</w:t>
      </w:r>
      <w:r>
        <w:rPr>
          <w:spacing w:val="21"/>
        </w:rPr>
        <w:t> </w:t>
      </w:r>
      <w:r>
        <w:rPr/>
        <w:t>integration</w:t>
      </w:r>
      <w:r>
        <w:rPr>
          <w:spacing w:val="21"/>
        </w:rPr>
        <w:t> </w:t>
      </w:r>
      <w:r>
        <w:rPr/>
        <w:t>of</w:t>
      </w:r>
      <w:r>
        <w:rPr>
          <w:spacing w:val="21"/>
        </w:rPr>
        <w:t> </w:t>
      </w:r>
      <w:r>
        <w:rPr/>
        <w:t>monitoring</w:t>
      </w:r>
      <w:r>
        <w:rPr>
          <w:spacing w:val="22"/>
        </w:rPr>
        <w:t> </w:t>
      </w:r>
      <w:r>
        <w:rPr/>
        <w:t>results</w:t>
      </w:r>
      <w:r>
        <w:rPr>
          <w:spacing w:val="21"/>
        </w:rPr>
        <w:t> </w:t>
      </w:r>
      <w:r>
        <w:rPr/>
        <w:t>into</w:t>
      </w:r>
    </w:p>
    <w:p>
      <w:pPr>
        <w:spacing w:after="0" w:line="240" w:lineRule="exact"/>
        <w:jc w:val="both"/>
        <w:sectPr>
          <w:type w:val="continuous"/>
          <w:pgSz w:w="12240" w:h="15840"/>
          <w:pgMar w:top="400" w:bottom="280" w:left="580" w:right="600"/>
          <w:cols w:num="2" w:equalWidth="0">
            <w:col w:w="5612" w:space="40"/>
            <w:col w:w="5408"/>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157" w:right="39"/>
        <w:jc w:val="both"/>
      </w:pPr>
      <w:bookmarkStart w:name="5.5 Injection well technology and field " w:id="63"/>
      <w:bookmarkEnd w:id="63"/>
      <w:r>
        <w:rPr/>
      </w:r>
      <w:bookmarkStart w:name="5.5.1 Injection well technologies" w:id="64"/>
      <w:bookmarkEnd w:id="64"/>
      <w:r>
        <w:rPr/>
      </w:r>
      <w:r>
        <w:rPr/>
        <w:t>modelling</w:t>
      </w:r>
      <w:r>
        <w:rPr>
          <w:spacing w:val="-7"/>
        </w:rPr>
        <w:t> </w:t>
      </w:r>
      <w:r>
        <w:rPr/>
        <w:t>during</w:t>
      </w:r>
      <w:r>
        <w:rPr>
          <w:spacing w:val="-7"/>
        </w:rPr>
        <w:t> </w:t>
      </w:r>
      <w:r>
        <w:rPr/>
        <w:t>the</w:t>
      </w:r>
      <w:r>
        <w:rPr>
          <w:spacing w:val="-7"/>
        </w:rPr>
        <w:t> </w:t>
      </w:r>
      <w:r>
        <w:rPr/>
        <w:t>injection</w:t>
      </w:r>
      <w:r>
        <w:rPr>
          <w:spacing w:val="-7"/>
        </w:rPr>
        <w:t> </w:t>
      </w:r>
      <w:r>
        <w:rPr/>
        <w:t>phase</w:t>
      </w:r>
      <w:r>
        <w:rPr>
          <w:spacing w:val="-7"/>
        </w:rPr>
        <w:t> </w:t>
      </w:r>
      <w:r>
        <w:rPr/>
        <w:t>of</w:t>
      </w:r>
      <w:r>
        <w:rPr>
          <w:spacing w:val="-6"/>
        </w:rPr>
        <w:t> </w:t>
      </w:r>
      <w:r>
        <w:rPr/>
        <w:t>the</w:t>
      </w:r>
      <w:r>
        <w:rPr>
          <w:spacing w:val="-7"/>
        </w:rPr>
        <w:t> </w:t>
      </w:r>
      <w:r>
        <w:rPr/>
        <w:t>project.</w:t>
      </w:r>
      <w:r>
        <w:rPr>
          <w:spacing w:val="-7"/>
        </w:rPr>
        <w:t> </w:t>
      </w:r>
      <w:r>
        <w:rPr/>
        <w:t>Refinement of the storage-site characterization continues after injection</w:t>
      </w:r>
      <w:r>
        <w:rPr>
          <w:spacing w:val="-32"/>
        </w:rPr>
        <w:t> </w:t>
      </w:r>
      <w:r>
        <w:rPr/>
        <w:t>has started.</w:t>
      </w:r>
    </w:p>
    <w:p>
      <w:pPr>
        <w:pStyle w:val="BodyText"/>
        <w:spacing w:before="1"/>
        <w:rPr>
          <w:sz w:val="21"/>
        </w:rPr>
      </w:pPr>
    </w:p>
    <w:p>
      <w:pPr>
        <w:pStyle w:val="ListParagraph"/>
        <w:numPr>
          <w:ilvl w:val="3"/>
          <w:numId w:val="7"/>
        </w:numPr>
        <w:tabs>
          <w:tab w:pos="976" w:val="left" w:leader="none"/>
          <w:tab w:pos="977" w:val="left" w:leader="none"/>
        </w:tabs>
        <w:spacing w:line="240" w:lineRule="auto" w:before="0" w:after="0"/>
        <w:ind w:left="977" w:right="0" w:hanging="820"/>
        <w:jc w:val="left"/>
        <w:rPr>
          <w:i/>
          <w:sz w:val="20"/>
        </w:rPr>
      </w:pPr>
      <w:r>
        <w:rPr>
          <w:i/>
          <w:sz w:val="20"/>
        </w:rPr>
        <w:t>Petrel</w:t>
      </w:r>
      <w:r>
        <w:rPr>
          <w:i/>
          <w:spacing w:val="-1"/>
          <w:sz w:val="20"/>
        </w:rPr>
        <w:t> </w:t>
      </w:r>
      <w:r>
        <w:rPr>
          <w:i/>
          <w:sz w:val="20"/>
        </w:rPr>
        <w:t>Sub-basin</w:t>
      </w:r>
    </w:p>
    <w:p>
      <w:pPr>
        <w:pStyle w:val="BodyText"/>
        <w:spacing w:before="3"/>
        <w:rPr>
          <w:i/>
          <w:sz w:val="21"/>
        </w:rPr>
      </w:pPr>
    </w:p>
    <w:p>
      <w:pPr>
        <w:pStyle w:val="BodyText"/>
        <w:spacing w:line="240" w:lineRule="exact"/>
        <w:ind w:left="157" w:right="38"/>
        <w:jc w:val="both"/>
      </w:pPr>
      <w:r>
        <w:rPr/>
        <w:t>A theoretical case study of the Petrel Sub-basin offshore northwest Australia examined the basin-wide storage potential of a combined hydrodynamic and solution trapping</w:t>
      </w:r>
      <w:r>
        <w:rPr>
          <w:spacing w:val="-28"/>
        </w:rPr>
        <w:t> </w:t>
      </w:r>
      <w:r>
        <w:rPr/>
        <w:t>mechanism and identified how sensitive a reservoir simulation will be to the collected data and models built during the characterization of a storage site (Gibson-Poole </w:t>
      </w:r>
      <w:r>
        <w:rPr>
          <w:i/>
        </w:rPr>
        <w:t>et al.</w:t>
      </w:r>
      <w:r>
        <w:rPr/>
        <w:t>, 2002; Ennis-King </w:t>
      </w:r>
      <w:r>
        <w:rPr>
          <w:i/>
        </w:rPr>
        <w:t>et al.</w:t>
      </w:r>
      <w:r>
        <w:rPr/>
        <w:t>, 2003). As at Sleipner, the Petrel study identified that vertical permeability and shale beds within the reservoir interval of  the geological model strongly influenced the vertical CO</w:t>
      </w:r>
      <w:r>
        <w:rPr>
          <w:position w:val="-6"/>
          <w:sz w:val="11"/>
        </w:rPr>
        <w:t>2</w:t>
      </w:r>
      <w:r>
        <w:rPr>
          <w:sz w:val="11"/>
        </w:rPr>
        <w:t> </w:t>
      </w:r>
      <w:r>
        <w:rPr/>
        <w:t>migration rate. In the reservoir simulation, use of coarser grids overestimated the dissolution rate of CO</w:t>
      </w:r>
      <w:r>
        <w:rPr>
          <w:position w:val="-6"/>
          <w:sz w:val="11"/>
        </w:rPr>
        <w:t>2 </w:t>
      </w:r>
      <w:r>
        <w:rPr/>
        <w:t>during the injection period, but underestimated it during the long-term migration period. Lower values of residual CO</w:t>
      </w:r>
      <w:r>
        <w:rPr>
          <w:position w:val="-6"/>
          <w:sz w:val="11"/>
        </w:rPr>
        <w:t>2 </w:t>
      </w:r>
      <w:r>
        <w:rPr/>
        <w:t>saturation led to faster dissolution during the long-term migration period and the </w:t>
      </w:r>
      <w:r>
        <w:rPr>
          <w:spacing w:val="-4"/>
        </w:rPr>
        <w:t>rate </w:t>
      </w:r>
      <w:r>
        <w:rPr/>
        <w:t>of complete dissolution depended on the vertical </w:t>
      </w:r>
      <w:r>
        <w:rPr>
          <w:spacing w:val="-4"/>
        </w:rPr>
        <w:t>permeability. </w:t>
      </w:r>
      <w:r>
        <w:rPr/>
        <w:t>Migration distance depended on the rate of dissolution and residual CO</w:t>
      </w:r>
      <w:r>
        <w:rPr>
          <w:position w:val="-6"/>
          <w:sz w:val="11"/>
        </w:rPr>
        <w:t>2 </w:t>
      </w:r>
      <w:r>
        <w:rPr/>
        <w:t>trapping. The conclusion of the characterization and performance prediction studies is that the Petrel Sub- basin has a regionally extensive reservoir-seal pair suitable for hydrodynamic</w:t>
      </w:r>
      <w:r>
        <w:rPr>
          <w:spacing w:val="-23"/>
        </w:rPr>
        <w:t> </w:t>
      </w:r>
      <w:r>
        <w:rPr/>
        <w:t>trapping</w:t>
      </w:r>
      <w:r>
        <w:rPr>
          <w:spacing w:val="-22"/>
        </w:rPr>
        <w:t> </w:t>
      </w:r>
      <w:r>
        <w:rPr/>
        <w:t>(Section</w:t>
      </w:r>
      <w:r>
        <w:rPr>
          <w:spacing w:val="-22"/>
        </w:rPr>
        <w:t> </w:t>
      </w:r>
      <w:r>
        <w:rPr/>
        <w:t>5.2).</w:t>
      </w:r>
      <w:r>
        <w:rPr>
          <w:spacing w:val="-26"/>
        </w:rPr>
        <w:t> </w:t>
      </w:r>
      <w:r>
        <w:rPr/>
        <w:t>While</w:t>
      </w:r>
      <w:r>
        <w:rPr>
          <w:spacing w:val="-22"/>
        </w:rPr>
        <w:t> </w:t>
      </w:r>
      <w:r>
        <w:rPr/>
        <w:t>the</w:t>
      </w:r>
      <w:r>
        <w:rPr>
          <w:spacing w:val="-22"/>
        </w:rPr>
        <w:t> </w:t>
      </w:r>
      <w:r>
        <w:rPr/>
        <w:t>characterization was performed on the basis of only a few wells with limited data, analogue studies helped define the characteristics of the formation.</w:t>
      </w:r>
      <w:r>
        <w:rPr>
          <w:spacing w:val="-17"/>
        </w:rPr>
        <w:t> </w:t>
      </w:r>
      <w:r>
        <w:rPr/>
        <w:t>Although</w:t>
      </w:r>
      <w:r>
        <w:rPr>
          <w:spacing w:val="-5"/>
        </w:rPr>
        <w:t> </w:t>
      </w:r>
      <w:r>
        <w:rPr/>
        <w:t>this</w:t>
      </w:r>
      <w:r>
        <w:rPr>
          <w:spacing w:val="-6"/>
        </w:rPr>
        <w:t> </w:t>
      </w:r>
      <w:r>
        <w:rPr/>
        <w:t>is</w:t>
      </w:r>
      <w:r>
        <w:rPr>
          <w:spacing w:val="-6"/>
        </w:rPr>
        <w:t> </w:t>
      </w:r>
      <w:r>
        <w:rPr/>
        <w:t>not</w:t>
      </w:r>
      <w:r>
        <w:rPr>
          <w:spacing w:val="-6"/>
        </w:rPr>
        <w:t> </w:t>
      </w:r>
      <w:r>
        <w:rPr/>
        <w:t>the</w:t>
      </w:r>
      <w:r>
        <w:rPr>
          <w:spacing w:val="-5"/>
        </w:rPr>
        <w:t> </w:t>
      </w:r>
      <w:r>
        <w:rPr/>
        <w:t>ideal</w:t>
      </w:r>
      <w:r>
        <w:rPr>
          <w:spacing w:val="-6"/>
        </w:rPr>
        <w:t> </w:t>
      </w:r>
      <w:r>
        <w:rPr/>
        <w:t>situation,</w:t>
      </w:r>
      <w:r>
        <w:rPr>
          <w:spacing w:val="-6"/>
        </w:rPr>
        <w:t> </w:t>
      </w:r>
      <w:r>
        <w:rPr/>
        <w:t>performing</w:t>
      </w:r>
      <w:r>
        <w:rPr>
          <w:spacing w:val="-5"/>
        </w:rPr>
        <w:t> </w:t>
      </w:r>
      <w:r>
        <w:rPr/>
        <w:t>a reservoir</w:t>
      </w:r>
      <w:r>
        <w:rPr>
          <w:spacing w:val="-18"/>
        </w:rPr>
        <w:t> </w:t>
      </w:r>
      <w:r>
        <w:rPr/>
        <w:t>simulation</w:t>
      </w:r>
      <w:r>
        <w:rPr>
          <w:spacing w:val="-17"/>
        </w:rPr>
        <w:t> </w:t>
      </w:r>
      <w:r>
        <w:rPr/>
        <w:t>by</w:t>
      </w:r>
      <w:r>
        <w:rPr>
          <w:spacing w:val="-17"/>
        </w:rPr>
        <w:t> </w:t>
      </w:r>
      <w:r>
        <w:rPr/>
        <w:t>using</w:t>
      </w:r>
      <w:r>
        <w:rPr>
          <w:spacing w:val="-17"/>
        </w:rPr>
        <w:t> </w:t>
      </w:r>
      <w:r>
        <w:rPr/>
        <w:t>geological</w:t>
      </w:r>
      <w:r>
        <w:rPr>
          <w:spacing w:val="-17"/>
        </w:rPr>
        <w:t> </w:t>
      </w:r>
      <w:r>
        <w:rPr/>
        <w:t>analogues</w:t>
      </w:r>
      <w:r>
        <w:rPr>
          <w:spacing w:val="-17"/>
        </w:rPr>
        <w:t> </w:t>
      </w:r>
      <w:r>
        <w:rPr/>
        <w:t>may</w:t>
      </w:r>
      <w:r>
        <w:rPr>
          <w:spacing w:val="-17"/>
        </w:rPr>
        <w:t> </w:t>
      </w:r>
      <w:r>
        <w:rPr/>
        <w:t>often</w:t>
      </w:r>
      <w:r>
        <w:rPr>
          <w:spacing w:val="-17"/>
        </w:rPr>
        <w:t> </w:t>
      </w:r>
      <w:r>
        <w:rPr/>
        <w:t>be the only option. However, understanding which elements will be</w:t>
      </w:r>
      <w:r>
        <w:rPr>
          <w:spacing w:val="13"/>
        </w:rPr>
        <w:t> </w:t>
      </w:r>
      <w:r>
        <w:rPr/>
        <w:t>the</w:t>
      </w:r>
      <w:r>
        <w:rPr>
          <w:spacing w:val="14"/>
        </w:rPr>
        <w:t> </w:t>
      </w:r>
      <w:r>
        <w:rPr/>
        <w:t>most</w:t>
      </w:r>
      <w:r>
        <w:rPr>
          <w:spacing w:val="14"/>
        </w:rPr>
        <w:t> </w:t>
      </w:r>
      <w:r>
        <w:rPr/>
        <w:t>sensitive</w:t>
      </w:r>
      <w:r>
        <w:rPr>
          <w:spacing w:val="14"/>
        </w:rPr>
        <w:t> </w:t>
      </w:r>
      <w:r>
        <w:rPr/>
        <w:t>in</w:t>
      </w:r>
      <w:r>
        <w:rPr>
          <w:spacing w:val="14"/>
        </w:rPr>
        <w:t> </w:t>
      </w:r>
      <w:r>
        <w:rPr/>
        <w:t>the</w:t>
      </w:r>
      <w:r>
        <w:rPr>
          <w:spacing w:val="14"/>
        </w:rPr>
        <w:t> </w:t>
      </w:r>
      <w:r>
        <w:rPr/>
        <w:t>simulation</w:t>
      </w:r>
      <w:r>
        <w:rPr>
          <w:spacing w:val="14"/>
        </w:rPr>
        <w:t> </w:t>
      </w:r>
      <w:r>
        <w:rPr/>
        <w:t>will</w:t>
      </w:r>
      <w:r>
        <w:rPr>
          <w:spacing w:val="14"/>
        </w:rPr>
        <w:t> </w:t>
      </w:r>
      <w:r>
        <w:rPr/>
        <w:t>help</w:t>
      </w:r>
      <w:r>
        <w:rPr>
          <w:spacing w:val="13"/>
        </w:rPr>
        <w:t> </w:t>
      </w:r>
      <w:r>
        <w:rPr/>
        <w:t>geoscientists</w:t>
      </w:r>
    </w:p>
    <w:p>
      <w:pPr>
        <w:pStyle w:val="BodyText"/>
        <w:spacing w:line="240" w:lineRule="exact" w:before="58"/>
        <w:ind w:left="157" w:right="530"/>
        <w:jc w:val="both"/>
      </w:pPr>
      <w:r>
        <w:rPr/>
        <w:br w:type="column"/>
      </w:r>
      <w:r>
        <w:rPr/>
        <w:t>practised</w:t>
      </w:r>
      <w:r>
        <w:rPr>
          <w:spacing w:val="-13"/>
        </w:rPr>
        <w:t> </w:t>
      </w:r>
      <w:r>
        <w:rPr/>
        <w:t>with</w:t>
      </w:r>
      <w:r>
        <w:rPr>
          <w:spacing w:val="-12"/>
        </w:rPr>
        <w:t> </w:t>
      </w:r>
      <w:r>
        <w:rPr/>
        <w:t>some</w:t>
      </w:r>
      <w:r>
        <w:rPr>
          <w:spacing w:val="-12"/>
        </w:rPr>
        <w:t> </w:t>
      </w:r>
      <w:r>
        <w:rPr/>
        <w:t>adaptations</w:t>
      </w:r>
      <w:r>
        <w:rPr>
          <w:spacing w:val="-12"/>
        </w:rPr>
        <w:t> </w:t>
      </w:r>
      <w:r>
        <w:rPr/>
        <w:t>in</w:t>
      </w:r>
      <w:r>
        <w:rPr>
          <w:spacing w:val="-12"/>
        </w:rPr>
        <w:t> </w:t>
      </w:r>
      <w:r>
        <w:rPr/>
        <w:t>current</w:t>
      </w:r>
      <w:r>
        <w:rPr>
          <w:spacing w:val="-12"/>
        </w:rPr>
        <w:t> </w:t>
      </w:r>
      <w:r>
        <w:rPr/>
        <w:t>CO</w:t>
      </w:r>
      <w:r>
        <w:rPr>
          <w:position w:val="-6"/>
          <w:sz w:val="11"/>
        </w:rPr>
        <w:t>2</w:t>
      </w:r>
      <w:r>
        <w:rPr>
          <w:spacing w:val="9"/>
          <w:position w:val="-6"/>
          <w:sz w:val="11"/>
        </w:rPr>
        <w:t> </w:t>
      </w:r>
      <w:r>
        <w:rPr/>
        <w:t>storage</w:t>
      </w:r>
      <w:r>
        <w:rPr>
          <w:spacing w:val="-12"/>
        </w:rPr>
        <w:t> </w:t>
      </w:r>
      <w:r>
        <w:rPr/>
        <w:t>projects. In</w:t>
      </w:r>
      <w:r>
        <w:rPr>
          <w:spacing w:val="-9"/>
        </w:rPr>
        <w:t> </w:t>
      </w:r>
      <w:r>
        <w:rPr/>
        <w:t>a</w:t>
      </w:r>
      <w:r>
        <w:rPr>
          <w:spacing w:val="-8"/>
        </w:rPr>
        <w:t> </w:t>
      </w:r>
      <w:r>
        <w:rPr/>
        <w:t>CO</w:t>
      </w:r>
      <w:r>
        <w:rPr>
          <w:position w:val="-6"/>
          <w:sz w:val="11"/>
        </w:rPr>
        <w:t>2</w:t>
      </w:r>
      <w:r>
        <w:rPr>
          <w:spacing w:val="14"/>
          <w:position w:val="-6"/>
          <w:sz w:val="11"/>
        </w:rPr>
        <w:t> </w:t>
      </w:r>
      <w:r>
        <w:rPr/>
        <w:t>injection</w:t>
      </w:r>
      <w:r>
        <w:rPr>
          <w:spacing w:val="-9"/>
        </w:rPr>
        <w:t> </w:t>
      </w:r>
      <w:r>
        <w:rPr/>
        <w:t>well,</w:t>
      </w:r>
      <w:r>
        <w:rPr>
          <w:spacing w:val="-8"/>
        </w:rPr>
        <w:t> </w:t>
      </w:r>
      <w:r>
        <w:rPr/>
        <w:t>the</w:t>
      </w:r>
      <w:r>
        <w:rPr>
          <w:spacing w:val="-8"/>
        </w:rPr>
        <w:t> </w:t>
      </w:r>
      <w:r>
        <w:rPr/>
        <w:t>principal</w:t>
      </w:r>
      <w:r>
        <w:rPr>
          <w:spacing w:val="-9"/>
        </w:rPr>
        <w:t> </w:t>
      </w:r>
      <w:r>
        <w:rPr/>
        <w:t>well</w:t>
      </w:r>
      <w:r>
        <w:rPr>
          <w:spacing w:val="-8"/>
        </w:rPr>
        <w:t> </w:t>
      </w:r>
      <w:r>
        <w:rPr/>
        <w:t>design</w:t>
      </w:r>
      <w:r>
        <w:rPr>
          <w:spacing w:val="-9"/>
        </w:rPr>
        <w:t> </w:t>
      </w:r>
      <w:r>
        <w:rPr/>
        <w:t>considerations include pressure, corrosion-resistant materials and production and injection rates.</w:t>
      </w:r>
    </w:p>
    <w:p>
      <w:pPr>
        <w:pStyle w:val="BodyText"/>
        <w:spacing w:line="240" w:lineRule="exact"/>
        <w:ind w:left="157" w:right="530" w:firstLine="283"/>
        <w:jc w:val="both"/>
      </w:pPr>
      <w:r>
        <w:rPr/>
        <w:t>The design of a CO</w:t>
      </w:r>
      <w:r>
        <w:rPr>
          <w:position w:val="-6"/>
          <w:sz w:val="11"/>
        </w:rPr>
        <w:t>2 </w:t>
      </w:r>
      <w:r>
        <w:rPr/>
        <w:t>injection well is very similar to that of a</w:t>
      </w:r>
      <w:r>
        <w:rPr>
          <w:spacing w:val="-6"/>
        </w:rPr>
        <w:t> </w:t>
      </w:r>
      <w:r>
        <w:rPr/>
        <w:t>gas</w:t>
      </w:r>
      <w:r>
        <w:rPr>
          <w:spacing w:val="-6"/>
        </w:rPr>
        <w:t> </w:t>
      </w:r>
      <w:r>
        <w:rPr/>
        <w:t>injection</w:t>
      </w:r>
      <w:r>
        <w:rPr>
          <w:spacing w:val="-6"/>
        </w:rPr>
        <w:t> </w:t>
      </w:r>
      <w:r>
        <w:rPr/>
        <w:t>well</w:t>
      </w:r>
      <w:r>
        <w:rPr>
          <w:spacing w:val="-6"/>
        </w:rPr>
        <w:t> </w:t>
      </w:r>
      <w:r>
        <w:rPr/>
        <w:t>in</w:t>
      </w:r>
      <w:r>
        <w:rPr>
          <w:spacing w:val="-6"/>
        </w:rPr>
        <w:t> </w:t>
      </w:r>
      <w:r>
        <w:rPr/>
        <w:t>an</w:t>
      </w:r>
      <w:r>
        <w:rPr>
          <w:spacing w:val="-6"/>
        </w:rPr>
        <w:t> </w:t>
      </w:r>
      <w:r>
        <w:rPr/>
        <w:t>oil</w:t>
      </w:r>
      <w:r>
        <w:rPr>
          <w:spacing w:val="-6"/>
        </w:rPr>
        <w:t> </w:t>
      </w:r>
      <w:r>
        <w:rPr/>
        <w:t>field</w:t>
      </w:r>
      <w:r>
        <w:rPr>
          <w:spacing w:val="-6"/>
        </w:rPr>
        <w:t> </w:t>
      </w:r>
      <w:r>
        <w:rPr/>
        <w:t>or</w:t>
      </w:r>
      <w:r>
        <w:rPr>
          <w:spacing w:val="-6"/>
        </w:rPr>
        <w:t> </w:t>
      </w:r>
      <w:r>
        <w:rPr/>
        <w:t>natural</w:t>
      </w:r>
      <w:r>
        <w:rPr>
          <w:spacing w:val="-6"/>
        </w:rPr>
        <w:t> </w:t>
      </w:r>
      <w:r>
        <w:rPr/>
        <w:t>gas</w:t>
      </w:r>
      <w:r>
        <w:rPr>
          <w:spacing w:val="-5"/>
        </w:rPr>
        <w:t> </w:t>
      </w:r>
      <w:r>
        <w:rPr/>
        <w:t>storage</w:t>
      </w:r>
      <w:r>
        <w:rPr>
          <w:spacing w:val="-6"/>
        </w:rPr>
        <w:t> </w:t>
      </w:r>
      <w:r>
        <w:rPr/>
        <w:t>project. Most downhole components need to be upgraded for higher pressure ratings and corrosion resistance. The technology </w:t>
      </w:r>
      <w:r>
        <w:rPr>
          <w:spacing w:val="-5"/>
        </w:rPr>
        <w:t>for </w:t>
      </w:r>
      <w:r>
        <w:rPr/>
        <w:t>handling CO</w:t>
      </w:r>
      <w:r>
        <w:rPr>
          <w:position w:val="-6"/>
          <w:sz w:val="11"/>
        </w:rPr>
        <w:t>2 </w:t>
      </w:r>
      <w:r>
        <w:rPr/>
        <w:t>has already been developed for EOR operations and for the disposal of acid gas (Section 5.2.4.) Horizontal and extended</w:t>
      </w:r>
      <w:r>
        <w:rPr>
          <w:spacing w:val="-12"/>
        </w:rPr>
        <w:t> </w:t>
      </w:r>
      <w:r>
        <w:rPr/>
        <w:t>reach</w:t>
      </w:r>
      <w:r>
        <w:rPr>
          <w:spacing w:val="-10"/>
        </w:rPr>
        <w:t> </w:t>
      </w:r>
      <w:r>
        <w:rPr/>
        <w:t>wells</w:t>
      </w:r>
      <w:r>
        <w:rPr>
          <w:spacing w:val="-12"/>
        </w:rPr>
        <w:t> </w:t>
      </w:r>
      <w:r>
        <w:rPr/>
        <w:t>can</w:t>
      </w:r>
      <w:r>
        <w:rPr>
          <w:spacing w:val="-10"/>
        </w:rPr>
        <w:t> </w:t>
      </w:r>
      <w:r>
        <w:rPr/>
        <w:t>be</w:t>
      </w:r>
      <w:r>
        <w:rPr>
          <w:spacing w:val="-10"/>
        </w:rPr>
        <w:t> </w:t>
      </w:r>
      <w:r>
        <w:rPr/>
        <w:t>good</w:t>
      </w:r>
      <w:r>
        <w:rPr>
          <w:spacing w:val="-11"/>
        </w:rPr>
        <w:t> </w:t>
      </w:r>
      <w:r>
        <w:rPr/>
        <w:t>options</w:t>
      </w:r>
      <w:r>
        <w:rPr>
          <w:spacing w:val="-10"/>
        </w:rPr>
        <w:t> </w:t>
      </w:r>
      <w:r>
        <w:rPr/>
        <w:t>for</w:t>
      </w:r>
      <w:r>
        <w:rPr>
          <w:spacing w:val="-11"/>
        </w:rPr>
        <w:t> </w:t>
      </w:r>
      <w:r>
        <w:rPr/>
        <w:t>improving</w:t>
      </w:r>
      <w:r>
        <w:rPr>
          <w:spacing w:val="-11"/>
        </w:rPr>
        <w:t> </w:t>
      </w:r>
      <w:r>
        <w:rPr/>
        <w:t>the</w:t>
      </w:r>
      <w:r>
        <w:rPr>
          <w:spacing w:val="-10"/>
        </w:rPr>
        <w:t> </w:t>
      </w:r>
      <w:r>
        <w:rPr/>
        <w:t>rate of CO</w:t>
      </w:r>
      <w:r>
        <w:rPr>
          <w:position w:val="-6"/>
          <w:sz w:val="11"/>
        </w:rPr>
        <w:t>2 </w:t>
      </w:r>
      <w:r>
        <w:rPr/>
        <w:t>injection from individual wells. The </w:t>
      </w:r>
      <w:r>
        <w:rPr>
          <w:spacing w:val="-3"/>
        </w:rPr>
        <w:t>Weyburn </w:t>
      </w:r>
      <w:r>
        <w:rPr/>
        <w:t>field in Canada </w:t>
      </w:r>
      <w:hyperlink w:history="true" w:anchor="_bookmark9">
        <w:r>
          <w:rPr/>
          <w:t>(Box 5.3) </w:t>
        </w:r>
      </w:hyperlink>
      <w:r>
        <w:rPr/>
        <w:t>is an example in which the use of horizontal injection wells is improving oil recovery and increasing CO</w:t>
      </w:r>
      <w:r>
        <w:rPr>
          <w:position w:val="-6"/>
          <w:sz w:val="11"/>
        </w:rPr>
        <w:t>2 </w:t>
      </w:r>
      <w:r>
        <w:rPr/>
        <w:t>storage.</w:t>
      </w:r>
      <w:r>
        <w:rPr>
          <w:spacing w:val="-11"/>
        </w:rPr>
        <w:t> </w:t>
      </w:r>
      <w:r>
        <w:rPr/>
        <w:t>The</w:t>
      </w:r>
      <w:r>
        <w:rPr>
          <w:spacing w:val="-7"/>
        </w:rPr>
        <w:t> </w:t>
      </w:r>
      <w:r>
        <w:rPr/>
        <w:t>horizontal</w:t>
      </w:r>
      <w:r>
        <w:rPr>
          <w:spacing w:val="-7"/>
        </w:rPr>
        <w:t> </w:t>
      </w:r>
      <w:r>
        <w:rPr/>
        <w:t>injectors</w:t>
      </w:r>
      <w:r>
        <w:rPr>
          <w:spacing w:val="-7"/>
        </w:rPr>
        <w:t> </w:t>
      </w:r>
      <w:r>
        <w:rPr/>
        <w:t>reduce</w:t>
      </w:r>
      <w:r>
        <w:rPr>
          <w:spacing w:val="-7"/>
        </w:rPr>
        <w:t> </w:t>
      </w:r>
      <w:r>
        <w:rPr/>
        <w:t>the</w:t>
      </w:r>
      <w:r>
        <w:rPr>
          <w:spacing w:val="-7"/>
        </w:rPr>
        <w:t> </w:t>
      </w:r>
      <w:r>
        <w:rPr/>
        <w:t>number</w:t>
      </w:r>
      <w:r>
        <w:rPr>
          <w:spacing w:val="-6"/>
        </w:rPr>
        <w:t> </w:t>
      </w:r>
      <w:r>
        <w:rPr/>
        <w:t>of</w:t>
      </w:r>
      <w:r>
        <w:rPr>
          <w:spacing w:val="-7"/>
        </w:rPr>
        <w:t> </w:t>
      </w:r>
      <w:r>
        <w:rPr/>
        <w:t>injection wells required for field development. A horizontal injection well</w:t>
      </w:r>
      <w:r>
        <w:rPr>
          <w:spacing w:val="-9"/>
        </w:rPr>
        <w:t> </w:t>
      </w:r>
      <w:r>
        <w:rPr/>
        <w:t>has</w:t>
      </w:r>
      <w:r>
        <w:rPr>
          <w:spacing w:val="-8"/>
        </w:rPr>
        <w:t> </w:t>
      </w:r>
      <w:r>
        <w:rPr/>
        <w:t>the</w:t>
      </w:r>
      <w:r>
        <w:rPr>
          <w:spacing w:val="-9"/>
        </w:rPr>
        <w:t> </w:t>
      </w:r>
      <w:r>
        <w:rPr/>
        <w:t>added</w:t>
      </w:r>
      <w:r>
        <w:rPr>
          <w:spacing w:val="-8"/>
        </w:rPr>
        <w:t> </w:t>
      </w:r>
      <w:r>
        <w:rPr/>
        <w:t>advantage</w:t>
      </w:r>
      <w:r>
        <w:rPr>
          <w:spacing w:val="-8"/>
        </w:rPr>
        <w:t> </w:t>
      </w:r>
      <w:r>
        <w:rPr/>
        <w:t>that</w:t>
      </w:r>
      <w:r>
        <w:rPr>
          <w:spacing w:val="-9"/>
        </w:rPr>
        <w:t> </w:t>
      </w:r>
      <w:r>
        <w:rPr/>
        <w:t>it</w:t>
      </w:r>
      <w:r>
        <w:rPr>
          <w:spacing w:val="-8"/>
        </w:rPr>
        <w:t> </w:t>
      </w:r>
      <w:r>
        <w:rPr/>
        <w:t>can</w:t>
      </w:r>
      <w:r>
        <w:rPr>
          <w:spacing w:val="-8"/>
        </w:rPr>
        <w:t> </w:t>
      </w:r>
      <w:r>
        <w:rPr/>
        <w:t>create</w:t>
      </w:r>
      <w:r>
        <w:rPr>
          <w:spacing w:val="-9"/>
        </w:rPr>
        <w:t> </w:t>
      </w:r>
      <w:r>
        <w:rPr/>
        <w:t>injection</w:t>
      </w:r>
      <w:r>
        <w:rPr>
          <w:spacing w:val="-8"/>
        </w:rPr>
        <w:t> </w:t>
      </w:r>
      <w:r>
        <w:rPr/>
        <w:t>profiles that reduce the adverse effects of injected-gas preferential flow through high-permeability zones.</w:t>
      </w:r>
    </w:p>
    <w:p>
      <w:pPr>
        <w:pStyle w:val="BodyText"/>
        <w:spacing w:line="240" w:lineRule="exact"/>
        <w:ind w:left="157" w:right="530" w:firstLine="283"/>
        <w:jc w:val="both"/>
      </w:pPr>
      <w:r>
        <w:rPr/>
        <w:pict>
          <v:shape style="position:absolute;margin-left:537.384827pt;margin-top:104.557503pt;width:2.95pt;height:5.85pt;mso-position-horizontal-relative:page;mso-position-vertical-relative:paragraph;z-index:-25884467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The number of wells required for a storage project will depend on a number of factors,  including  total  injection  rate, permeability and thickness of the formation, </w:t>
      </w:r>
      <w:r>
        <w:rPr>
          <w:spacing w:val="-3"/>
        </w:rPr>
        <w:t>maximum </w:t>
      </w:r>
      <w:r>
        <w:rPr/>
        <w:t>injection pressures and availability of land-surface  area  </w:t>
      </w:r>
      <w:r>
        <w:rPr>
          <w:spacing w:val="-5"/>
        </w:rPr>
        <w:t>for </w:t>
      </w:r>
      <w:r>
        <w:rPr/>
        <w:t>the injection wells. In general, fewer wells will be needed for high-permeability</w:t>
      </w:r>
      <w:r>
        <w:rPr>
          <w:spacing w:val="-11"/>
        </w:rPr>
        <w:t> </w:t>
      </w:r>
      <w:r>
        <w:rPr/>
        <w:t>sediments</w:t>
      </w:r>
      <w:r>
        <w:rPr>
          <w:spacing w:val="-11"/>
        </w:rPr>
        <w:t> </w:t>
      </w:r>
      <w:r>
        <w:rPr/>
        <w:t>in</w:t>
      </w:r>
      <w:r>
        <w:rPr>
          <w:spacing w:val="-11"/>
        </w:rPr>
        <w:t> </w:t>
      </w:r>
      <w:r>
        <w:rPr/>
        <w:t>thick</w:t>
      </w:r>
      <w:r>
        <w:rPr>
          <w:spacing w:val="-11"/>
        </w:rPr>
        <w:t> </w:t>
      </w:r>
      <w:r>
        <w:rPr/>
        <w:t>storage</w:t>
      </w:r>
      <w:r>
        <w:rPr>
          <w:spacing w:val="-11"/>
        </w:rPr>
        <w:t> </w:t>
      </w:r>
      <w:r>
        <w:rPr/>
        <w:t>formations</w:t>
      </w:r>
      <w:r>
        <w:rPr>
          <w:spacing w:val="-11"/>
        </w:rPr>
        <w:t> </w:t>
      </w:r>
      <w:r>
        <w:rPr/>
        <w:t>and</w:t>
      </w:r>
      <w:r>
        <w:rPr>
          <w:spacing w:val="-11"/>
        </w:rPr>
        <w:t> </w:t>
      </w:r>
      <w:r>
        <w:rPr/>
        <w:t>for those projects with horizontal wells for injection. For example, the</w:t>
      </w:r>
      <w:r>
        <w:rPr>
          <w:spacing w:val="-17"/>
        </w:rPr>
        <w:t> </w:t>
      </w:r>
      <w:r>
        <w:rPr/>
        <w:t>Sleipner</w:t>
      </w:r>
      <w:r>
        <w:rPr>
          <w:spacing w:val="-16"/>
        </w:rPr>
        <w:t> </w:t>
      </w:r>
      <w:r>
        <w:rPr/>
        <w:t>Project,</w:t>
      </w:r>
      <w:r>
        <w:rPr>
          <w:spacing w:val="-16"/>
        </w:rPr>
        <w:t> </w:t>
      </w:r>
      <w:r>
        <w:rPr/>
        <w:t>which</w:t>
      </w:r>
      <w:r>
        <w:rPr>
          <w:spacing w:val="-16"/>
        </w:rPr>
        <w:t> </w:t>
      </w:r>
      <w:r>
        <w:rPr/>
        <w:t>injects</w:t>
      </w:r>
      <w:r>
        <w:rPr>
          <w:spacing w:val="-17"/>
        </w:rPr>
        <w:t> </w:t>
      </w:r>
      <w:r>
        <w:rPr/>
        <w:t>CO</w:t>
      </w:r>
      <w:r>
        <w:rPr>
          <w:position w:val="-6"/>
          <w:sz w:val="11"/>
        </w:rPr>
        <w:t>2</w:t>
      </w:r>
      <w:r>
        <w:rPr>
          <w:spacing w:val="6"/>
          <w:position w:val="-6"/>
          <w:sz w:val="11"/>
        </w:rPr>
        <w:t> </w:t>
      </w:r>
      <w:r>
        <w:rPr/>
        <w:t>into</w:t>
      </w:r>
      <w:r>
        <w:rPr>
          <w:spacing w:val="-16"/>
        </w:rPr>
        <w:t> </w:t>
      </w:r>
      <w:r>
        <w:rPr/>
        <w:t>a</w:t>
      </w:r>
      <w:r>
        <w:rPr>
          <w:spacing w:val="-16"/>
        </w:rPr>
        <w:t> </w:t>
      </w:r>
      <w:r>
        <w:rPr/>
        <w:t>high-permeability, 200-m-thick</w:t>
      </w:r>
      <w:r>
        <w:rPr>
          <w:spacing w:val="-11"/>
        </w:rPr>
        <w:t> </w:t>
      </w:r>
      <w:r>
        <w:rPr/>
        <w:t>formation</w:t>
      </w:r>
      <w:r>
        <w:rPr>
          <w:spacing w:val="-10"/>
        </w:rPr>
        <w:t> </w:t>
      </w:r>
      <w:r>
        <w:rPr/>
        <w:t>uses</w:t>
      </w:r>
      <w:r>
        <w:rPr>
          <w:spacing w:val="-11"/>
        </w:rPr>
        <w:t> </w:t>
      </w:r>
      <w:r>
        <w:rPr/>
        <w:t>only</w:t>
      </w:r>
      <w:r>
        <w:rPr>
          <w:spacing w:val="-10"/>
        </w:rPr>
        <w:t> </w:t>
      </w:r>
      <w:r>
        <w:rPr/>
        <w:t>one</w:t>
      </w:r>
      <w:r>
        <w:rPr>
          <w:spacing w:val="-10"/>
        </w:rPr>
        <w:t> </w:t>
      </w:r>
      <w:r>
        <w:rPr/>
        <w:t>well</w:t>
      </w:r>
      <w:r>
        <w:rPr>
          <w:spacing w:val="-11"/>
        </w:rPr>
        <w:t> </w:t>
      </w:r>
      <w:r>
        <w:rPr/>
        <w:t>to</w:t>
      </w:r>
      <w:r>
        <w:rPr>
          <w:spacing w:val="-10"/>
        </w:rPr>
        <w:t> </w:t>
      </w:r>
      <w:r>
        <w:rPr/>
        <w:t>inject</w:t>
      </w:r>
      <w:r>
        <w:rPr>
          <w:spacing w:val="-11"/>
        </w:rPr>
        <w:t> </w:t>
      </w:r>
      <w:r>
        <w:rPr/>
        <w:t>1</w:t>
      </w:r>
      <w:r>
        <w:rPr>
          <w:spacing w:val="-10"/>
        </w:rPr>
        <w:t> </w:t>
      </w:r>
      <w:r>
        <w:rPr/>
        <w:t>MtCO</w:t>
      </w:r>
      <w:r>
        <w:rPr>
          <w:spacing w:val="48"/>
        </w:rPr>
        <w:t> </w:t>
      </w:r>
      <w:r>
        <w:rPr/>
        <w:t>yr</w:t>
      </w:r>
      <w:r>
        <w:rPr>
          <w:position w:val="7"/>
          <w:sz w:val="11"/>
        </w:rPr>
        <w:t>-1 </w:t>
      </w:r>
      <w:r>
        <w:rPr/>
        <w:t>(Korbol</w:t>
      </w:r>
      <w:r>
        <w:rPr>
          <w:spacing w:val="-9"/>
        </w:rPr>
        <w:t> </w:t>
      </w:r>
      <w:r>
        <w:rPr/>
        <w:t>and</w:t>
      </w:r>
      <w:r>
        <w:rPr>
          <w:spacing w:val="-8"/>
        </w:rPr>
        <w:t> </w:t>
      </w:r>
      <w:r>
        <w:rPr/>
        <w:t>Kaddour,</w:t>
      </w:r>
      <w:r>
        <w:rPr>
          <w:spacing w:val="-9"/>
        </w:rPr>
        <w:t> </w:t>
      </w:r>
      <w:r>
        <w:rPr/>
        <w:t>1994).</w:t>
      </w:r>
      <w:r>
        <w:rPr>
          <w:spacing w:val="-8"/>
        </w:rPr>
        <w:t> </w:t>
      </w:r>
      <w:r>
        <w:rPr/>
        <w:t>In</w:t>
      </w:r>
      <w:r>
        <w:rPr>
          <w:spacing w:val="-9"/>
        </w:rPr>
        <w:t> </w:t>
      </w:r>
      <w:r>
        <w:rPr/>
        <w:t>contrast,</w:t>
      </w:r>
      <w:r>
        <w:rPr>
          <w:spacing w:val="-8"/>
        </w:rPr>
        <w:t> </w:t>
      </w:r>
      <w:r>
        <w:rPr/>
        <w:t>at</w:t>
      </w:r>
      <w:r>
        <w:rPr>
          <w:spacing w:val="-9"/>
        </w:rPr>
        <w:t> </w:t>
      </w:r>
      <w:r>
        <w:rPr/>
        <w:t>the</w:t>
      </w:r>
      <w:r>
        <w:rPr>
          <w:spacing w:val="-8"/>
        </w:rPr>
        <w:t> </w:t>
      </w:r>
      <w:r>
        <w:rPr/>
        <w:t>In</w:t>
      </w:r>
      <w:r>
        <w:rPr>
          <w:spacing w:val="-8"/>
        </w:rPr>
        <w:t> </w:t>
      </w:r>
      <w:r>
        <w:rPr/>
        <w:t>Salah</w:t>
      </w:r>
      <w:r>
        <w:rPr>
          <w:spacing w:val="-9"/>
        </w:rPr>
        <w:t> </w:t>
      </w:r>
      <w:r>
        <w:rPr/>
        <w:t>Project in Algeria, CO</w:t>
      </w:r>
      <w:r>
        <w:rPr>
          <w:position w:val="-6"/>
          <w:sz w:val="11"/>
        </w:rPr>
        <w:t>2 </w:t>
      </w:r>
      <w:r>
        <w:rPr/>
        <w:t>is injected into a 20-m-thick formation with much lower permeability (Riddiford </w:t>
      </w:r>
      <w:r>
        <w:rPr>
          <w:i/>
        </w:rPr>
        <w:t>et al.</w:t>
      </w:r>
      <w:r>
        <w:rPr/>
        <w:t>, 2003). Here, three long-reach</w:t>
      </w:r>
      <w:r>
        <w:rPr>
          <w:spacing w:val="31"/>
        </w:rPr>
        <w:t> </w:t>
      </w:r>
      <w:r>
        <w:rPr/>
        <w:t>horizontal</w:t>
      </w:r>
      <w:r>
        <w:rPr>
          <w:spacing w:val="31"/>
        </w:rPr>
        <w:t> </w:t>
      </w:r>
      <w:r>
        <w:rPr/>
        <w:t>wells</w:t>
      </w:r>
      <w:r>
        <w:rPr>
          <w:spacing w:val="32"/>
        </w:rPr>
        <w:t> </w:t>
      </w:r>
      <w:r>
        <w:rPr/>
        <w:t>with</w:t>
      </w:r>
      <w:r>
        <w:rPr>
          <w:spacing w:val="31"/>
        </w:rPr>
        <w:t> </w:t>
      </w:r>
      <w:r>
        <w:rPr/>
        <w:t>slotted</w:t>
      </w:r>
      <w:r>
        <w:rPr>
          <w:spacing w:val="32"/>
        </w:rPr>
        <w:t> </w:t>
      </w:r>
      <w:r>
        <w:rPr/>
        <w:t>intervals</w:t>
      </w:r>
      <w:r>
        <w:rPr>
          <w:spacing w:val="31"/>
        </w:rPr>
        <w:t> </w:t>
      </w:r>
      <w:r>
        <w:rPr/>
        <w:t>over</w:t>
      </w:r>
      <w:r>
        <w:rPr>
          <w:spacing w:val="31"/>
        </w:rPr>
        <w:t> </w:t>
      </w:r>
      <w:r>
        <w:rPr/>
        <w:t>1</w:t>
      </w:r>
      <w:r>
        <w:rPr>
          <w:spacing w:val="32"/>
        </w:rPr>
        <w:t> </w:t>
      </w:r>
      <w:r>
        <w:rPr/>
        <w:t>km</w:t>
      </w:r>
    </w:p>
    <w:p>
      <w:pPr>
        <w:spacing w:after="0" w:line="240" w:lineRule="exact"/>
        <w:jc w:val="both"/>
        <w:sectPr>
          <w:type w:val="continuous"/>
          <w:pgSz w:w="12240" w:h="15840"/>
          <w:pgMar w:top="400" w:bottom="280" w:left="580" w:right="600"/>
          <w:cols w:num="2" w:equalWidth="0">
            <w:col w:w="5243" w:space="84"/>
            <w:col w:w="5733"/>
          </w:cols>
        </w:sectPr>
      </w:pPr>
    </w:p>
    <w:p>
      <w:pPr>
        <w:pStyle w:val="BodyText"/>
        <w:spacing w:before="5"/>
        <w:ind w:left="157"/>
      </w:pPr>
      <w:r>
        <w:rPr/>
        <w:t>to understand where to prioritize their efforts in data collection</w:t>
      </w:r>
    </w:p>
    <w:p>
      <w:pPr>
        <w:pStyle w:val="BodyText"/>
        <w:spacing w:line="277" w:lineRule="exact" w:before="5"/>
        <w:ind w:left="157"/>
        <w:rPr>
          <w:sz w:val="11"/>
        </w:rPr>
      </w:pPr>
      <w:r>
        <w:rPr/>
        <w:br w:type="column"/>
      </w:r>
      <w:r>
        <w:rPr/>
        <w:t>are used to inject 1 MtCO</w:t>
      </w:r>
      <w:r>
        <w:rPr>
          <w:position w:val="-6"/>
          <w:sz w:val="11"/>
        </w:rPr>
        <w:t>2</w:t>
      </w:r>
    </w:p>
    <w:p>
      <w:pPr>
        <w:pStyle w:val="BodyText"/>
        <w:spacing w:before="5"/>
        <w:ind w:left="18"/>
      </w:pPr>
      <w:r>
        <w:rPr/>
        <w:br w:type="column"/>
      </w:r>
      <w:r>
        <w:rPr/>
        <w:t>yr</w:t>
      </w:r>
      <w:r>
        <w:rPr>
          <w:position w:val="7"/>
          <w:sz w:val="11"/>
        </w:rPr>
        <w:t>-1 </w:t>
      </w:r>
      <w:hyperlink w:history="true" w:anchor="_bookmark8">
        <w:r>
          <w:rPr/>
          <w:t>(Figure </w:t>
        </w:r>
      </w:hyperlink>
      <w:r>
        <w:rPr/>
        <w:t>5.5). Cost will depend,</w:t>
      </w:r>
    </w:p>
    <w:p>
      <w:pPr>
        <w:spacing w:after="0"/>
        <w:sectPr>
          <w:type w:val="continuous"/>
          <w:pgSz w:w="12240" w:h="15840"/>
          <w:pgMar w:top="400" w:bottom="280" w:left="580" w:right="600"/>
          <w:cols w:num="3" w:equalWidth="0">
            <w:col w:w="5241" w:space="86"/>
            <w:col w:w="2329" w:space="39"/>
            <w:col w:w="3365"/>
          </w:cols>
        </w:sectPr>
      </w:pPr>
    </w:p>
    <w:p>
      <w:pPr>
        <w:pStyle w:val="BodyText"/>
        <w:spacing w:line="194" w:lineRule="exact"/>
        <w:ind w:left="157"/>
        <w:jc w:val="both"/>
      </w:pPr>
      <w:r>
        <w:rPr/>
        <w:t>and interpretation.</w:t>
      </w:r>
    </w:p>
    <w:p>
      <w:pPr>
        <w:pStyle w:val="BodyText"/>
        <w:spacing w:before="8"/>
        <w:rPr>
          <w:sz w:val="21"/>
        </w:rPr>
      </w:pPr>
    </w:p>
    <w:p>
      <w:pPr>
        <w:pStyle w:val="Heading1"/>
        <w:numPr>
          <w:ilvl w:val="1"/>
          <w:numId w:val="7"/>
        </w:numPr>
        <w:tabs>
          <w:tab w:pos="865" w:val="left" w:leader="none"/>
          <w:tab w:pos="866" w:val="left" w:leader="none"/>
        </w:tabs>
        <w:spacing w:line="240" w:lineRule="auto" w:before="0" w:after="0"/>
        <w:ind w:left="866" w:right="0" w:hanging="709"/>
        <w:jc w:val="left"/>
      </w:pPr>
      <w:r>
        <w:rPr/>
        <w:t>Injection well technology and field</w:t>
      </w:r>
      <w:r>
        <w:rPr>
          <w:spacing w:val="-12"/>
        </w:rPr>
        <w:t> </w:t>
      </w:r>
      <w:r>
        <w:rPr/>
        <w:t>operations</w:t>
      </w:r>
    </w:p>
    <w:p>
      <w:pPr>
        <w:pStyle w:val="BodyText"/>
        <w:spacing w:before="9"/>
        <w:rPr>
          <w:b/>
          <w:sz w:val="21"/>
        </w:rPr>
      </w:pPr>
    </w:p>
    <w:p>
      <w:pPr>
        <w:pStyle w:val="BodyText"/>
        <w:spacing w:line="249" w:lineRule="auto"/>
        <w:ind w:left="157" w:right="38"/>
        <w:jc w:val="both"/>
        <w:rPr>
          <w:sz w:val="11"/>
        </w:rPr>
      </w:pPr>
      <w:r>
        <w:rPr/>
        <w:t>So far in this chapter, we have considered only the nature of the storage site. But once a suitable site is identified, do we have the technology available to inject large quantities of CO</w:t>
      </w:r>
      <w:r>
        <w:rPr>
          <w:position w:val="-6"/>
          <w:sz w:val="11"/>
        </w:rPr>
        <w:t>2</w:t>
      </w:r>
    </w:p>
    <w:p>
      <w:pPr>
        <w:pStyle w:val="BodyText"/>
        <w:spacing w:line="194" w:lineRule="exact"/>
        <w:ind w:left="157"/>
        <w:jc w:val="both"/>
      </w:pPr>
      <w:r>
        <w:rPr/>
        <w:br w:type="column"/>
      </w:r>
      <w:r>
        <w:rPr/>
        <w:t>to some degree, on the number and completion techniques for</w:t>
      </w:r>
    </w:p>
    <w:p>
      <w:pPr>
        <w:pStyle w:val="BodyText"/>
        <w:spacing w:line="249" w:lineRule="auto" w:before="10"/>
        <w:ind w:left="157" w:right="531"/>
        <w:jc w:val="both"/>
      </w:pPr>
      <w:r>
        <w:rPr/>
        <w:t>these wells. Therefore, careful design and optimization of the number and slotted intervals is important for cost-effective storage projects.</w:t>
      </w:r>
    </w:p>
    <w:p>
      <w:pPr>
        <w:pStyle w:val="BodyText"/>
        <w:spacing w:before="2"/>
        <w:ind w:left="440"/>
        <w:jc w:val="both"/>
      </w:pPr>
      <w:r>
        <w:rPr/>
        <w:t>An</w:t>
      </w:r>
      <w:r>
        <w:rPr>
          <w:spacing w:val="33"/>
        </w:rPr>
        <w:t> </w:t>
      </w:r>
      <w:r>
        <w:rPr/>
        <w:t>injection</w:t>
      </w:r>
      <w:r>
        <w:rPr>
          <w:spacing w:val="33"/>
        </w:rPr>
        <w:t> </w:t>
      </w:r>
      <w:r>
        <w:rPr/>
        <w:t>well</w:t>
      </w:r>
      <w:r>
        <w:rPr>
          <w:spacing w:val="33"/>
        </w:rPr>
        <w:t> </w:t>
      </w:r>
      <w:r>
        <w:rPr/>
        <w:t>and</w:t>
      </w:r>
      <w:r>
        <w:rPr>
          <w:spacing w:val="33"/>
        </w:rPr>
        <w:t> </w:t>
      </w:r>
      <w:r>
        <w:rPr/>
        <w:t>a</w:t>
      </w:r>
      <w:r>
        <w:rPr>
          <w:spacing w:val="33"/>
        </w:rPr>
        <w:t> </w:t>
      </w:r>
      <w:r>
        <w:rPr/>
        <w:t>wellhead</w:t>
      </w:r>
      <w:r>
        <w:rPr>
          <w:spacing w:val="33"/>
        </w:rPr>
        <w:t> </w:t>
      </w:r>
      <w:r>
        <w:rPr/>
        <w:t>are</w:t>
      </w:r>
      <w:r>
        <w:rPr>
          <w:spacing w:val="33"/>
        </w:rPr>
        <w:t> </w:t>
      </w:r>
      <w:r>
        <w:rPr/>
        <w:t>depicted</w:t>
      </w:r>
      <w:r>
        <w:rPr>
          <w:spacing w:val="33"/>
        </w:rPr>
        <w:t> </w:t>
      </w:r>
      <w:r>
        <w:rPr/>
        <w:t>in</w:t>
      </w:r>
      <w:r>
        <w:rPr>
          <w:spacing w:val="34"/>
        </w:rPr>
        <w:t> </w:t>
      </w:r>
      <w:hyperlink w:history="true" w:anchor="_bookmark34">
        <w:r>
          <w:rPr/>
          <w:t>Figure</w:t>
        </w:r>
      </w:hyperlink>
    </w:p>
    <w:p>
      <w:pPr>
        <w:pStyle w:val="BodyText"/>
        <w:spacing w:line="249" w:lineRule="auto" w:before="10"/>
        <w:ind w:left="157" w:right="531"/>
        <w:jc w:val="both"/>
      </w:pPr>
      <w:hyperlink w:history="true" w:anchor="_bookmark34">
        <w:r>
          <w:rPr/>
          <w:t>5.20. </w:t>
        </w:r>
      </w:hyperlink>
      <w:r>
        <w:rPr/>
        <w:t>Injection wells commonly are equipped with two valves for well control, one for regular use and one reserved for</w:t>
      </w:r>
      <w:r>
        <w:rPr>
          <w:spacing w:val="-32"/>
        </w:rPr>
        <w:t> </w:t>
      </w:r>
      <w:r>
        <w:rPr/>
        <w:t>safety</w:t>
      </w:r>
    </w:p>
    <w:p>
      <w:pPr>
        <w:spacing w:after="0" w:line="249" w:lineRule="auto"/>
        <w:jc w:val="both"/>
        <w:sectPr>
          <w:type w:val="continuous"/>
          <w:pgSz w:w="12240" w:h="15840"/>
          <w:pgMar w:top="400" w:bottom="280" w:left="580" w:right="600"/>
          <w:cols w:num="2" w:equalWidth="0">
            <w:col w:w="5241" w:space="86"/>
            <w:col w:w="5733"/>
          </w:cols>
        </w:sectPr>
      </w:pPr>
    </w:p>
    <w:p>
      <w:pPr>
        <w:pStyle w:val="BodyText"/>
        <w:spacing w:line="177" w:lineRule="auto"/>
        <w:ind w:left="157"/>
        <w:rPr>
          <w:sz w:val="11"/>
        </w:rPr>
      </w:pPr>
      <w:r>
        <w:rPr/>
        <w:t>(1–10 MtCO</w:t>
      </w:r>
      <w:r>
        <w:rPr>
          <w:position w:val="-6"/>
          <w:sz w:val="11"/>
        </w:rPr>
        <w:t>2</w:t>
      </w:r>
    </w:p>
    <w:p>
      <w:pPr>
        <w:pStyle w:val="BodyText"/>
        <w:spacing w:line="182" w:lineRule="exact"/>
        <w:ind w:left="31"/>
      </w:pPr>
      <w:r>
        <w:rPr/>
        <w:br w:type="column"/>
      </w:r>
      <w:r>
        <w:rPr/>
        <w:t>yr</w:t>
      </w:r>
      <w:r>
        <w:rPr>
          <w:position w:val="7"/>
          <w:sz w:val="11"/>
        </w:rPr>
        <w:t>-1</w:t>
      </w:r>
      <w:r>
        <w:rPr/>
        <w:t>) into the subsurface and to operate the site</w:t>
      </w:r>
    </w:p>
    <w:p>
      <w:pPr>
        <w:pStyle w:val="BodyText"/>
        <w:spacing w:line="182" w:lineRule="exact"/>
        <w:ind w:left="157"/>
      </w:pPr>
      <w:r>
        <w:rPr/>
        <w:br w:type="column"/>
      </w:r>
      <w:r>
        <w:rPr/>
        <w:t>shutoff. In acid gas injection wells, a downhole safety valve</w:t>
      </w:r>
    </w:p>
    <w:p>
      <w:pPr>
        <w:spacing w:after="0" w:line="182" w:lineRule="exact"/>
        <w:sectPr>
          <w:type w:val="continuous"/>
          <w:pgSz w:w="12240" w:h="15840"/>
          <w:pgMar w:top="400" w:bottom="280" w:left="580" w:right="600"/>
          <w:cols w:num="3" w:equalWidth="0">
            <w:col w:w="1265" w:space="40"/>
            <w:col w:w="3935" w:space="86"/>
            <w:col w:w="5734"/>
          </w:cols>
        </w:sectPr>
      </w:pPr>
    </w:p>
    <w:p>
      <w:pPr>
        <w:pStyle w:val="BodyText"/>
        <w:spacing w:line="201" w:lineRule="exact"/>
        <w:ind w:left="157"/>
        <w:jc w:val="both"/>
      </w:pPr>
      <w:r>
        <w:rPr/>
        <w:t>effectively and safely? This section examines the issue of</w:t>
      </w:r>
    </w:p>
    <w:p>
      <w:pPr>
        <w:pStyle w:val="BodyText"/>
        <w:spacing w:before="10"/>
        <w:ind w:left="157"/>
        <w:jc w:val="both"/>
      </w:pPr>
      <w:r>
        <w:rPr/>
        <w:t>technology availability.</w:t>
      </w:r>
    </w:p>
    <w:p>
      <w:pPr>
        <w:pStyle w:val="BodyText"/>
        <w:spacing w:before="8"/>
        <w:rPr>
          <w:sz w:val="21"/>
        </w:rPr>
      </w:pPr>
    </w:p>
    <w:p>
      <w:pPr>
        <w:pStyle w:val="Heading2"/>
        <w:numPr>
          <w:ilvl w:val="2"/>
          <w:numId w:val="7"/>
        </w:numPr>
        <w:tabs>
          <w:tab w:pos="976" w:val="left" w:leader="none"/>
          <w:tab w:pos="977" w:val="left" w:leader="none"/>
        </w:tabs>
        <w:spacing w:line="240" w:lineRule="auto" w:before="0" w:after="0"/>
        <w:ind w:left="977" w:right="0" w:hanging="820"/>
        <w:jc w:val="left"/>
        <w:rPr>
          <w:i/>
        </w:rPr>
      </w:pPr>
      <w:r>
        <w:rPr>
          <w:i/>
        </w:rPr>
        <w:t>Injection well</w:t>
      </w:r>
      <w:r>
        <w:rPr>
          <w:i/>
          <w:spacing w:val="-2"/>
        </w:rPr>
        <w:t> </w:t>
      </w:r>
      <w:r>
        <w:rPr>
          <w:i/>
        </w:rPr>
        <w:t>technologies</w:t>
      </w:r>
    </w:p>
    <w:p>
      <w:pPr>
        <w:pStyle w:val="BodyText"/>
        <w:spacing w:before="3"/>
        <w:rPr>
          <w:b/>
          <w:i/>
          <w:sz w:val="21"/>
        </w:rPr>
      </w:pPr>
    </w:p>
    <w:p>
      <w:pPr>
        <w:pStyle w:val="BodyText"/>
        <w:spacing w:line="240" w:lineRule="exact" w:before="1"/>
        <w:ind w:left="157" w:right="38"/>
        <w:jc w:val="both"/>
      </w:pPr>
      <w:r>
        <w:rPr/>
        <w:t>As pointed out earlier in this chapter, many of the </w:t>
      </w:r>
      <w:r>
        <w:rPr>
          <w:spacing w:val="-2"/>
        </w:rPr>
        <w:t>technologies </w:t>
      </w:r>
      <w:r>
        <w:rPr/>
        <w:t>required for large-scale geological storage of CO</w:t>
      </w:r>
      <w:r>
        <w:rPr>
          <w:position w:val="-6"/>
          <w:sz w:val="11"/>
        </w:rPr>
        <w:t>2 </w:t>
      </w:r>
      <w:r>
        <w:rPr/>
        <w:t>already exist. Drilling and completion technology for injection wells in</w:t>
      </w:r>
      <w:r>
        <w:rPr>
          <w:spacing w:val="-5"/>
        </w:rPr>
        <w:t> </w:t>
      </w:r>
      <w:r>
        <w:rPr/>
        <w:t>the</w:t>
      </w:r>
      <w:r>
        <w:rPr>
          <w:spacing w:val="-4"/>
        </w:rPr>
        <w:t> </w:t>
      </w:r>
      <w:r>
        <w:rPr/>
        <w:t>oil</w:t>
      </w:r>
      <w:r>
        <w:rPr>
          <w:spacing w:val="-4"/>
        </w:rPr>
        <w:t> </w:t>
      </w:r>
      <w:r>
        <w:rPr/>
        <w:t>and</w:t>
      </w:r>
      <w:r>
        <w:rPr>
          <w:spacing w:val="-4"/>
        </w:rPr>
        <w:t> </w:t>
      </w:r>
      <w:r>
        <w:rPr/>
        <w:t>gas</w:t>
      </w:r>
      <w:r>
        <w:rPr>
          <w:spacing w:val="-4"/>
        </w:rPr>
        <w:t> </w:t>
      </w:r>
      <w:r>
        <w:rPr/>
        <w:t>industry</w:t>
      </w:r>
      <w:r>
        <w:rPr>
          <w:spacing w:val="-4"/>
        </w:rPr>
        <w:t> </w:t>
      </w:r>
      <w:r>
        <w:rPr/>
        <w:t>has</w:t>
      </w:r>
      <w:r>
        <w:rPr>
          <w:spacing w:val="-4"/>
        </w:rPr>
        <w:t> </w:t>
      </w:r>
      <w:r>
        <w:rPr/>
        <w:t>evolved</w:t>
      </w:r>
      <w:r>
        <w:rPr>
          <w:spacing w:val="-5"/>
        </w:rPr>
        <w:t> </w:t>
      </w:r>
      <w:r>
        <w:rPr/>
        <w:t>to</w:t>
      </w:r>
      <w:r>
        <w:rPr>
          <w:spacing w:val="-4"/>
        </w:rPr>
        <w:t> </w:t>
      </w:r>
      <w:r>
        <w:rPr/>
        <w:t>a</w:t>
      </w:r>
      <w:r>
        <w:rPr>
          <w:spacing w:val="-4"/>
        </w:rPr>
        <w:t> </w:t>
      </w:r>
      <w:r>
        <w:rPr/>
        <w:t>highly</w:t>
      </w:r>
      <w:r>
        <w:rPr>
          <w:spacing w:val="-4"/>
        </w:rPr>
        <w:t> </w:t>
      </w:r>
      <w:r>
        <w:rPr/>
        <w:t>sophisticated state, such that it is now possible to drill and complete vertical and extended reach wells (including horizontal wells) in deep formations, wells with multiple completions and wells able to handle corrosive fluids. On the basis of extensive oil industry experience,</w:t>
      </w:r>
      <w:r>
        <w:rPr>
          <w:spacing w:val="-7"/>
        </w:rPr>
        <w:t> </w:t>
      </w:r>
      <w:r>
        <w:rPr/>
        <w:t>the</w:t>
      </w:r>
      <w:r>
        <w:rPr>
          <w:spacing w:val="-7"/>
        </w:rPr>
        <w:t> </w:t>
      </w:r>
      <w:r>
        <w:rPr/>
        <w:t>technologies</w:t>
      </w:r>
      <w:r>
        <w:rPr>
          <w:spacing w:val="-7"/>
        </w:rPr>
        <w:t> </w:t>
      </w:r>
      <w:r>
        <w:rPr/>
        <w:t>for</w:t>
      </w:r>
      <w:r>
        <w:rPr>
          <w:spacing w:val="-7"/>
        </w:rPr>
        <w:t> </w:t>
      </w:r>
      <w:r>
        <w:rPr/>
        <w:t>drilling,</w:t>
      </w:r>
      <w:r>
        <w:rPr>
          <w:spacing w:val="-7"/>
        </w:rPr>
        <w:t> </w:t>
      </w:r>
      <w:r>
        <w:rPr/>
        <w:t>injection,</w:t>
      </w:r>
      <w:r>
        <w:rPr>
          <w:spacing w:val="-7"/>
        </w:rPr>
        <w:t> </w:t>
      </w:r>
      <w:r>
        <w:rPr/>
        <w:t>stimulations and</w:t>
      </w:r>
      <w:r>
        <w:rPr>
          <w:spacing w:val="30"/>
        </w:rPr>
        <w:t> </w:t>
      </w:r>
      <w:r>
        <w:rPr/>
        <w:t>completions</w:t>
      </w:r>
      <w:r>
        <w:rPr>
          <w:spacing w:val="31"/>
        </w:rPr>
        <w:t> </w:t>
      </w:r>
      <w:r>
        <w:rPr/>
        <w:t>for</w:t>
      </w:r>
      <w:r>
        <w:rPr>
          <w:spacing w:val="31"/>
        </w:rPr>
        <w:t> </w:t>
      </w:r>
      <w:r>
        <w:rPr/>
        <w:t>CO</w:t>
      </w:r>
      <w:r>
        <w:rPr>
          <w:position w:val="-6"/>
          <w:sz w:val="11"/>
        </w:rPr>
        <w:t>2</w:t>
      </w:r>
      <w:r>
        <w:rPr>
          <w:spacing w:val="25"/>
          <w:position w:val="-6"/>
          <w:sz w:val="11"/>
        </w:rPr>
        <w:t> </w:t>
      </w:r>
      <w:r>
        <w:rPr/>
        <w:t>injection</w:t>
      </w:r>
      <w:r>
        <w:rPr>
          <w:spacing w:val="31"/>
        </w:rPr>
        <w:t> </w:t>
      </w:r>
      <w:r>
        <w:rPr/>
        <w:t>wells</w:t>
      </w:r>
      <w:r>
        <w:rPr>
          <w:spacing w:val="30"/>
        </w:rPr>
        <w:t> </w:t>
      </w:r>
      <w:r>
        <w:rPr/>
        <w:t>exist</w:t>
      </w:r>
      <w:r>
        <w:rPr>
          <w:spacing w:val="31"/>
        </w:rPr>
        <w:t> </w:t>
      </w:r>
      <w:r>
        <w:rPr/>
        <w:t>and</w:t>
      </w:r>
      <w:r>
        <w:rPr>
          <w:spacing w:val="31"/>
        </w:rPr>
        <w:t> </w:t>
      </w:r>
      <w:r>
        <w:rPr/>
        <w:t>are</w:t>
      </w:r>
      <w:r>
        <w:rPr>
          <w:spacing w:val="30"/>
        </w:rPr>
        <w:t> </w:t>
      </w:r>
      <w:r>
        <w:rPr/>
        <w:t>being</w:t>
      </w:r>
    </w:p>
    <w:p>
      <w:pPr>
        <w:pStyle w:val="BodyText"/>
        <w:spacing w:line="201" w:lineRule="exact"/>
        <w:ind w:left="157"/>
        <w:jc w:val="both"/>
      </w:pPr>
      <w:r>
        <w:rPr/>
        <w:br w:type="column"/>
      </w:r>
      <w:r>
        <w:rPr/>
        <w:t>is</w:t>
      </w:r>
      <w:r>
        <w:rPr>
          <w:spacing w:val="18"/>
        </w:rPr>
        <w:t> </w:t>
      </w:r>
      <w:r>
        <w:rPr/>
        <w:t>incorporated</w:t>
      </w:r>
      <w:r>
        <w:rPr>
          <w:spacing w:val="19"/>
        </w:rPr>
        <w:t> </w:t>
      </w:r>
      <w:r>
        <w:rPr/>
        <w:t>in</w:t>
      </w:r>
      <w:r>
        <w:rPr>
          <w:spacing w:val="19"/>
        </w:rPr>
        <w:t> </w:t>
      </w:r>
      <w:r>
        <w:rPr/>
        <w:t>the</w:t>
      </w:r>
      <w:r>
        <w:rPr>
          <w:spacing w:val="19"/>
        </w:rPr>
        <w:t> </w:t>
      </w:r>
      <w:r>
        <w:rPr/>
        <w:t>tubing,</w:t>
      </w:r>
      <w:r>
        <w:rPr>
          <w:spacing w:val="19"/>
        </w:rPr>
        <w:t> </w:t>
      </w:r>
      <w:r>
        <w:rPr/>
        <w:t>so</w:t>
      </w:r>
      <w:r>
        <w:rPr>
          <w:spacing w:val="19"/>
        </w:rPr>
        <w:t> </w:t>
      </w:r>
      <w:r>
        <w:rPr/>
        <w:t>that</w:t>
      </w:r>
      <w:r>
        <w:rPr>
          <w:spacing w:val="19"/>
        </w:rPr>
        <w:t> </w:t>
      </w:r>
      <w:r>
        <w:rPr/>
        <w:t>if</w:t>
      </w:r>
      <w:r>
        <w:rPr>
          <w:spacing w:val="19"/>
        </w:rPr>
        <w:t> </w:t>
      </w:r>
      <w:r>
        <w:rPr/>
        <w:t>equipment</w:t>
      </w:r>
      <w:r>
        <w:rPr>
          <w:spacing w:val="19"/>
        </w:rPr>
        <w:t> </w:t>
      </w:r>
      <w:r>
        <w:rPr/>
        <w:t>fails</w:t>
      </w:r>
      <w:r>
        <w:rPr>
          <w:spacing w:val="19"/>
        </w:rPr>
        <w:t> </w:t>
      </w:r>
      <w:r>
        <w:rPr/>
        <w:t>at</w:t>
      </w:r>
      <w:r>
        <w:rPr>
          <w:spacing w:val="19"/>
        </w:rPr>
        <w:t> </w:t>
      </w:r>
      <w:r>
        <w:rPr/>
        <w:t>the</w:t>
      </w:r>
    </w:p>
    <w:p>
      <w:pPr>
        <w:pStyle w:val="BodyText"/>
        <w:spacing w:line="240" w:lineRule="exact" w:before="4"/>
        <w:ind w:left="157" w:right="530"/>
        <w:jc w:val="both"/>
      </w:pPr>
      <w:r>
        <w:rPr/>
        <w:t>surface, the well is automatically shut down to prevent back </w:t>
      </w:r>
      <w:r>
        <w:rPr>
          <w:spacing w:val="-4"/>
        </w:rPr>
        <w:t>flow.</w:t>
      </w:r>
      <w:r>
        <w:rPr>
          <w:spacing w:val="-15"/>
        </w:rPr>
        <w:t> </w:t>
      </w:r>
      <w:r>
        <w:rPr/>
        <w:t>Jarrell</w:t>
      </w:r>
      <w:r>
        <w:rPr>
          <w:spacing w:val="-13"/>
        </w:rPr>
        <w:t> </w:t>
      </w:r>
      <w:r>
        <w:rPr>
          <w:i/>
        </w:rPr>
        <w:t>et</w:t>
      </w:r>
      <w:r>
        <w:rPr>
          <w:i/>
          <w:spacing w:val="-15"/>
        </w:rPr>
        <w:t> </w:t>
      </w:r>
      <w:r>
        <w:rPr>
          <w:i/>
        </w:rPr>
        <w:t>al.</w:t>
      </w:r>
      <w:r>
        <w:rPr>
          <w:i/>
          <w:spacing w:val="-14"/>
        </w:rPr>
        <w:t> </w:t>
      </w:r>
      <w:r>
        <w:rPr/>
        <w:t>(2002)</w:t>
      </w:r>
      <w:r>
        <w:rPr>
          <w:spacing w:val="-14"/>
        </w:rPr>
        <w:t> </w:t>
      </w:r>
      <w:r>
        <w:rPr/>
        <w:t>recommend</w:t>
      </w:r>
      <w:r>
        <w:rPr>
          <w:spacing w:val="-15"/>
        </w:rPr>
        <w:t> </w:t>
      </w:r>
      <w:r>
        <w:rPr/>
        <w:t>an</w:t>
      </w:r>
      <w:r>
        <w:rPr>
          <w:spacing w:val="-14"/>
        </w:rPr>
        <w:t> </w:t>
      </w:r>
      <w:r>
        <w:rPr/>
        <w:t>automatic</w:t>
      </w:r>
      <w:r>
        <w:rPr>
          <w:spacing w:val="-14"/>
        </w:rPr>
        <w:t> </w:t>
      </w:r>
      <w:r>
        <w:rPr/>
        <w:t>shutoff</w:t>
      </w:r>
      <w:r>
        <w:rPr>
          <w:spacing w:val="-15"/>
        </w:rPr>
        <w:t> </w:t>
      </w:r>
      <w:r>
        <w:rPr/>
        <w:t>valve on all CO</w:t>
      </w:r>
      <w:r>
        <w:rPr>
          <w:position w:val="-6"/>
          <w:sz w:val="11"/>
        </w:rPr>
        <w:t>2 </w:t>
      </w:r>
      <w:r>
        <w:rPr/>
        <w:t>wells to ensure that no release occurs and to prevent CO</w:t>
      </w:r>
      <w:r>
        <w:rPr>
          <w:position w:val="-6"/>
          <w:sz w:val="11"/>
        </w:rPr>
        <w:t>2 </w:t>
      </w:r>
      <w:r>
        <w:rPr/>
        <w:t>from inadvertently flowing back into the injection system. A</w:t>
      </w:r>
      <w:r>
        <w:rPr>
          <w:spacing w:val="-17"/>
        </w:rPr>
        <w:t> </w:t>
      </w:r>
      <w:r>
        <w:rPr/>
        <w:t>typical</w:t>
      </w:r>
      <w:r>
        <w:rPr>
          <w:spacing w:val="-6"/>
        </w:rPr>
        <w:t> </w:t>
      </w:r>
      <w:r>
        <w:rPr/>
        <w:t>downhole</w:t>
      </w:r>
      <w:r>
        <w:rPr>
          <w:spacing w:val="-6"/>
        </w:rPr>
        <w:t> </w:t>
      </w:r>
      <w:r>
        <w:rPr/>
        <w:t>configuration</w:t>
      </w:r>
      <w:r>
        <w:rPr>
          <w:spacing w:val="-6"/>
        </w:rPr>
        <w:t> </w:t>
      </w:r>
      <w:r>
        <w:rPr/>
        <w:t>for</w:t>
      </w:r>
      <w:r>
        <w:rPr>
          <w:spacing w:val="-6"/>
        </w:rPr>
        <w:t> </w:t>
      </w:r>
      <w:r>
        <w:rPr/>
        <w:t>an</w:t>
      </w:r>
      <w:r>
        <w:rPr>
          <w:spacing w:val="-6"/>
        </w:rPr>
        <w:t> </w:t>
      </w:r>
      <w:r>
        <w:rPr/>
        <w:t>injection</w:t>
      </w:r>
      <w:r>
        <w:rPr>
          <w:spacing w:val="-6"/>
        </w:rPr>
        <w:t> </w:t>
      </w:r>
      <w:r>
        <w:rPr/>
        <w:t>well</w:t>
      </w:r>
      <w:r>
        <w:rPr>
          <w:spacing w:val="-7"/>
        </w:rPr>
        <w:t> </w:t>
      </w:r>
      <w:r>
        <w:rPr/>
        <w:t>includes a double-grip packer, an on-off tool and a downhole shutoff valve. Annular pressure monitors help detect leaks in packers and tubing, which is important for taking rapid corrective action. </w:t>
      </w:r>
      <w:r>
        <w:rPr>
          <w:spacing w:val="-7"/>
        </w:rPr>
        <w:t>To </w:t>
      </w:r>
      <w:r>
        <w:rPr/>
        <w:t>prevent dangerous high-pressure buildup on surface equipment and avoid CO</w:t>
      </w:r>
      <w:r>
        <w:rPr>
          <w:position w:val="-6"/>
          <w:sz w:val="11"/>
        </w:rPr>
        <w:t>2 </w:t>
      </w:r>
      <w:r>
        <w:rPr/>
        <w:t>releases into the atmosphere, </w:t>
      </w:r>
      <w:r>
        <w:rPr>
          <w:spacing w:val="-6"/>
        </w:rPr>
        <w:t>CO</w:t>
      </w:r>
      <w:r>
        <w:rPr>
          <w:spacing w:val="-6"/>
          <w:position w:val="-6"/>
          <w:sz w:val="11"/>
        </w:rPr>
        <w:t>2 </w:t>
      </w:r>
      <w:r>
        <w:rPr/>
        <w:t>injection</w:t>
      </w:r>
      <w:r>
        <w:rPr>
          <w:spacing w:val="-4"/>
        </w:rPr>
        <w:t> </w:t>
      </w:r>
      <w:r>
        <w:rPr/>
        <w:t>must</w:t>
      </w:r>
      <w:r>
        <w:rPr>
          <w:spacing w:val="-4"/>
        </w:rPr>
        <w:t> </w:t>
      </w:r>
      <w:r>
        <w:rPr/>
        <w:t>be</w:t>
      </w:r>
      <w:r>
        <w:rPr>
          <w:spacing w:val="-4"/>
        </w:rPr>
        <w:t> </w:t>
      </w:r>
      <w:r>
        <w:rPr/>
        <w:t>stopped</w:t>
      </w:r>
      <w:r>
        <w:rPr>
          <w:spacing w:val="-4"/>
        </w:rPr>
        <w:t> </w:t>
      </w:r>
      <w:r>
        <w:rPr/>
        <w:t>as</w:t>
      </w:r>
      <w:r>
        <w:rPr>
          <w:spacing w:val="-4"/>
        </w:rPr>
        <w:t> </w:t>
      </w:r>
      <w:r>
        <w:rPr/>
        <w:t>soon</w:t>
      </w:r>
      <w:r>
        <w:rPr>
          <w:spacing w:val="-4"/>
        </w:rPr>
        <w:t> </w:t>
      </w:r>
      <w:r>
        <w:rPr/>
        <w:t>as</w:t>
      </w:r>
      <w:r>
        <w:rPr>
          <w:spacing w:val="-4"/>
        </w:rPr>
        <w:t> </w:t>
      </w:r>
      <w:r>
        <w:rPr/>
        <w:t>leaks</w:t>
      </w:r>
      <w:r>
        <w:rPr>
          <w:spacing w:val="-4"/>
        </w:rPr>
        <w:t> </w:t>
      </w:r>
      <w:r>
        <w:rPr/>
        <w:t>occur.</w:t>
      </w:r>
      <w:r>
        <w:rPr>
          <w:spacing w:val="-4"/>
        </w:rPr>
        <w:t> </w:t>
      </w:r>
      <w:r>
        <w:rPr/>
        <w:t>Rupture</w:t>
      </w:r>
      <w:r>
        <w:rPr>
          <w:spacing w:val="-4"/>
        </w:rPr>
        <w:t> </w:t>
      </w:r>
      <w:r>
        <w:rPr/>
        <w:t>disks and safety valves can be used to relieve built-up pressure. Adequate</w:t>
      </w:r>
      <w:r>
        <w:rPr>
          <w:spacing w:val="-4"/>
        </w:rPr>
        <w:t> </w:t>
      </w:r>
      <w:r>
        <w:rPr/>
        <w:t>plans</w:t>
      </w:r>
      <w:r>
        <w:rPr>
          <w:spacing w:val="-4"/>
        </w:rPr>
        <w:t> </w:t>
      </w:r>
      <w:r>
        <w:rPr/>
        <w:t>need</w:t>
      </w:r>
      <w:r>
        <w:rPr>
          <w:spacing w:val="-3"/>
        </w:rPr>
        <w:t> </w:t>
      </w:r>
      <w:r>
        <w:rPr/>
        <w:t>to</w:t>
      </w:r>
      <w:r>
        <w:rPr>
          <w:spacing w:val="-4"/>
        </w:rPr>
        <w:t> </w:t>
      </w:r>
      <w:r>
        <w:rPr/>
        <w:t>be</w:t>
      </w:r>
      <w:r>
        <w:rPr>
          <w:spacing w:val="-3"/>
        </w:rPr>
        <w:t> </w:t>
      </w:r>
      <w:r>
        <w:rPr/>
        <w:t>in</w:t>
      </w:r>
      <w:r>
        <w:rPr>
          <w:spacing w:val="-4"/>
        </w:rPr>
        <w:t> </w:t>
      </w:r>
      <w:r>
        <w:rPr/>
        <w:t>place</w:t>
      </w:r>
      <w:r>
        <w:rPr>
          <w:spacing w:val="-4"/>
        </w:rPr>
        <w:t> </w:t>
      </w:r>
      <w:r>
        <w:rPr/>
        <w:t>for</w:t>
      </w:r>
      <w:r>
        <w:rPr>
          <w:spacing w:val="-3"/>
        </w:rPr>
        <w:t> </w:t>
      </w:r>
      <w:r>
        <w:rPr/>
        <w:t>dealing</w:t>
      </w:r>
      <w:r>
        <w:rPr>
          <w:spacing w:val="-4"/>
        </w:rPr>
        <w:t> </w:t>
      </w:r>
      <w:r>
        <w:rPr/>
        <w:t>with</w:t>
      </w:r>
      <w:r>
        <w:rPr>
          <w:spacing w:val="-3"/>
        </w:rPr>
        <w:t> </w:t>
      </w:r>
      <w:r>
        <w:rPr/>
        <w:t>excess</w:t>
      </w:r>
      <w:r>
        <w:rPr>
          <w:spacing w:val="-4"/>
        </w:rPr>
        <w:t> </w:t>
      </w:r>
      <w:r>
        <w:rPr/>
        <w:t>CO</w:t>
      </w:r>
      <w:r>
        <w:rPr>
          <w:position w:val="-6"/>
          <w:sz w:val="11"/>
        </w:rPr>
        <w:t>2 </w:t>
      </w:r>
      <w:r>
        <w:rPr/>
        <w:t>if</w:t>
      </w:r>
      <w:r>
        <w:rPr>
          <w:spacing w:val="-5"/>
        </w:rPr>
        <w:t> </w:t>
      </w:r>
      <w:r>
        <w:rPr/>
        <w:t>the</w:t>
      </w:r>
      <w:r>
        <w:rPr>
          <w:spacing w:val="-4"/>
        </w:rPr>
        <w:t> </w:t>
      </w:r>
      <w:r>
        <w:rPr/>
        <w:t>injection</w:t>
      </w:r>
      <w:r>
        <w:rPr>
          <w:spacing w:val="-4"/>
        </w:rPr>
        <w:t> </w:t>
      </w:r>
      <w:r>
        <w:rPr/>
        <w:t>well</w:t>
      </w:r>
      <w:r>
        <w:rPr>
          <w:spacing w:val="-4"/>
        </w:rPr>
        <w:t> </w:t>
      </w:r>
      <w:r>
        <w:rPr/>
        <w:t>needs</w:t>
      </w:r>
      <w:r>
        <w:rPr>
          <w:spacing w:val="-4"/>
        </w:rPr>
        <w:t> </w:t>
      </w:r>
      <w:r>
        <w:rPr/>
        <w:t>to</w:t>
      </w:r>
      <w:r>
        <w:rPr>
          <w:spacing w:val="-4"/>
        </w:rPr>
        <w:t> </w:t>
      </w:r>
      <w:r>
        <w:rPr/>
        <w:t>be</w:t>
      </w:r>
      <w:r>
        <w:rPr>
          <w:spacing w:val="-4"/>
        </w:rPr>
        <w:t> </w:t>
      </w:r>
      <w:r>
        <w:rPr/>
        <w:t>shut</w:t>
      </w:r>
      <w:r>
        <w:rPr>
          <w:spacing w:val="-4"/>
        </w:rPr>
        <w:t> </w:t>
      </w:r>
      <w:r>
        <w:rPr/>
        <w:t>in.</w:t>
      </w:r>
      <w:r>
        <w:rPr>
          <w:spacing w:val="-4"/>
        </w:rPr>
        <w:t> </w:t>
      </w:r>
      <w:r>
        <w:rPr/>
        <w:t>Options</w:t>
      </w:r>
      <w:r>
        <w:rPr>
          <w:spacing w:val="-4"/>
        </w:rPr>
        <w:t> </w:t>
      </w:r>
      <w:r>
        <w:rPr/>
        <w:t>include</w:t>
      </w:r>
      <w:r>
        <w:rPr>
          <w:spacing w:val="-4"/>
        </w:rPr>
        <w:t> </w:t>
      </w:r>
      <w:r>
        <w:rPr/>
        <w:t>having</w:t>
      </w:r>
    </w:p>
    <w:p>
      <w:pPr>
        <w:spacing w:after="0" w:line="240" w:lineRule="exact"/>
        <w:jc w:val="both"/>
        <w:sectPr>
          <w:type w:val="continuous"/>
          <w:pgSz w:w="12240" w:h="15840"/>
          <w:pgMar w:top="400" w:bottom="280" w:left="580" w:right="600"/>
          <w:cols w:num="2" w:equalWidth="0">
            <w:col w:w="5242" w:space="85"/>
            <w:col w:w="5733"/>
          </w:cols>
        </w:sectPr>
      </w:pPr>
    </w:p>
    <w:p>
      <w:pPr>
        <w:pStyle w:val="BodyText"/>
      </w:pPr>
    </w:p>
    <w:p>
      <w:pPr>
        <w:pStyle w:val="BodyText"/>
        <w:spacing w:before="8"/>
        <w:rPr>
          <w:sz w:val="23"/>
        </w:rPr>
      </w:pPr>
    </w:p>
    <w:p>
      <w:pPr>
        <w:pStyle w:val="BodyText"/>
        <w:ind w:left="543"/>
      </w:pPr>
      <w:r>
        <w:rPr/>
        <w:pict>
          <v:group style="width:519pt;height:284.7pt;mso-position-horizontal-relative:char;mso-position-vertical-relative:line" coordorigin="0,0" coordsize="10380,5694">
            <v:shape style="position:absolute;left:6945;top:1567;width:317;height:37" coordorigin="6945,1568" coordsize="317,37" path="m6945,1591l6995,1591,7050,1568,7122,1568,7193,1604,7262,1604e" filled="false" stroked="true" strokeweight="1pt" strokecolor="#000000">
              <v:path arrowok="t"/>
              <v:stroke dashstyle="solid"/>
            </v:shape>
            <v:line style="position:absolute" from="6945,1357" to="7262,1357" stroked="true" strokeweight="1pt" strokecolor="#000000">
              <v:stroke dashstyle="solid"/>
            </v:line>
            <v:line style="position:absolute" from="6576,1621" to="6832,1621" stroked="true" strokeweight="1pt" strokecolor="#000000">
              <v:stroke dashstyle="solid"/>
            </v:line>
            <v:line style="position:absolute" from="6562,1351" to="6832,1351" stroked="true" strokeweight="1pt" strokecolor="#000000">
              <v:stroke dashstyle="solid"/>
            </v:line>
            <v:shape style="position:absolute;left:8790;top:4021;width:159;height:104" type="#_x0000_t75" stroked="false">
              <v:imagedata r:id="rId188" o:title=""/>
            </v:shape>
            <v:shape style="position:absolute;left:8678;top:2378;width:219;height:1447" coordorigin="8678,2378" coordsize="219,1447" path="m8897,3825l8895,3782,8890,3732,8879,3682,8860,3643,8866,3653,8841,3615,8812,3588,8783,3560,8746,3483,8736,3398,8730,3315,8732,3272,8748,3189,8783,3116,8804,3084,8826,3048,8862,2966,8879,2881,8885,2795,8886,2707,8885,2625,8882,2542,8878,2460,8875,2378,8822,2378,8826,2460,8830,2542,8833,2625,8834,2707,8833,2795,8827,2881,8810,2966,8774,3048,8751,3084,8730,3116,8712,3150,8696,3189,8685,3230,8680,3272,8678,3315,8680,3357,8687,3441,8706,3522,8760,3588,8789,3615,8814,3653,8808,3643,8827,3682,8837,3732,8843,3782,8845,3825,8897,3825xe" filled="false" stroked="true" strokeweight=".966pt" strokecolor="#000000">
              <v:path arrowok="t"/>
              <v:stroke dashstyle="solid"/>
            </v:shape>
            <v:shape style="position:absolute;left:7948;top:2800;width:332;height:298" type="#_x0000_t75" stroked="false">
              <v:imagedata r:id="rId189" o:title=""/>
            </v:shape>
            <v:line style="position:absolute" from="8221,2730" to="8221,3169" stroked="true" strokeweight="1.969pt" strokecolor="#ffffff">
              <v:stroke dashstyle="solid"/>
            </v:line>
            <v:shape style="position:absolute;left:8201;top:2729;width:40;height:440" coordorigin="8201,2730" coordsize="40,440" path="m8241,3149l8241,3160,8232,3169,8221,3169,8210,3169,8201,3160,8201,3149,8201,2749,8201,2739,8210,2730,8221,2730,8232,2730,8241,2739,8241,2749,8241,3149xe" filled="false" stroked="true" strokeweight=".8pt" strokecolor="#000000">
              <v:path arrowok="t"/>
              <v:stroke dashstyle="solid"/>
            </v:shape>
            <v:shape style="position:absolute;left:4994;top:116;width:4875;height:5401" type="#_x0000_t75" stroked="false">
              <v:imagedata r:id="rId190" o:title=""/>
            </v:shape>
            <v:shape style="position:absolute;left:626;top:148;width:319;height:2957" coordorigin="626,149" coordsize="319,2957" path="m882,149l882,2858,895,2894,916,2923,936,2942,944,2949,944,3058,928,3073,911,3088,898,3099,893,3103,853,3063,795,3105,776,3105,717,3063,677,3103,659,3088,648,3078,638,3070,626,3058,626,2949,657,2926,674,2908,683,2888,689,2858,689,149e" filled="false" stroked="true" strokeweight="1pt" strokecolor="#000000">
              <v:path arrowok="t"/>
              <v:stroke dashstyle="solid"/>
            </v:shape>
            <v:shape style="position:absolute;left:1138;top:5078;width:68;height:107" coordorigin="1139,5079" coordsize="68,107" path="m1139,5079l1139,5186,1207,5186,1139,5079xe" filled="true" fillcolor="#000000" stroked="false">
              <v:path arrowok="t"/>
              <v:fill type="solid"/>
            </v:shape>
            <v:shape style="position:absolute;left:1138;top:177;width:68;height:5009" coordorigin="1139,177" coordsize="68,5009" path="m1139,177l1139,5186,1207,5186,1139,5079e" filled="false" stroked="true" strokeweight="1pt" strokecolor="#000000">
              <v:path arrowok="t"/>
              <v:stroke dashstyle="solid"/>
            </v:shape>
            <v:line style="position:absolute" from="1444,2245" to="1054,2245" stroked="true" strokeweight="1pt" strokecolor="#000000">
              <v:stroke dashstyle="solid"/>
            </v:line>
            <v:shape style="position:absolute;left:947;top:2204;width:134;height:80" coordorigin="947,2205" coordsize="134,80" path="m1081,2205l1017,2228,947,2245,961,2247,1035,2267,1081,2284,1081,2205xe" filled="true" fillcolor="#000000" stroked="false">
              <v:path arrowok="t"/>
              <v:fill type="solid"/>
            </v:shape>
            <v:shape style="position:absolute;left:1131;top:1600;width:354;height:118" type="#_x0000_t75" stroked="false">
              <v:imagedata r:id="rId191" o:title=""/>
            </v:shape>
            <v:shape style="position:absolute;left:359;top:5057;width:68;height:107" coordorigin="360,5058" coordsize="68,107" path="m428,5058l360,5165,428,5165,428,5058xe" filled="true" fillcolor="#000000" stroked="false">
              <v:path arrowok="t"/>
              <v:fill type="solid"/>
            </v:shape>
            <v:shape style="position:absolute;left:359;top:156;width:68;height:5009" coordorigin="360,156" coordsize="68,5009" path="m428,156l428,5165,360,5165,428,5058e" filled="false" stroked="true" strokeweight="1pt" strokecolor="#000000">
              <v:path arrowok="t"/>
              <v:stroke dashstyle="solid"/>
            </v:shape>
            <v:shape style="position:absolute;left:421;top:2959;width:3855;height:1917" type="#_x0000_t75" stroked="false">
              <v:imagedata r:id="rId192" o:title=""/>
            </v:shape>
            <v:shape style="position:absolute;left:1534;top:1561;width:540;height:173" type="#_x0000_t75" stroked="false">
              <v:imagedata r:id="rId193" o:title=""/>
            </v:shape>
            <v:shape style="position:absolute;left:1529;top:2184;width:529;height:170" type="#_x0000_t75" stroked="false">
              <v:imagedata r:id="rId194" o:title=""/>
            </v:shape>
            <v:rect style="position:absolute;left:5;top:5;width:10370;height:5684" filled="false" stroked="true" strokeweight=".5pt" strokecolor="#000000">
              <v:stroke dashstyle="solid"/>
            </v:rect>
          </v:group>
        </w:pict>
      </w:r>
      <w:r>
        <w:rPr/>
      </w:r>
    </w:p>
    <w:p>
      <w:pPr>
        <w:spacing w:after="0"/>
        <w:sectPr>
          <w:pgSz w:w="12240" w:h="15840"/>
          <w:pgMar w:header="567" w:footer="0" w:top="760" w:bottom="280" w:left="580" w:right="600"/>
        </w:sectPr>
      </w:pPr>
    </w:p>
    <w:p>
      <w:pPr>
        <w:spacing w:before="54"/>
        <w:ind w:left="548" w:right="0" w:firstLine="0"/>
        <w:jc w:val="both"/>
        <w:rPr>
          <w:sz w:val="18"/>
        </w:rPr>
      </w:pPr>
      <w:bookmarkStart w:name="5.5.2 Well abandonment procedures" w:id="65"/>
      <w:bookmarkEnd w:id="65"/>
      <w:r>
        <w:rPr/>
      </w:r>
      <w:bookmarkStart w:name="_bookmark34" w:id="66"/>
      <w:bookmarkEnd w:id="66"/>
      <w:r>
        <w:rPr/>
      </w:r>
      <w:r>
        <w:rPr>
          <w:b/>
          <w:sz w:val="18"/>
        </w:rPr>
        <w:t>Figure 5.20 </w:t>
      </w:r>
      <w:r>
        <w:rPr>
          <w:sz w:val="18"/>
        </w:rPr>
        <w:t>Typical CO</w:t>
      </w:r>
      <w:r>
        <w:rPr>
          <w:position w:val="-5"/>
          <w:sz w:val="10"/>
        </w:rPr>
        <w:t>2 </w:t>
      </w:r>
      <w:r>
        <w:rPr>
          <w:sz w:val="18"/>
        </w:rPr>
        <w:t>injection well and wellhead configuration.</w:t>
      </w:r>
    </w:p>
    <w:p>
      <w:pPr>
        <w:pStyle w:val="BodyText"/>
        <w:spacing w:before="5"/>
        <w:rPr>
          <w:sz w:val="19"/>
        </w:rPr>
      </w:pPr>
    </w:p>
    <w:p>
      <w:pPr>
        <w:pStyle w:val="BodyText"/>
        <w:spacing w:line="206" w:lineRule="auto"/>
        <w:ind w:left="553" w:right="1"/>
        <w:jc w:val="both"/>
      </w:pPr>
      <w:r>
        <w:rPr/>
        <w:t>a backup injection well or methods to safely vent CO</w:t>
      </w:r>
      <w:r>
        <w:rPr>
          <w:position w:val="-6"/>
          <w:sz w:val="11"/>
        </w:rPr>
        <w:t>2 </w:t>
      </w:r>
      <w:r>
        <w:rPr/>
        <w:t>to the atmosphere.</w:t>
      </w:r>
    </w:p>
    <w:p>
      <w:pPr>
        <w:pStyle w:val="BodyText"/>
        <w:spacing w:line="240" w:lineRule="exact" w:before="10"/>
        <w:ind w:left="553" w:firstLine="283"/>
        <w:jc w:val="both"/>
      </w:pPr>
      <w:r>
        <w:rPr/>
        <w:t>Proper maintenance of CO</w:t>
      </w:r>
      <w:r>
        <w:rPr>
          <w:position w:val="-6"/>
          <w:sz w:val="11"/>
        </w:rPr>
        <w:t>2 </w:t>
      </w:r>
      <w:r>
        <w:rPr/>
        <w:t>injection wells is necessary to avoid</w:t>
      </w:r>
      <w:r>
        <w:rPr>
          <w:spacing w:val="-20"/>
        </w:rPr>
        <w:t> </w:t>
      </w:r>
      <w:r>
        <w:rPr/>
        <w:t>leakage</w:t>
      </w:r>
      <w:r>
        <w:rPr>
          <w:spacing w:val="-19"/>
        </w:rPr>
        <w:t> </w:t>
      </w:r>
      <w:r>
        <w:rPr/>
        <w:t>and</w:t>
      </w:r>
      <w:r>
        <w:rPr>
          <w:spacing w:val="-19"/>
        </w:rPr>
        <w:t> </w:t>
      </w:r>
      <w:r>
        <w:rPr/>
        <w:t>well</w:t>
      </w:r>
      <w:r>
        <w:rPr>
          <w:spacing w:val="-19"/>
        </w:rPr>
        <w:t> </w:t>
      </w:r>
      <w:r>
        <w:rPr/>
        <w:t>failures.</w:t>
      </w:r>
      <w:r>
        <w:rPr>
          <w:spacing w:val="-19"/>
        </w:rPr>
        <w:t> </w:t>
      </w:r>
      <w:r>
        <w:rPr/>
        <w:t>Several</w:t>
      </w:r>
      <w:r>
        <w:rPr>
          <w:spacing w:val="-19"/>
        </w:rPr>
        <w:t> </w:t>
      </w:r>
      <w:r>
        <w:rPr/>
        <w:t>practical</w:t>
      </w:r>
      <w:r>
        <w:rPr>
          <w:spacing w:val="-19"/>
        </w:rPr>
        <w:t> </w:t>
      </w:r>
      <w:r>
        <w:rPr/>
        <w:t>procedures</w:t>
      </w:r>
      <w:r>
        <w:rPr>
          <w:spacing w:val="-19"/>
        </w:rPr>
        <w:t> </w:t>
      </w:r>
      <w:r>
        <w:rPr/>
        <w:t>can be used to reduce probabilities of CO</w:t>
      </w:r>
      <w:r>
        <w:rPr>
          <w:position w:val="-6"/>
          <w:sz w:val="11"/>
        </w:rPr>
        <w:t>2 </w:t>
      </w:r>
      <w:r>
        <w:rPr/>
        <w:t>blow-out </w:t>
      </w:r>
      <w:r>
        <w:rPr>
          <w:spacing w:val="-2"/>
        </w:rPr>
        <w:t>(uncontrolled </w:t>
      </w:r>
      <w:r>
        <w:rPr/>
        <w:t>flow)</w:t>
      </w:r>
      <w:r>
        <w:rPr>
          <w:spacing w:val="-16"/>
        </w:rPr>
        <w:t> </w:t>
      </w:r>
      <w:r>
        <w:rPr/>
        <w:t>and</w:t>
      </w:r>
      <w:r>
        <w:rPr>
          <w:spacing w:val="-14"/>
        </w:rPr>
        <w:t> </w:t>
      </w:r>
      <w:r>
        <w:rPr/>
        <w:t>mitigate</w:t>
      </w:r>
      <w:r>
        <w:rPr>
          <w:spacing w:val="-16"/>
        </w:rPr>
        <w:t> </w:t>
      </w:r>
      <w:r>
        <w:rPr/>
        <w:t>the</w:t>
      </w:r>
      <w:r>
        <w:rPr>
          <w:spacing w:val="-14"/>
        </w:rPr>
        <w:t> </w:t>
      </w:r>
      <w:r>
        <w:rPr/>
        <w:t>adverse</w:t>
      </w:r>
      <w:r>
        <w:rPr>
          <w:spacing w:val="-14"/>
        </w:rPr>
        <w:t> </w:t>
      </w:r>
      <w:r>
        <w:rPr/>
        <w:t>effects</w:t>
      </w:r>
      <w:r>
        <w:rPr>
          <w:spacing w:val="-15"/>
        </w:rPr>
        <w:t> </w:t>
      </w:r>
      <w:r>
        <w:rPr/>
        <w:t>if</w:t>
      </w:r>
      <w:r>
        <w:rPr>
          <w:spacing w:val="-14"/>
        </w:rPr>
        <w:t> </w:t>
      </w:r>
      <w:r>
        <w:rPr/>
        <w:t>one</w:t>
      </w:r>
      <w:r>
        <w:rPr>
          <w:spacing w:val="-15"/>
        </w:rPr>
        <w:t> </w:t>
      </w:r>
      <w:r>
        <w:rPr/>
        <w:t>should</w:t>
      </w:r>
      <w:r>
        <w:rPr>
          <w:spacing w:val="-15"/>
        </w:rPr>
        <w:t> </w:t>
      </w:r>
      <w:r>
        <w:rPr/>
        <w:t>occur.</w:t>
      </w:r>
      <w:r>
        <w:rPr>
          <w:spacing w:val="-18"/>
        </w:rPr>
        <w:t> </w:t>
      </w:r>
      <w:r>
        <w:rPr/>
        <w:t>These include periodic wellbore integrity surveys on drilled injection wells, improved blow-out prevention (BOP) maintenance, installation of additional BOP on suspect wells, improved</w:t>
      </w:r>
      <w:r>
        <w:rPr>
          <w:spacing w:val="-34"/>
        </w:rPr>
        <w:t> </w:t>
      </w:r>
      <w:r>
        <w:rPr/>
        <w:t>crew awareness, contingency planning and emergency response training (Skinner,</w:t>
      </w:r>
      <w:r>
        <w:rPr>
          <w:spacing w:val="-1"/>
        </w:rPr>
        <w:t> </w:t>
      </w:r>
      <w:r>
        <w:rPr/>
        <w:t>2003).</w:t>
      </w:r>
    </w:p>
    <w:p>
      <w:pPr>
        <w:pStyle w:val="BodyText"/>
        <w:spacing w:line="240" w:lineRule="exact"/>
        <w:ind w:left="553" w:firstLine="283"/>
        <w:jc w:val="both"/>
      </w:pPr>
      <w:r>
        <w:rPr/>
        <w:t>For</w:t>
      </w:r>
      <w:r>
        <w:rPr>
          <w:spacing w:val="-14"/>
        </w:rPr>
        <w:t> </w:t>
      </w:r>
      <w:r>
        <w:rPr/>
        <w:t>CO</w:t>
      </w:r>
      <w:r>
        <w:rPr>
          <w:position w:val="-6"/>
          <w:sz w:val="11"/>
        </w:rPr>
        <w:t>2</w:t>
      </w:r>
      <w:r>
        <w:rPr>
          <w:spacing w:val="10"/>
          <w:position w:val="-6"/>
          <w:sz w:val="11"/>
        </w:rPr>
        <w:t> </w:t>
      </w:r>
      <w:r>
        <w:rPr/>
        <w:t>injection</w:t>
      </w:r>
      <w:r>
        <w:rPr>
          <w:spacing w:val="-14"/>
        </w:rPr>
        <w:t> </w:t>
      </w:r>
      <w:r>
        <w:rPr/>
        <w:t>through</w:t>
      </w:r>
      <w:r>
        <w:rPr>
          <w:spacing w:val="-13"/>
        </w:rPr>
        <w:t> </w:t>
      </w:r>
      <w:r>
        <w:rPr/>
        <w:t>existing</w:t>
      </w:r>
      <w:r>
        <w:rPr>
          <w:spacing w:val="-13"/>
        </w:rPr>
        <w:t> </w:t>
      </w:r>
      <w:r>
        <w:rPr/>
        <w:t>and</w:t>
      </w:r>
      <w:r>
        <w:rPr>
          <w:spacing w:val="-14"/>
        </w:rPr>
        <w:t> </w:t>
      </w:r>
      <w:r>
        <w:rPr/>
        <w:t>old</w:t>
      </w:r>
      <w:r>
        <w:rPr>
          <w:spacing w:val="-13"/>
        </w:rPr>
        <w:t> </w:t>
      </w:r>
      <w:r>
        <w:rPr/>
        <w:t>wells,</w:t>
      </w:r>
      <w:r>
        <w:rPr>
          <w:spacing w:val="-14"/>
        </w:rPr>
        <w:t> </w:t>
      </w:r>
      <w:r>
        <w:rPr/>
        <w:t>key</w:t>
      </w:r>
      <w:r>
        <w:rPr>
          <w:spacing w:val="-13"/>
        </w:rPr>
        <w:t> </w:t>
      </w:r>
      <w:r>
        <w:rPr/>
        <w:t>factors include the mechanical condition of the well and quality of </w:t>
      </w:r>
      <w:r>
        <w:rPr>
          <w:spacing w:val="-4"/>
        </w:rPr>
        <w:t>the </w:t>
      </w:r>
      <w:r>
        <w:rPr/>
        <w:t>cement and well maintenance. A leaking wellbore annulus can be a pathway for CO</w:t>
      </w:r>
      <w:r>
        <w:rPr>
          <w:position w:val="-6"/>
          <w:sz w:val="11"/>
        </w:rPr>
        <w:t>2 </w:t>
      </w:r>
      <w:r>
        <w:rPr/>
        <w:t>migration. Detailed logging programmes for</w:t>
      </w:r>
      <w:r>
        <w:rPr>
          <w:spacing w:val="-17"/>
        </w:rPr>
        <w:t> </w:t>
      </w:r>
      <w:r>
        <w:rPr/>
        <w:t>checking</w:t>
      </w:r>
      <w:r>
        <w:rPr>
          <w:spacing w:val="-17"/>
        </w:rPr>
        <w:t> </w:t>
      </w:r>
      <w:r>
        <w:rPr/>
        <w:t>wellbore</w:t>
      </w:r>
      <w:r>
        <w:rPr>
          <w:spacing w:val="-17"/>
        </w:rPr>
        <w:t> </w:t>
      </w:r>
      <w:r>
        <w:rPr/>
        <w:t>integrity</w:t>
      </w:r>
      <w:r>
        <w:rPr>
          <w:spacing w:val="-16"/>
        </w:rPr>
        <w:t> </w:t>
      </w:r>
      <w:r>
        <w:rPr/>
        <w:t>can</w:t>
      </w:r>
      <w:r>
        <w:rPr>
          <w:spacing w:val="-17"/>
        </w:rPr>
        <w:t> </w:t>
      </w:r>
      <w:r>
        <w:rPr/>
        <w:t>be</w:t>
      </w:r>
      <w:r>
        <w:rPr>
          <w:spacing w:val="-17"/>
        </w:rPr>
        <w:t> </w:t>
      </w:r>
      <w:r>
        <w:rPr/>
        <w:t>conducted</w:t>
      </w:r>
      <w:r>
        <w:rPr>
          <w:spacing w:val="-17"/>
        </w:rPr>
        <w:t> </w:t>
      </w:r>
      <w:r>
        <w:rPr/>
        <w:t>by</w:t>
      </w:r>
      <w:r>
        <w:rPr>
          <w:spacing w:val="-16"/>
        </w:rPr>
        <w:t> </w:t>
      </w:r>
      <w:r>
        <w:rPr/>
        <w:t>the</w:t>
      </w:r>
      <w:r>
        <w:rPr>
          <w:spacing w:val="-17"/>
        </w:rPr>
        <w:t> </w:t>
      </w:r>
      <w:r>
        <w:rPr/>
        <w:t>operator to protect formations and prevent reservoir cross-flow. A </w:t>
      </w:r>
      <w:r>
        <w:rPr>
          <w:spacing w:val="-5"/>
        </w:rPr>
        <w:t>well </w:t>
      </w:r>
      <w:r>
        <w:rPr/>
        <w:t>used</w:t>
      </w:r>
      <w:r>
        <w:rPr>
          <w:spacing w:val="-7"/>
        </w:rPr>
        <w:t> </w:t>
      </w:r>
      <w:r>
        <w:rPr/>
        <w:t>for</w:t>
      </w:r>
      <w:r>
        <w:rPr>
          <w:spacing w:val="-6"/>
        </w:rPr>
        <w:t> </w:t>
      </w:r>
      <w:r>
        <w:rPr/>
        <w:t>injection</w:t>
      </w:r>
      <w:r>
        <w:rPr>
          <w:spacing w:val="-8"/>
        </w:rPr>
        <w:t> </w:t>
      </w:r>
      <w:hyperlink w:history="true" w:anchor="_bookmark34">
        <w:r>
          <w:rPr/>
          <w:t>(Figure</w:t>
        </w:r>
        <w:r>
          <w:rPr>
            <w:spacing w:val="-6"/>
          </w:rPr>
          <w:t> </w:t>
        </w:r>
        <w:r>
          <w:rPr/>
          <w:t>5.20)</w:t>
        </w:r>
        <w:r>
          <w:rPr>
            <w:spacing w:val="-7"/>
          </w:rPr>
          <w:t> </w:t>
        </w:r>
      </w:hyperlink>
      <w:r>
        <w:rPr/>
        <w:t>must</w:t>
      </w:r>
      <w:r>
        <w:rPr>
          <w:spacing w:val="-6"/>
        </w:rPr>
        <w:t> </w:t>
      </w:r>
      <w:r>
        <w:rPr/>
        <w:t>be</w:t>
      </w:r>
      <w:r>
        <w:rPr>
          <w:spacing w:val="-6"/>
        </w:rPr>
        <w:t> </w:t>
      </w:r>
      <w:r>
        <w:rPr/>
        <w:t>equipped</w:t>
      </w:r>
      <w:r>
        <w:rPr>
          <w:spacing w:val="-8"/>
        </w:rPr>
        <w:t> </w:t>
      </w:r>
      <w:r>
        <w:rPr/>
        <w:t>with</w:t>
      </w:r>
      <w:r>
        <w:rPr>
          <w:spacing w:val="-7"/>
        </w:rPr>
        <w:t> </w:t>
      </w:r>
      <w:r>
        <w:rPr/>
        <w:t>a</w:t>
      </w:r>
      <w:r>
        <w:rPr>
          <w:spacing w:val="-6"/>
        </w:rPr>
        <w:t> </w:t>
      </w:r>
      <w:r>
        <w:rPr/>
        <w:t>packer to</w:t>
      </w:r>
      <w:r>
        <w:rPr>
          <w:spacing w:val="-8"/>
        </w:rPr>
        <w:t> </w:t>
      </w:r>
      <w:r>
        <w:rPr/>
        <w:t>isolate</w:t>
      </w:r>
      <w:r>
        <w:rPr>
          <w:spacing w:val="-7"/>
        </w:rPr>
        <w:t> </w:t>
      </w:r>
      <w:r>
        <w:rPr/>
        <w:t>pressure</w:t>
      </w:r>
      <w:r>
        <w:rPr>
          <w:spacing w:val="-7"/>
        </w:rPr>
        <w:t> </w:t>
      </w:r>
      <w:r>
        <w:rPr/>
        <w:t>to</w:t>
      </w:r>
      <w:r>
        <w:rPr>
          <w:spacing w:val="-7"/>
        </w:rPr>
        <w:t> </w:t>
      </w:r>
      <w:r>
        <w:rPr/>
        <w:t>the</w:t>
      </w:r>
      <w:r>
        <w:rPr>
          <w:spacing w:val="-7"/>
        </w:rPr>
        <w:t> </w:t>
      </w:r>
      <w:r>
        <w:rPr/>
        <w:t>injection</w:t>
      </w:r>
      <w:r>
        <w:rPr>
          <w:spacing w:val="-8"/>
        </w:rPr>
        <w:t> </w:t>
      </w:r>
      <w:r>
        <w:rPr/>
        <w:t>interval.</w:t>
      </w:r>
      <w:r>
        <w:rPr>
          <w:spacing w:val="-18"/>
        </w:rPr>
        <w:t> </w:t>
      </w:r>
      <w:r>
        <w:rPr/>
        <w:t>All</w:t>
      </w:r>
      <w:r>
        <w:rPr>
          <w:spacing w:val="-7"/>
        </w:rPr>
        <w:t> </w:t>
      </w:r>
      <w:r>
        <w:rPr/>
        <w:t>materials</w:t>
      </w:r>
      <w:r>
        <w:rPr>
          <w:spacing w:val="-7"/>
        </w:rPr>
        <w:t> </w:t>
      </w:r>
      <w:r>
        <w:rPr/>
        <w:t>used</w:t>
      </w:r>
      <w:r>
        <w:rPr>
          <w:spacing w:val="-7"/>
        </w:rPr>
        <w:t> </w:t>
      </w:r>
      <w:r>
        <w:rPr/>
        <w:t>in injection wells should be designed to anticipate peak volume, pressure and temperature. In the case of wet gas (containing free water), use of corrosion-resistant material is</w:t>
      </w:r>
      <w:r>
        <w:rPr>
          <w:spacing w:val="-4"/>
        </w:rPr>
        <w:t> </w:t>
      </w:r>
      <w:r>
        <w:rPr/>
        <w:t>essential.</w:t>
      </w:r>
    </w:p>
    <w:p>
      <w:pPr>
        <w:pStyle w:val="BodyText"/>
        <w:spacing w:before="3"/>
        <w:rPr>
          <w:sz w:val="21"/>
        </w:rPr>
      </w:pPr>
    </w:p>
    <w:p>
      <w:pPr>
        <w:pStyle w:val="Heading2"/>
        <w:numPr>
          <w:ilvl w:val="2"/>
          <w:numId w:val="7"/>
        </w:numPr>
        <w:tabs>
          <w:tab w:pos="1373" w:val="left" w:leader="none"/>
          <w:tab w:pos="1374" w:val="left" w:leader="none"/>
        </w:tabs>
        <w:spacing w:line="240" w:lineRule="auto" w:before="0" w:after="0"/>
        <w:ind w:left="1373" w:right="0" w:hanging="821"/>
        <w:jc w:val="left"/>
        <w:rPr>
          <w:i/>
        </w:rPr>
      </w:pPr>
      <w:r>
        <w:rPr>
          <w:i/>
          <w:spacing w:val="-4"/>
        </w:rPr>
        <w:t>Well </w:t>
      </w:r>
      <w:r>
        <w:rPr>
          <w:i/>
        </w:rPr>
        <w:t>abandonment</w:t>
      </w:r>
      <w:r>
        <w:rPr>
          <w:i/>
          <w:spacing w:val="5"/>
        </w:rPr>
        <w:t> </w:t>
      </w:r>
      <w:r>
        <w:rPr>
          <w:i/>
        </w:rPr>
        <w:t>procedures</w:t>
      </w:r>
    </w:p>
    <w:p>
      <w:pPr>
        <w:pStyle w:val="BodyText"/>
        <w:spacing w:before="3"/>
        <w:rPr>
          <w:b/>
          <w:i/>
          <w:sz w:val="21"/>
        </w:rPr>
      </w:pPr>
    </w:p>
    <w:p>
      <w:pPr>
        <w:pStyle w:val="BodyText"/>
        <w:spacing w:line="240" w:lineRule="exact" w:before="1"/>
        <w:ind w:left="553" w:right="1"/>
        <w:jc w:val="both"/>
      </w:pPr>
      <w:r>
        <w:rPr/>
        <w:t>Abandonment procedures for oil, gas and injection wells are designed</w:t>
      </w:r>
      <w:r>
        <w:rPr>
          <w:spacing w:val="-13"/>
        </w:rPr>
        <w:t> </w:t>
      </w:r>
      <w:r>
        <w:rPr/>
        <w:t>to</w:t>
      </w:r>
      <w:r>
        <w:rPr>
          <w:spacing w:val="-13"/>
        </w:rPr>
        <w:t> </w:t>
      </w:r>
      <w:r>
        <w:rPr/>
        <w:t>protect</w:t>
      </w:r>
      <w:r>
        <w:rPr>
          <w:spacing w:val="-12"/>
        </w:rPr>
        <w:t> </w:t>
      </w:r>
      <w:r>
        <w:rPr/>
        <w:t>drinking</w:t>
      </w:r>
      <w:r>
        <w:rPr>
          <w:spacing w:val="-13"/>
        </w:rPr>
        <w:t> </w:t>
      </w:r>
      <w:r>
        <w:rPr/>
        <w:t>water</w:t>
      </w:r>
      <w:r>
        <w:rPr>
          <w:spacing w:val="-12"/>
        </w:rPr>
        <w:t> </w:t>
      </w:r>
      <w:r>
        <w:rPr/>
        <w:t>aquifers</w:t>
      </w:r>
      <w:r>
        <w:rPr>
          <w:spacing w:val="-13"/>
        </w:rPr>
        <w:t> </w:t>
      </w:r>
      <w:r>
        <w:rPr/>
        <w:t>from</w:t>
      </w:r>
      <w:r>
        <w:rPr>
          <w:spacing w:val="-12"/>
        </w:rPr>
        <w:t> </w:t>
      </w:r>
      <w:r>
        <w:rPr/>
        <w:t>contamination. If a well remains open after it is no longer in use, brines, hydrocarbons or CO</w:t>
      </w:r>
      <w:r>
        <w:rPr>
          <w:position w:val="-6"/>
          <w:sz w:val="11"/>
        </w:rPr>
        <w:t>2 </w:t>
      </w:r>
      <w:r>
        <w:rPr/>
        <w:t>could migrate up the well and </w:t>
      </w:r>
      <w:r>
        <w:rPr>
          <w:spacing w:val="-3"/>
        </w:rPr>
        <w:t>into </w:t>
      </w:r>
      <w:r>
        <w:rPr/>
        <w:t>shallow drinking water aquifers. </w:t>
      </w:r>
      <w:r>
        <w:rPr>
          <w:spacing w:val="-7"/>
        </w:rPr>
        <w:t>To </w:t>
      </w:r>
      <w:r>
        <w:rPr/>
        <w:t>avoid this, many</w:t>
      </w:r>
      <w:r>
        <w:rPr>
          <w:spacing w:val="26"/>
        </w:rPr>
        <w:t> </w:t>
      </w:r>
      <w:r>
        <w:rPr/>
        <w:t>countries</w:t>
      </w:r>
    </w:p>
    <w:p>
      <w:pPr>
        <w:pStyle w:val="BodyText"/>
      </w:pPr>
      <w:r>
        <w:rPr/>
        <w:br w:type="column"/>
      </w:r>
      <w:r>
        <w:rPr/>
      </w:r>
    </w:p>
    <w:p>
      <w:pPr>
        <w:pStyle w:val="BodyText"/>
        <w:spacing w:before="2"/>
        <w:rPr>
          <w:sz w:val="24"/>
        </w:rPr>
      </w:pPr>
    </w:p>
    <w:p>
      <w:pPr>
        <w:pStyle w:val="BodyText"/>
        <w:spacing w:line="249" w:lineRule="auto"/>
        <w:ind w:left="241" w:right="121"/>
        <w:jc w:val="both"/>
      </w:pPr>
      <w:r>
        <w:rPr/>
        <w:t>have</w:t>
      </w:r>
      <w:r>
        <w:rPr>
          <w:spacing w:val="-7"/>
        </w:rPr>
        <w:t> </w:t>
      </w:r>
      <w:r>
        <w:rPr/>
        <w:t>developed</w:t>
      </w:r>
      <w:r>
        <w:rPr>
          <w:spacing w:val="-7"/>
        </w:rPr>
        <w:t> </w:t>
      </w:r>
      <w:r>
        <w:rPr/>
        <w:t>regulations</w:t>
      </w:r>
      <w:r>
        <w:rPr>
          <w:spacing w:val="-7"/>
        </w:rPr>
        <w:t> </w:t>
      </w:r>
      <w:r>
        <w:rPr/>
        <w:t>for</w:t>
      </w:r>
      <w:r>
        <w:rPr>
          <w:spacing w:val="-7"/>
        </w:rPr>
        <w:t> </w:t>
      </w:r>
      <w:r>
        <w:rPr/>
        <w:t>well</w:t>
      </w:r>
      <w:r>
        <w:rPr>
          <w:spacing w:val="-7"/>
        </w:rPr>
        <w:t> </w:t>
      </w:r>
      <w:r>
        <w:rPr/>
        <w:t>‘abandonment’</w:t>
      </w:r>
      <w:r>
        <w:rPr>
          <w:spacing w:val="-22"/>
        </w:rPr>
        <w:t> </w:t>
      </w:r>
      <w:r>
        <w:rPr/>
        <w:t>or</w:t>
      </w:r>
      <w:r>
        <w:rPr>
          <w:spacing w:val="-7"/>
        </w:rPr>
        <w:t> </w:t>
      </w:r>
      <w:r>
        <w:rPr/>
        <w:t>‘closure’ (for example, United States Code of Federal Regulations 40 Part 144 and Alberta Energy and Utilities Board, 2003). These procedures usually require placing cement or mechanical plugs in all or part of the well. Extra care is usually taken to seal   the well adjacent to drinking water aquifers. Examples of well abandonment</w:t>
      </w:r>
      <w:r>
        <w:rPr>
          <w:spacing w:val="-16"/>
        </w:rPr>
        <w:t> </w:t>
      </w:r>
      <w:r>
        <w:rPr/>
        <w:t>procedures</w:t>
      </w:r>
      <w:r>
        <w:rPr>
          <w:spacing w:val="-15"/>
        </w:rPr>
        <w:t> </w:t>
      </w:r>
      <w:r>
        <w:rPr/>
        <w:t>for</w:t>
      </w:r>
      <w:r>
        <w:rPr>
          <w:spacing w:val="-15"/>
        </w:rPr>
        <w:t> </w:t>
      </w:r>
      <w:r>
        <w:rPr/>
        <w:t>cased</w:t>
      </w:r>
      <w:r>
        <w:rPr>
          <w:spacing w:val="-15"/>
        </w:rPr>
        <w:t> </w:t>
      </w:r>
      <w:r>
        <w:rPr/>
        <w:t>and</w:t>
      </w:r>
      <w:r>
        <w:rPr>
          <w:spacing w:val="-15"/>
        </w:rPr>
        <w:t> </w:t>
      </w:r>
      <w:r>
        <w:rPr/>
        <w:t>uncased</w:t>
      </w:r>
      <w:r>
        <w:rPr>
          <w:spacing w:val="-15"/>
        </w:rPr>
        <w:t> </w:t>
      </w:r>
      <w:r>
        <w:rPr/>
        <w:t>wells</w:t>
      </w:r>
      <w:r>
        <w:rPr>
          <w:spacing w:val="-15"/>
        </w:rPr>
        <w:t> </w:t>
      </w:r>
      <w:r>
        <w:rPr/>
        <w:t>are</w:t>
      </w:r>
      <w:r>
        <w:rPr>
          <w:spacing w:val="-15"/>
        </w:rPr>
        <w:t> </w:t>
      </w:r>
      <w:r>
        <w:rPr/>
        <w:t>shown in</w:t>
      </w:r>
      <w:r>
        <w:rPr>
          <w:spacing w:val="-9"/>
        </w:rPr>
        <w:t> </w:t>
      </w:r>
      <w:hyperlink w:history="true" w:anchor="_bookmark35">
        <w:r>
          <w:rPr/>
          <w:t>Figure</w:t>
        </w:r>
        <w:r>
          <w:rPr>
            <w:spacing w:val="-8"/>
          </w:rPr>
          <w:t> </w:t>
        </w:r>
        <w:r>
          <w:rPr/>
          <w:t>5.21.</w:t>
        </w:r>
        <w:r>
          <w:rPr>
            <w:spacing w:val="-12"/>
          </w:rPr>
          <w:t> </w:t>
        </w:r>
      </w:hyperlink>
      <w:r>
        <w:rPr>
          <w:spacing w:val="-3"/>
        </w:rPr>
        <w:t>Tests</w:t>
      </w:r>
      <w:r>
        <w:rPr>
          <w:spacing w:val="-9"/>
        </w:rPr>
        <w:t> </w:t>
      </w:r>
      <w:r>
        <w:rPr/>
        <w:t>are</w:t>
      </w:r>
      <w:r>
        <w:rPr>
          <w:spacing w:val="-8"/>
        </w:rPr>
        <w:t> </w:t>
      </w:r>
      <w:r>
        <w:rPr/>
        <w:t>often</w:t>
      </w:r>
      <w:r>
        <w:rPr>
          <w:spacing w:val="-8"/>
        </w:rPr>
        <w:t> </w:t>
      </w:r>
      <w:r>
        <w:rPr/>
        <w:t>required</w:t>
      </w:r>
      <w:r>
        <w:rPr>
          <w:spacing w:val="-9"/>
        </w:rPr>
        <w:t> </w:t>
      </w:r>
      <w:r>
        <w:rPr/>
        <w:t>to</w:t>
      </w:r>
      <w:r>
        <w:rPr>
          <w:spacing w:val="-8"/>
        </w:rPr>
        <w:t> </w:t>
      </w:r>
      <w:r>
        <w:rPr/>
        <w:t>locate</w:t>
      </w:r>
      <w:r>
        <w:rPr>
          <w:spacing w:val="-8"/>
        </w:rPr>
        <w:t> </w:t>
      </w:r>
      <w:r>
        <w:rPr/>
        <w:t>the</w:t>
      </w:r>
      <w:r>
        <w:rPr>
          <w:spacing w:val="-9"/>
        </w:rPr>
        <w:t> </w:t>
      </w:r>
      <w:r>
        <w:rPr/>
        <w:t>depth</w:t>
      </w:r>
      <w:r>
        <w:rPr>
          <w:spacing w:val="-8"/>
        </w:rPr>
        <w:t> </w:t>
      </w:r>
      <w:r>
        <w:rPr/>
        <w:t>of</w:t>
      </w:r>
      <w:r>
        <w:rPr>
          <w:spacing w:val="-8"/>
        </w:rPr>
        <w:t> </w:t>
      </w:r>
      <w:r>
        <w:rPr/>
        <w:t>the plugs and test their mechanical strength under</w:t>
      </w:r>
      <w:r>
        <w:rPr>
          <w:spacing w:val="-4"/>
        </w:rPr>
        <w:t> </w:t>
      </w:r>
      <w:r>
        <w:rPr/>
        <w:t>pressure.</w:t>
      </w:r>
    </w:p>
    <w:p>
      <w:pPr>
        <w:pStyle w:val="BodyText"/>
        <w:spacing w:line="240" w:lineRule="exact" w:before="2"/>
        <w:ind w:left="241" w:right="133" w:firstLine="283"/>
        <w:jc w:val="both"/>
      </w:pPr>
      <w:r>
        <w:rPr/>
        <w:t>It is expected that abandonment procedures for CO</w:t>
      </w:r>
      <w:r>
        <w:rPr>
          <w:position w:val="-6"/>
          <w:sz w:val="11"/>
        </w:rPr>
        <w:t>2 </w:t>
      </w:r>
      <w:r>
        <w:rPr/>
        <w:t>wells could broadly follow the abandonment methodology used for oil</w:t>
      </w:r>
      <w:r>
        <w:rPr>
          <w:spacing w:val="-5"/>
        </w:rPr>
        <w:t> </w:t>
      </w:r>
      <w:r>
        <w:rPr/>
        <w:t>and</w:t>
      </w:r>
      <w:r>
        <w:rPr>
          <w:spacing w:val="-4"/>
        </w:rPr>
        <w:t> </w:t>
      </w:r>
      <w:r>
        <w:rPr/>
        <w:t>gas</w:t>
      </w:r>
      <w:r>
        <w:rPr>
          <w:spacing w:val="-4"/>
        </w:rPr>
        <w:t> </w:t>
      </w:r>
      <w:r>
        <w:rPr/>
        <w:t>wells</w:t>
      </w:r>
      <w:r>
        <w:rPr>
          <w:spacing w:val="-5"/>
        </w:rPr>
        <w:t> </w:t>
      </w:r>
      <w:r>
        <w:rPr/>
        <w:t>and</w:t>
      </w:r>
      <w:r>
        <w:rPr>
          <w:spacing w:val="-5"/>
        </w:rPr>
        <w:t> </w:t>
      </w:r>
      <w:r>
        <w:rPr/>
        <w:t>acid-gas</w:t>
      </w:r>
      <w:r>
        <w:rPr>
          <w:spacing w:val="-4"/>
        </w:rPr>
        <w:t> </w:t>
      </w:r>
      <w:r>
        <w:rPr/>
        <w:t>disposal</w:t>
      </w:r>
      <w:r>
        <w:rPr>
          <w:spacing w:val="-4"/>
        </w:rPr>
        <w:t> </w:t>
      </w:r>
      <w:r>
        <w:rPr/>
        <w:t>wells.</w:t>
      </w:r>
      <w:r>
        <w:rPr>
          <w:spacing w:val="-5"/>
        </w:rPr>
        <w:t> </w:t>
      </w:r>
      <w:r>
        <w:rPr/>
        <w:t>However,</w:t>
      </w:r>
      <w:r>
        <w:rPr>
          <w:spacing w:val="-5"/>
        </w:rPr>
        <w:t> </w:t>
      </w:r>
      <w:r>
        <w:rPr/>
        <w:t>special care has to be taken to use sealing plugs and cement that are resistant to degradation from CO</w:t>
      </w:r>
      <w:r>
        <w:rPr>
          <w:position w:val="-6"/>
          <w:sz w:val="11"/>
        </w:rPr>
        <w:t>2</w:t>
      </w:r>
      <w:r>
        <w:rPr/>
        <w:t>. Carbon dioxide-resistant cements have been developed for oil field and geothermal applications.</w:t>
      </w:r>
      <w:r>
        <w:rPr>
          <w:spacing w:val="-12"/>
        </w:rPr>
        <w:t> </w:t>
      </w:r>
      <w:r>
        <w:rPr/>
        <w:t>It</w:t>
      </w:r>
      <w:r>
        <w:rPr>
          <w:spacing w:val="-11"/>
        </w:rPr>
        <w:t> </w:t>
      </w:r>
      <w:r>
        <w:rPr/>
        <w:t>has</w:t>
      </w:r>
      <w:r>
        <w:rPr>
          <w:spacing w:val="-11"/>
        </w:rPr>
        <w:t> </w:t>
      </w:r>
      <w:r>
        <w:rPr/>
        <w:t>been</w:t>
      </w:r>
      <w:r>
        <w:rPr>
          <w:spacing w:val="-11"/>
        </w:rPr>
        <w:t> </w:t>
      </w:r>
      <w:r>
        <w:rPr/>
        <w:t>suggested</w:t>
      </w:r>
      <w:r>
        <w:rPr>
          <w:spacing w:val="-12"/>
        </w:rPr>
        <w:t> </w:t>
      </w:r>
      <w:r>
        <w:rPr/>
        <w:t>that</w:t>
      </w:r>
      <w:r>
        <w:rPr>
          <w:spacing w:val="-11"/>
        </w:rPr>
        <w:t> </w:t>
      </w:r>
      <w:r>
        <w:rPr/>
        <w:t>removing</w:t>
      </w:r>
      <w:r>
        <w:rPr>
          <w:spacing w:val="-10"/>
        </w:rPr>
        <w:t> </w:t>
      </w:r>
      <w:r>
        <w:rPr/>
        <w:t>the</w:t>
      </w:r>
      <w:r>
        <w:rPr>
          <w:spacing w:val="-11"/>
        </w:rPr>
        <w:t> </w:t>
      </w:r>
      <w:r>
        <w:rPr/>
        <w:t>casing</w:t>
      </w:r>
      <w:r>
        <w:rPr>
          <w:spacing w:val="-11"/>
        </w:rPr>
        <w:t> </w:t>
      </w:r>
      <w:r>
        <w:rPr/>
        <w:t>and the liner penetrating the caprock could avoid corrosion of the steel that may later create channels for leakage. The</w:t>
      </w:r>
      <w:r>
        <w:rPr>
          <w:spacing w:val="-30"/>
        </w:rPr>
        <w:t> </w:t>
      </w:r>
      <w:r>
        <w:rPr/>
        <w:t>production casing can be removed by pulling or drilling (milling) it out. After removing the casing, a cement plug can be put into the open borehole, as illustrated in </w:t>
      </w:r>
      <w:hyperlink w:history="true" w:anchor="_bookmark35">
        <w:r>
          <w:rPr/>
          <w:t>Figure</w:t>
        </w:r>
        <w:r>
          <w:rPr>
            <w:spacing w:val="-2"/>
          </w:rPr>
          <w:t> </w:t>
        </w:r>
        <w:r>
          <w:rPr/>
          <w:t>5.21.</w:t>
        </w:r>
      </w:hyperlink>
    </w:p>
    <w:p>
      <w:pPr>
        <w:pStyle w:val="BodyText"/>
        <w:spacing w:line="240" w:lineRule="exact"/>
        <w:ind w:left="241" w:right="133" w:firstLine="283"/>
        <w:jc w:val="both"/>
      </w:pPr>
      <w:r>
        <w:rPr/>
        <w:t>The cement plug will act as the main barrier to future CO</w:t>
      </w:r>
      <w:r>
        <w:rPr>
          <w:position w:val="-6"/>
          <w:sz w:val="11"/>
        </w:rPr>
        <w:t>2 </w:t>
      </w:r>
      <w:r>
        <w:rPr/>
        <w:t>migration. A major issue is related to the sealing quality of  the cement plug and the bonding quality with the penetrated caprock.</w:t>
      </w:r>
      <w:r>
        <w:rPr>
          <w:spacing w:val="-26"/>
        </w:rPr>
        <w:t> </w:t>
      </w:r>
      <w:r>
        <w:rPr/>
        <w:t>Microchannels</w:t>
      </w:r>
      <w:r>
        <w:rPr>
          <w:spacing w:val="-25"/>
        </w:rPr>
        <w:t> </w:t>
      </w:r>
      <w:r>
        <w:rPr/>
        <w:t>created</w:t>
      </w:r>
      <w:r>
        <w:rPr>
          <w:spacing w:val="-26"/>
        </w:rPr>
        <w:t> </w:t>
      </w:r>
      <w:r>
        <w:rPr/>
        <w:t>near</w:t>
      </w:r>
      <w:r>
        <w:rPr>
          <w:spacing w:val="-25"/>
        </w:rPr>
        <w:t> </w:t>
      </w:r>
      <w:r>
        <w:rPr/>
        <w:t>the</w:t>
      </w:r>
      <w:r>
        <w:rPr>
          <w:spacing w:val="-25"/>
        </w:rPr>
        <w:t> </w:t>
      </w:r>
      <w:r>
        <w:rPr/>
        <w:t>wellbore</w:t>
      </w:r>
      <w:r>
        <w:rPr>
          <w:spacing w:val="-26"/>
        </w:rPr>
        <w:t> </w:t>
      </w:r>
      <w:r>
        <w:rPr/>
        <w:t>during</w:t>
      </w:r>
      <w:r>
        <w:rPr>
          <w:spacing w:val="-25"/>
        </w:rPr>
        <w:t> </w:t>
      </w:r>
      <w:r>
        <w:rPr/>
        <w:t>drilling or</w:t>
      </w:r>
      <w:r>
        <w:rPr>
          <w:spacing w:val="-9"/>
        </w:rPr>
        <w:t> </w:t>
      </w:r>
      <w:r>
        <w:rPr/>
        <w:t>milling</w:t>
      </w:r>
      <w:r>
        <w:rPr>
          <w:spacing w:val="-9"/>
        </w:rPr>
        <w:t> </w:t>
      </w:r>
      <w:r>
        <w:rPr/>
        <w:t>operations</w:t>
      </w:r>
      <w:r>
        <w:rPr>
          <w:spacing w:val="-9"/>
        </w:rPr>
        <w:t> </w:t>
      </w:r>
      <w:r>
        <w:rPr/>
        <w:t>should</w:t>
      </w:r>
      <w:r>
        <w:rPr>
          <w:spacing w:val="-9"/>
        </w:rPr>
        <w:t> </w:t>
      </w:r>
      <w:r>
        <w:rPr/>
        <w:t>be</w:t>
      </w:r>
      <w:r>
        <w:rPr>
          <w:spacing w:val="-8"/>
        </w:rPr>
        <w:t> </w:t>
      </w:r>
      <w:r>
        <w:rPr/>
        <w:t>sealed</w:t>
      </w:r>
      <w:r>
        <w:rPr>
          <w:spacing w:val="-9"/>
        </w:rPr>
        <w:t> </w:t>
      </w:r>
      <w:r>
        <w:rPr/>
        <w:t>with</w:t>
      </w:r>
      <w:r>
        <w:rPr>
          <w:spacing w:val="-9"/>
        </w:rPr>
        <w:t> </w:t>
      </w:r>
      <w:r>
        <w:rPr/>
        <w:t>cement.</w:t>
      </w:r>
      <w:r>
        <w:rPr>
          <w:spacing w:val="-9"/>
        </w:rPr>
        <w:t> </w:t>
      </w:r>
      <w:r>
        <w:rPr/>
        <w:t>Fluid</w:t>
      </w:r>
      <w:r>
        <w:rPr>
          <w:spacing w:val="-8"/>
        </w:rPr>
        <w:t> </w:t>
      </w:r>
      <w:r>
        <w:rPr/>
        <w:t>could also be flushed into the storage reservoir to displace the CO</w:t>
      </w:r>
      <w:r>
        <w:rPr>
          <w:position w:val="-6"/>
          <w:sz w:val="11"/>
        </w:rPr>
        <w:t>2 </w:t>
      </w:r>
      <w:r>
        <w:rPr/>
        <w:t>and help to improve the cementing quality and bonding to </w:t>
      </w:r>
      <w:r>
        <w:rPr>
          <w:spacing w:val="-5"/>
        </w:rPr>
        <w:t>the </w:t>
      </w:r>
      <w:r>
        <w:rPr/>
        <w:t>sealing caprock. Casing protective materials and alternative casing materials, such as composites, should also be</w:t>
      </w:r>
      <w:r>
        <w:rPr>
          <w:spacing w:val="40"/>
        </w:rPr>
        <w:t> </w:t>
      </w:r>
      <w:r>
        <w:rPr/>
        <w:t>evaluated</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spacing w:before="8" w:after="1"/>
        <w:rPr>
          <w:sz w:val="23"/>
        </w:rPr>
      </w:pPr>
    </w:p>
    <w:p>
      <w:pPr>
        <w:pStyle w:val="BodyText"/>
        <w:ind w:left="491"/>
      </w:pPr>
      <w:r>
        <w:rPr/>
        <w:drawing>
          <wp:inline distT="0" distB="0" distL="0" distR="0">
            <wp:extent cx="6141802" cy="4352544"/>
            <wp:effectExtent l="0" t="0" r="0" b="0"/>
            <wp:docPr id="9" name="image189.jpeg"/>
            <wp:cNvGraphicFramePr>
              <a:graphicFrameLocks noChangeAspect="1"/>
            </wp:cNvGraphicFramePr>
            <a:graphic>
              <a:graphicData uri="http://schemas.openxmlformats.org/drawingml/2006/picture">
                <pic:pic>
                  <pic:nvPicPr>
                    <pic:cNvPr id="10" name="image189.jpeg"/>
                    <pic:cNvPicPr/>
                  </pic:nvPicPr>
                  <pic:blipFill>
                    <a:blip r:embed="rId195" cstate="print"/>
                    <a:stretch>
                      <a:fillRect/>
                    </a:stretch>
                  </pic:blipFill>
                  <pic:spPr>
                    <a:xfrm>
                      <a:off x="0" y="0"/>
                      <a:ext cx="6141802" cy="4352544"/>
                    </a:xfrm>
                    <a:prstGeom prst="rect">
                      <a:avLst/>
                    </a:prstGeom>
                  </pic:spPr>
                </pic:pic>
              </a:graphicData>
            </a:graphic>
          </wp:inline>
        </w:drawing>
      </w:r>
      <w:r>
        <w:rPr/>
      </w:r>
    </w:p>
    <w:p>
      <w:pPr>
        <w:spacing w:line="211" w:lineRule="auto" w:before="115"/>
        <w:ind w:left="157" w:right="156" w:firstLine="0"/>
        <w:jc w:val="left"/>
        <w:rPr>
          <w:sz w:val="18"/>
        </w:rPr>
      </w:pPr>
      <w:bookmarkStart w:name="5.5.3 Injection well pressure and reserv" w:id="67"/>
      <w:bookmarkEnd w:id="67"/>
      <w:r>
        <w:rPr/>
      </w:r>
      <w:bookmarkStart w:name="_bookmark35" w:id="68"/>
      <w:bookmarkEnd w:id="68"/>
      <w:r>
        <w:rPr/>
      </w:r>
      <w:r>
        <w:rPr>
          <w:b/>
          <w:sz w:val="18"/>
        </w:rPr>
        <w:t>Figure</w:t>
      </w:r>
      <w:r>
        <w:rPr>
          <w:b/>
          <w:spacing w:val="-11"/>
          <w:sz w:val="18"/>
        </w:rPr>
        <w:t> </w:t>
      </w:r>
      <w:r>
        <w:rPr>
          <w:b/>
          <w:sz w:val="18"/>
        </w:rPr>
        <w:t>5.21</w:t>
      </w:r>
      <w:r>
        <w:rPr>
          <w:b/>
          <w:spacing w:val="24"/>
          <w:sz w:val="18"/>
        </w:rPr>
        <w:t> </w:t>
      </w:r>
      <w:r>
        <w:rPr>
          <w:sz w:val="18"/>
        </w:rPr>
        <w:t>Examples</w:t>
      </w:r>
      <w:r>
        <w:rPr>
          <w:spacing w:val="-10"/>
          <w:sz w:val="18"/>
        </w:rPr>
        <w:t> </w:t>
      </w:r>
      <w:r>
        <w:rPr>
          <w:sz w:val="18"/>
        </w:rPr>
        <w:t>of</w:t>
      </w:r>
      <w:r>
        <w:rPr>
          <w:spacing w:val="-11"/>
          <w:sz w:val="18"/>
        </w:rPr>
        <w:t> </w:t>
      </w:r>
      <w:r>
        <w:rPr>
          <w:sz w:val="18"/>
        </w:rPr>
        <w:t>how</w:t>
      </w:r>
      <w:r>
        <w:rPr>
          <w:spacing w:val="-10"/>
          <w:sz w:val="18"/>
        </w:rPr>
        <w:t> </w:t>
      </w:r>
      <w:r>
        <w:rPr>
          <w:sz w:val="18"/>
        </w:rPr>
        <w:t>cased</w:t>
      </w:r>
      <w:r>
        <w:rPr>
          <w:spacing w:val="-11"/>
          <w:sz w:val="18"/>
        </w:rPr>
        <w:t> </w:t>
      </w:r>
      <w:r>
        <w:rPr>
          <w:sz w:val="18"/>
        </w:rPr>
        <w:t>and</w:t>
      </w:r>
      <w:r>
        <w:rPr>
          <w:spacing w:val="-10"/>
          <w:sz w:val="18"/>
        </w:rPr>
        <w:t> </w:t>
      </w:r>
      <w:r>
        <w:rPr>
          <w:sz w:val="18"/>
        </w:rPr>
        <w:t>uncased</w:t>
      </w:r>
      <w:r>
        <w:rPr>
          <w:spacing w:val="-10"/>
          <w:sz w:val="18"/>
        </w:rPr>
        <w:t> </w:t>
      </w:r>
      <w:r>
        <w:rPr>
          <w:sz w:val="18"/>
        </w:rPr>
        <w:t>wells</w:t>
      </w:r>
      <w:r>
        <w:rPr>
          <w:spacing w:val="-11"/>
          <w:sz w:val="18"/>
        </w:rPr>
        <w:t> </w:t>
      </w:r>
      <w:r>
        <w:rPr>
          <w:sz w:val="18"/>
        </w:rPr>
        <w:t>are</w:t>
      </w:r>
      <w:r>
        <w:rPr>
          <w:spacing w:val="-10"/>
          <w:sz w:val="18"/>
        </w:rPr>
        <w:t> </w:t>
      </w:r>
      <w:r>
        <w:rPr>
          <w:sz w:val="18"/>
        </w:rPr>
        <w:t>abandoned</w:t>
      </w:r>
      <w:r>
        <w:rPr>
          <w:spacing w:val="-11"/>
          <w:sz w:val="18"/>
        </w:rPr>
        <w:t> </w:t>
      </w:r>
      <w:r>
        <w:rPr>
          <w:sz w:val="18"/>
        </w:rPr>
        <w:t>today.</w:t>
      </w:r>
      <w:r>
        <w:rPr>
          <w:spacing w:val="-10"/>
          <w:sz w:val="18"/>
        </w:rPr>
        <w:t> </w:t>
      </w:r>
      <w:r>
        <w:rPr>
          <w:sz w:val="18"/>
        </w:rPr>
        <w:t>Special</w:t>
      </w:r>
      <w:r>
        <w:rPr>
          <w:spacing w:val="-11"/>
          <w:sz w:val="18"/>
        </w:rPr>
        <w:t> </w:t>
      </w:r>
      <w:r>
        <w:rPr>
          <w:sz w:val="18"/>
        </w:rPr>
        <w:t>requirements</w:t>
      </w:r>
      <w:r>
        <w:rPr>
          <w:spacing w:val="-10"/>
          <w:sz w:val="18"/>
        </w:rPr>
        <w:t> </w:t>
      </w:r>
      <w:r>
        <w:rPr>
          <w:sz w:val="18"/>
        </w:rPr>
        <w:t>may</w:t>
      </w:r>
      <w:r>
        <w:rPr>
          <w:spacing w:val="-11"/>
          <w:sz w:val="18"/>
        </w:rPr>
        <w:t> </w:t>
      </w:r>
      <w:r>
        <w:rPr>
          <w:sz w:val="18"/>
        </w:rPr>
        <w:t>be</w:t>
      </w:r>
      <w:r>
        <w:rPr>
          <w:spacing w:val="-10"/>
          <w:sz w:val="18"/>
        </w:rPr>
        <w:t> </w:t>
      </w:r>
      <w:r>
        <w:rPr>
          <w:sz w:val="18"/>
        </w:rPr>
        <w:t>developed</w:t>
      </w:r>
      <w:r>
        <w:rPr>
          <w:spacing w:val="-10"/>
          <w:sz w:val="18"/>
        </w:rPr>
        <w:t> </w:t>
      </w:r>
      <w:r>
        <w:rPr>
          <w:sz w:val="18"/>
        </w:rPr>
        <w:t>for</w:t>
      </w:r>
      <w:r>
        <w:rPr>
          <w:spacing w:val="-11"/>
          <w:sz w:val="18"/>
        </w:rPr>
        <w:t> </w:t>
      </w:r>
      <w:r>
        <w:rPr>
          <w:sz w:val="18"/>
        </w:rPr>
        <w:t>abandoning</w:t>
      </w:r>
      <w:r>
        <w:rPr>
          <w:spacing w:val="-10"/>
          <w:sz w:val="18"/>
        </w:rPr>
        <w:t> </w:t>
      </w:r>
      <w:r>
        <w:rPr>
          <w:sz w:val="18"/>
        </w:rPr>
        <w:t>CO</w:t>
      </w:r>
      <w:r>
        <w:rPr>
          <w:position w:val="-5"/>
          <w:sz w:val="10"/>
        </w:rPr>
        <w:t>2</w:t>
      </w:r>
      <w:r>
        <w:rPr>
          <w:spacing w:val="9"/>
          <w:position w:val="-5"/>
          <w:sz w:val="10"/>
        </w:rPr>
        <w:t> </w:t>
      </w:r>
      <w:r>
        <w:rPr>
          <w:sz w:val="18"/>
        </w:rPr>
        <w:t>storage wells, including use of corrosion-resistant cement plugs and removing all or part of the casing in the injection interval and</w:t>
      </w:r>
      <w:r>
        <w:rPr>
          <w:spacing w:val="-4"/>
          <w:sz w:val="18"/>
        </w:rPr>
        <w:t> </w:t>
      </w:r>
      <w:r>
        <w:rPr>
          <w:sz w:val="18"/>
        </w:rPr>
        <w:t>caprock.</w:t>
      </w:r>
    </w:p>
    <w:p>
      <w:pPr>
        <w:pStyle w:val="BodyText"/>
        <w:spacing w:before="4"/>
        <w:rPr>
          <w:sz w:val="19"/>
        </w:rPr>
      </w:pPr>
    </w:p>
    <w:p>
      <w:pPr>
        <w:spacing w:after="0"/>
        <w:rPr>
          <w:sz w:val="19"/>
        </w:rPr>
        <w:sectPr>
          <w:pgSz w:w="12240" w:h="15840"/>
          <w:pgMar w:header="567" w:footer="0" w:top="760" w:bottom="280" w:left="580" w:right="600"/>
        </w:sectPr>
      </w:pPr>
    </w:p>
    <w:p>
      <w:pPr>
        <w:pStyle w:val="BodyText"/>
        <w:spacing w:line="249" w:lineRule="auto" w:before="63"/>
        <w:ind w:left="157" w:right="38"/>
        <w:jc w:val="both"/>
      </w:pPr>
      <w:r>
        <w:rPr/>
        <w:t>for possible and alternative abandonment procedures. Sealing performance of abandoned wells may need to be monitored for some time after storage operations are completed.</w:t>
      </w:r>
    </w:p>
    <w:p>
      <w:pPr>
        <w:pStyle w:val="BodyText"/>
        <w:spacing w:before="1"/>
        <w:rPr>
          <w:sz w:val="21"/>
        </w:rPr>
      </w:pPr>
    </w:p>
    <w:p>
      <w:pPr>
        <w:pStyle w:val="Heading2"/>
        <w:numPr>
          <w:ilvl w:val="2"/>
          <w:numId w:val="7"/>
        </w:numPr>
        <w:tabs>
          <w:tab w:pos="976" w:val="left" w:leader="none"/>
          <w:tab w:pos="977" w:val="left" w:leader="none"/>
        </w:tabs>
        <w:spacing w:line="240" w:lineRule="auto" w:before="0" w:after="0"/>
        <w:ind w:left="977" w:right="0" w:hanging="820"/>
        <w:jc w:val="left"/>
        <w:rPr>
          <w:i/>
        </w:rPr>
      </w:pPr>
      <w:r>
        <w:rPr>
          <w:i/>
        </w:rPr>
        <w:t>Injection well pressure and reservoir</w:t>
      </w:r>
      <w:r>
        <w:rPr>
          <w:i/>
          <w:spacing w:val="-10"/>
        </w:rPr>
        <w:t> </w:t>
      </w:r>
      <w:r>
        <w:rPr>
          <w:i/>
        </w:rPr>
        <w:t>constraints</w:t>
      </w:r>
    </w:p>
    <w:p>
      <w:pPr>
        <w:pStyle w:val="BodyText"/>
        <w:spacing w:before="3"/>
        <w:rPr>
          <w:b/>
          <w:i/>
          <w:sz w:val="21"/>
        </w:rPr>
      </w:pPr>
    </w:p>
    <w:p>
      <w:pPr>
        <w:pStyle w:val="BodyText"/>
        <w:spacing w:line="240" w:lineRule="exact"/>
        <w:ind w:left="157" w:right="38"/>
        <w:jc w:val="both"/>
      </w:pPr>
      <w:r>
        <w:rPr/>
        <w:t>Injectivity characterizes the ease with which fluid can be injected into a geological formation and is defined as </w:t>
      </w:r>
      <w:r>
        <w:rPr>
          <w:spacing w:val="-5"/>
        </w:rPr>
        <w:t>the </w:t>
      </w:r>
      <w:r>
        <w:rPr/>
        <w:t>injection rate divided by the pressure difference between the injection</w:t>
      </w:r>
      <w:r>
        <w:rPr>
          <w:spacing w:val="-6"/>
        </w:rPr>
        <w:t> </w:t>
      </w:r>
      <w:r>
        <w:rPr/>
        <w:t>point</w:t>
      </w:r>
      <w:r>
        <w:rPr>
          <w:spacing w:val="-6"/>
        </w:rPr>
        <w:t> </w:t>
      </w:r>
      <w:r>
        <w:rPr/>
        <w:t>inside</w:t>
      </w:r>
      <w:r>
        <w:rPr>
          <w:spacing w:val="-6"/>
        </w:rPr>
        <w:t> </w:t>
      </w:r>
      <w:r>
        <w:rPr/>
        <w:t>the</w:t>
      </w:r>
      <w:r>
        <w:rPr>
          <w:spacing w:val="-5"/>
        </w:rPr>
        <w:t> </w:t>
      </w:r>
      <w:r>
        <w:rPr/>
        <w:t>well</w:t>
      </w:r>
      <w:r>
        <w:rPr>
          <w:spacing w:val="-6"/>
        </w:rPr>
        <w:t> </w:t>
      </w:r>
      <w:r>
        <w:rPr/>
        <w:t>and</w:t>
      </w:r>
      <w:r>
        <w:rPr>
          <w:spacing w:val="-6"/>
        </w:rPr>
        <w:t> </w:t>
      </w:r>
      <w:r>
        <w:rPr/>
        <w:t>the</w:t>
      </w:r>
      <w:r>
        <w:rPr>
          <w:spacing w:val="-6"/>
        </w:rPr>
        <w:t> </w:t>
      </w:r>
      <w:r>
        <w:rPr/>
        <w:t>formation.</w:t>
      </w:r>
      <w:r>
        <w:rPr>
          <w:spacing w:val="-16"/>
        </w:rPr>
        <w:t> </w:t>
      </w:r>
      <w:r>
        <w:rPr/>
        <w:t>Although</w:t>
      </w:r>
      <w:r>
        <w:rPr>
          <w:spacing w:val="-6"/>
        </w:rPr>
        <w:t> </w:t>
      </w:r>
      <w:r>
        <w:rPr/>
        <w:t>CO</w:t>
      </w:r>
      <w:r>
        <w:rPr>
          <w:position w:val="-6"/>
          <w:sz w:val="11"/>
        </w:rPr>
        <w:t>2 </w:t>
      </w:r>
      <w:r>
        <w:rPr/>
        <w:t>injectivity should be significantly greater than brine injectivity (because CO</w:t>
      </w:r>
      <w:r>
        <w:rPr>
          <w:position w:val="-6"/>
          <w:sz w:val="11"/>
        </w:rPr>
        <w:t>2 </w:t>
      </w:r>
      <w:r>
        <w:rPr/>
        <w:t>has a much lower viscosity than brine), this </w:t>
      </w:r>
      <w:r>
        <w:rPr>
          <w:spacing w:val="-6"/>
        </w:rPr>
        <w:t>is </w:t>
      </w:r>
      <w:r>
        <w:rPr/>
        <w:t>not always the case. Grigg (2005) analyzed the performance  of CO</w:t>
      </w:r>
      <w:r>
        <w:rPr>
          <w:position w:val="-6"/>
          <w:sz w:val="11"/>
        </w:rPr>
        <w:t>2 </w:t>
      </w:r>
      <w:r>
        <w:rPr/>
        <w:t>floods in west </w:t>
      </w:r>
      <w:r>
        <w:rPr>
          <w:spacing w:val="-3"/>
        </w:rPr>
        <w:t>Texas </w:t>
      </w:r>
      <w:r>
        <w:rPr/>
        <w:t>and concluded that, in more than half of the projects, injectivity was lower than expected </w:t>
      </w:r>
      <w:r>
        <w:rPr>
          <w:spacing w:val="-7"/>
        </w:rPr>
        <w:t>or </w:t>
      </w:r>
      <w:r>
        <w:rPr/>
        <w:t>decreased over time. Christman and Gorell (1990)  showed that unexpected CO</w:t>
      </w:r>
      <w:r>
        <w:rPr>
          <w:position w:val="-6"/>
          <w:sz w:val="11"/>
        </w:rPr>
        <w:t>2</w:t>
      </w:r>
      <w:r>
        <w:rPr/>
        <w:t>-injectivity behaviour in EOR operations is caused primarily by differences in flow geometry and fluid properties of the oil. Injectivity changes can also be related to insufficiently known relative permeability</w:t>
      </w:r>
      <w:r>
        <w:rPr>
          <w:spacing w:val="-3"/>
        </w:rPr>
        <w:t> </w:t>
      </w:r>
      <w:r>
        <w:rPr/>
        <w:t>effects.</w:t>
      </w:r>
    </w:p>
    <w:p>
      <w:pPr>
        <w:pStyle w:val="BodyText"/>
        <w:spacing w:line="240" w:lineRule="exact"/>
        <w:ind w:left="157" w:right="38" w:firstLine="283"/>
        <w:jc w:val="both"/>
      </w:pPr>
      <w:r>
        <w:rPr>
          <w:spacing w:val="-7"/>
        </w:rPr>
        <w:t>To </w:t>
      </w:r>
      <w:r>
        <w:rPr/>
        <w:t>introduce CO</w:t>
      </w:r>
      <w:r>
        <w:rPr>
          <w:position w:val="-6"/>
          <w:sz w:val="11"/>
        </w:rPr>
        <w:t>2 </w:t>
      </w:r>
      <w:r>
        <w:rPr/>
        <w:t>into the storage formation, the downhole injection pressure must be higher than the reservoir fluid pressure. On the other hand, increasing formation pressure may induce fractures in the formation. Regulatory</w:t>
      </w:r>
      <w:r>
        <w:rPr>
          <w:spacing w:val="-17"/>
        </w:rPr>
        <w:t> </w:t>
      </w:r>
      <w:r>
        <w:rPr/>
        <w:t>agencies</w:t>
      </w:r>
    </w:p>
    <w:p>
      <w:pPr>
        <w:pStyle w:val="BodyText"/>
        <w:spacing w:line="249" w:lineRule="auto" w:before="63"/>
        <w:ind w:left="157" w:right="531"/>
        <w:jc w:val="both"/>
      </w:pPr>
      <w:r>
        <w:rPr/>
        <w:br w:type="column"/>
      </w:r>
      <w:r>
        <w:rPr/>
        <w:t>normally limit the maximum downhole pressure to </w:t>
      </w:r>
      <w:r>
        <w:rPr>
          <w:spacing w:val="-3"/>
        </w:rPr>
        <w:t>avoid </w:t>
      </w:r>
      <w:r>
        <w:rPr/>
        <w:t>fracturing the injection formation. Measurements of </w:t>
      </w:r>
      <w:r>
        <w:rPr>
          <w:i/>
        </w:rPr>
        <w:t>in-situ </w:t>
      </w:r>
      <w:r>
        <w:rPr/>
        <w:t>formation stresses and pore fluid pressure are needed for establishing</w:t>
      </w:r>
      <w:r>
        <w:rPr>
          <w:spacing w:val="-14"/>
        </w:rPr>
        <w:t> </w:t>
      </w:r>
      <w:r>
        <w:rPr/>
        <w:t>safe</w:t>
      </w:r>
      <w:r>
        <w:rPr>
          <w:spacing w:val="-13"/>
        </w:rPr>
        <w:t> </w:t>
      </w:r>
      <w:r>
        <w:rPr/>
        <w:t>injection</w:t>
      </w:r>
      <w:r>
        <w:rPr>
          <w:spacing w:val="-14"/>
        </w:rPr>
        <w:t> </w:t>
      </w:r>
      <w:r>
        <w:rPr/>
        <w:t>pressures.</w:t>
      </w:r>
      <w:r>
        <w:rPr>
          <w:spacing w:val="-13"/>
        </w:rPr>
        <w:t> </w:t>
      </w:r>
      <w:r>
        <w:rPr/>
        <w:t>Depletion</w:t>
      </w:r>
      <w:r>
        <w:rPr>
          <w:spacing w:val="-14"/>
        </w:rPr>
        <w:t> </w:t>
      </w:r>
      <w:r>
        <w:rPr/>
        <w:t>of</w:t>
      </w:r>
      <w:r>
        <w:rPr>
          <w:spacing w:val="-13"/>
        </w:rPr>
        <w:t> </w:t>
      </w:r>
      <w:r>
        <w:rPr/>
        <w:t>fluid</w:t>
      </w:r>
      <w:r>
        <w:rPr>
          <w:spacing w:val="-14"/>
        </w:rPr>
        <w:t> </w:t>
      </w:r>
      <w:r>
        <w:rPr/>
        <w:t>pressure during production can affect the state of stress in the reservoir. Analysis of some depleted reservoirs indicated that horizontal rock</w:t>
      </w:r>
      <w:r>
        <w:rPr>
          <w:spacing w:val="-5"/>
        </w:rPr>
        <w:t> </w:t>
      </w:r>
      <w:r>
        <w:rPr/>
        <w:t>stress</w:t>
      </w:r>
      <w:r>
        <w:rPr>
          <w:spacing w:val="-5"/>
        </w:rPr>
        <w:t> </w:t>
      </w:r>
      <w:r>
        <w:rPr/>
        <w:t>decreased</w:t>
      </w:r>
      <w:r>
        <w:rPr>
          <w:spacing w:val="-4"/>
        </w:rPr>
        <w:t> </w:t>
      </w:r>
      <w:r>
        <w:rPr/>
        <w:t>by</w:t>
      </w:r>
      <w:r>
        <w:rPr>
          <w:spacing w:val="-5"/>
        </w:rPr>
        <w:t> </w:t>
      </w:r>
      <w:r>
        <w:rPr/>
        <w:t>50–80%</w:t>
      </w:r>
      <w:r>
        <w:rPr>
          <w:spacing w:val="-4"/>
        </w:rPr>
        <w:t> </w:t>
      </w:r>
      <w:r>
        <w:rPr/>
        <w:t>of</w:t>
      </w:r>
      <w:r>
        <w:rPr>
          <w:spacing w:val="-5"/>
        </w:rPr>
        <w:t> </w:t>
      </w:r>
      <w:r>
        <w:rPr/>
        <w:t>the</w:t>
      </w:r>
      <w:r>
        <w:rPr>
          <w:spacing w:val="-4"/>
        </w:rPr>
        <w:t> </w:t>
      </w:r>
      <w:r>
        <w:rPr/>
        <w:t>pore</w:t>
      </w:r>
      <w:r>
        <w:rPr>
          <w:spacing w:val="-5"/>
        </w:rPr>
        <w:t> </w:t>
      </w:r>
      <w:r>
        <w:rPr/>
        <w:t>pressure</w:t>
      </w:r>
      <w:r>
        <w:rPr>
          <w:spacing w:val="-4"/>
        </w:rPr>
        <w:t> </w:t>
      </w:r>
      <w:r>
        <w:rPr/>
        <w:t>decrease, which</w:t>
      </w:r>
      <w:r>
        <w:rPr>
          <w:spacing w:val="-13"/>
        </w:rPr>
        <w:t> </w:t>
      </w:r>
      <w:r>
        <w:rPr/>
        <w:t>increased</w:t>
      </w:r>
      <w:r>
        <w:rPr>
          <w:spacing w:val="-12"/>
        </w:rPr>
        <w:t> </w:t>
      </w:r>
      <w:r>
        <w:rPr/>
        <w:t>the</w:t>
      </w:r>
      <w:r>
        <w:rPr>
          <w:spacing w:val="-13"/>
        </w:rPr>
        <w:t> </w:t>
      </w:r>
      <w:r>
        <w:rPr/>
        <w:t>possibility</w:t>
      </w:r>
      <w:r>
        <w:rPr>
          <w:spacing w:val="-12"/>
        </w:rPr>
        <w:t> </w:t>
      </w:r>
      <w:r>
        <w:rPr/>
        <w:t>of</w:t>
      </w:r>
      <w:r>
        <w:rPr>
          <w:spacing w:val="-13"/>
        </w:rPr>
        <w:t> </w:t>
      </w:r>
      <w:r>
        <w:rPr/>
        <w:t>fracturing</w:t>
      </w:r>
      <w:r>
        <w:rPr>
          <w:spacing w:val="-12"/>
        </w:rPr>
        <w:t> </w:t>
      </w:r>
      <w:r>
        <w:rPr/>
        <w:t>the</w:t>
      </w:r>
      <w:r>
        <w:rPr>
          <w:spacing w:val="-13"/>
        </w:rPr>
        <w:t> </w:t>
      </w:r>
      <w:r>
        <w:rPr/>
        <w:t>reservoir</w:t>
      </w:r>
      <w:r>
        <w:rPr>
          <w:spacing w:val="-12"/>
        </w:rPr>
        <w:t> </w:t>
      </w:r>
      <w:r>
        <w:rPr/>
        <w:t>(Streit and Hillis,</w:t>
      </w:r>
      <w:r>
        <w:rPr>
          <w:spacing w:val="-2"/>
        </w:rPr>
        <w:t> </w:t>
      </w:r>
      <w:r>
        <w:rPr/>
        <w:t>2003).</w:t>
      </w:r>
    </w:p>
    <w:p>
      <w:pPr>
        <w:pStyle w:val="BodyText"/>
        <w:spacing w:line="249" w:lineRule="auto" w:before="8"/>
        <w:ind w:left="157" w:right="530" w:firstLine="283"/>
        <w:jc w:val="both"/>
      </w:pPr>
      <w:r>
        <w:rPr/>
        <w:t>Safe injection pressures can vary </w:t>
      </w:r>
      <w:r>
        <w:rPr>
          <w:spacing w:val="-3"/>
        </w:rPr>
        <w:t>widely, </w:t>
      </w:r>
      <w:r>
        <w:rPr/>
        <w:t>depending on the state</w:t>
      </w:r>
      <w:r>
        <w:rPr>
          <w:spacing w:val="-23"/>
        </w:rPr>
        <w:t> </w:t>
      </w:r>
      <w:r>
        <w:rPr/>
        <w:t>of</w:t>
      </w:r>
      <w:r>
        <w:rPr>
          <w:spacing w:val="-23"/>
        </w:rPr>
        <w:t> </w:t>
      </w:r>
      <w:r>
        <w:rPr/>
        <w:t>stress</w:t>
      </w:r>
      <w:r>
        <w:rPr>
          <w:spacing w:val="-23"/>
        </w:rPr>
        <w:t> </w:t>
      </w:r>
      <w:r>
        <w:rPr/>
        <w:t>and</w:t>
      </w:r>
      <w:r>
        <w:rPr>
          <w:spacing w:val="-23"/>
        </w:rPr>
        <w:t> </w:t>
      </w:r>
      <w:r>
        <w:rPr/>
        <w:t>tectonic</w:t>
      </w:r>
      <w:r>
        <w:rPr>
          <w:spacing w:val="-23"/>
        </w:rPr>
        <w:t> </w:t>
      </w:r>
      <w:r>
        <w:rPr/>
        <w:t>history</w:t>
      </w:r>
      <w:r>
        <w:rPr>
          <w:spacing w:val="-23"/>
        </w:rPr>
        <w:t> </w:t>
      </w:r>
      <w:r>
        <w:rPr/>
        <w:t>of</w:t>
      </w:r>
      <w:r>
        <w:rPr>
          <w:spacing w:val="-22"/>
        </w:rPr>
        <w:t> </w:t>
      </w:r>
      <w:r>
        <w:rPr/>
        <w:t>a</w:t>
      </w:r>
      <w:r>
        <w:rPr>
          <w:spacing w:val="-23"/>
        </w:rPr>
        <w:t> </w:t>
      </w:r>
      <w:r>
        <w:rPr/>
        <w:t>basin.</w:t>
      </w:r>
      <w:r>
        <w:rPr>
          <w:spacing w:val="-23"/>
        </w:rPr>
        <w:t> </w:t>
      </w:r>
      <w:r>
        <w:rPr/>
        <w:t>Regulatory</w:t>
      </w:r>
      <w:r>
        <w:rPr>
          <w:spacing w:val="-23"/>
        </w:rPr>
        <w:t> </w:t>
      </w:r>
      <w:r>
        <w:rPr/>
        <w:t>agencies have determined safe injection pressures from experience </w:t>
      </w:r>
      <w:r>
        <w:rPr>
          <w:spacing w:val="-6"/>
        </w:rPr>
        <w:t>in </w:t>
      </w:r>
      <w:r>
        <w:rPr/>
        <w:t>specific</w:t>
      </w:r>
      <w:r>
        <w:rPr>
          <w:spacing w:val="-7"/>
        </w:rPr>
        <w:t> </w:t>
      </w:r>
      <w:r>
        <w:rPr/>
        <w:t>oil</w:t>
      </w:r>
      <w:r>
        <w:rPr>
          <w:spacing w:val="-7"/>
        </w:rPr>
        <w:t> </w:t>
      </w:r>
      <w:r>
        <w:rPr/>
        <w:t>and</w:t>
      </w:r>
      <w:r>
        <w:rPr>
          <w:spacing w:val="-7"/>
        </w:rPr>
        <w:t> </w:t>
      </w:r>
      <w:r>
        <w:rPr/>
        <w:t>gas</w:t>
      </w:r>
      <w:r>
        <w:rPr>
          <w:spacing w:val="-7"/>
        </w:rPr>
        <w:t> </w:t>
      </w:r>
      <w:r>
        <w:rPr/>
        <w:t>provinces.</w:t>
      </w:r>
      <w:r>
        <w:rPr>
          <w:spacing w:val="-11"/>
        </w:rPr>
        <w:t> </w:t>
      </w:r>
      <w:r>
        <w:rPr>
          <w:spacing w:val="-8"/>
        </w:rPr>
        <w:t>Van</w:t>
      </w:r>
      <w:r>
        <w:rPr>
          <w:spacing w:val="-7"/>
        </w:rPr>
        <w:t> </w:t>
      </w:r>
      <w:r>
        <w:rPr/>
        <w:t>der</w:t>
      </w:r>
      <w:r>
        <w:rPr>
          <w:spacing w:val="-7"/>
        </w:rPr>
        <w:t> </w:t>
      </w:r>
      <w:r>
        <w:rPr/>
        <w:t>Meer</w:t>
      </w:r>
      <w:r>
        <w:rPr>
          <w:spacing w:val="-7"/>
        </w:rPr>
        <w:t> </w:t>
      </w:r>
      <w:r>
        <w:rPr/>
        <w:t>(1996)</w:t>
      </w:r>
      <w:r>
        <w:rPr>
          <w:spacing w:val="-7"/>
        </w:rPr>
        <w:t> </w:t>
      </w:r>
      <w:r>
        <w:rPr/>
        <w:t>has</w:t>
      </w:r>
      <w:r>
        <w:rPr>
          <w:spacing w:val="-7"/>
        </w:rPr>
        <w:t> </w:t>
      </w:r>
      <w:r>
        <w:rPr/>
        <w:t>derived a relationship for the maximum safe injection pressure. This relationship indicated that for a depth down to 1000 m, </w:t>
      </w:r>
      <w:r>
        <w:rPr>
          <w:spacing w:val="-5"/>
        </w:rPr>
        <w:t>the </w:t>
      </w:r>
      <w:r>
        <w:rPr/>
        <w:t>maximum injection pressure is estimated to be 1.35 times </w:t>
      </w:r>
      <w:r>
        <w:rPr>
          <w:spacing w:val="-5"/>
        </w:rPr>
        <w:t>the </w:t>
      </w:r>
      <w:r>
        <w:rPr/>
        <w:t>hydrostatic pressure – and this increased to 2.4 for depths of 1–5 km. The maximum pressure gradient allowed for natural gas stored in an aquifer in Germany is 16.8 kPa m</w:t>
      </w:r>
      <w:r>
        <w:rPr>
          <w:position w:val="7"/>
          <w:sz w:val="11"/>
        </w:rPr>
        <w:t>–1 </w:t>
      </w:r>
      <w:r>
        <w:rPr/>
        <w:t>(Sedlacek, 1999). This value exceeds the natural pressure gradients </w:t>
      </w:r>
      <w:r>
        <w:rPr>
          <w:spacing w:val="-6"/>
        </w:rPr>
        <w:t>of </w:t>
      </w:r>
      <w:r>
        <w:rPr/>
        <w:t>formation waters in northeastern </w:t>
      </w:r>
      <w:r>
        <w:rPr>
          <w:spacing w:val="-3"/>
        </w:rPr>
        <w:t>Germany, </w:t>
      </w:r>
      <w:r>
        <w:rPr/>
        <w:t>which are on the order of 10.5–13.1 kPa m</w:t>
      </w:r>
      <w:r>
        <w:rPr>
          <w:position w:val="7"/>
          <w:sz w:val="11"/>
        </w:rPr>
        <w:t>–1</w:t>
      </w:r>
      <w:r>
        <w:rPr/>
        <w:t>. In Denmark or Great Britain, the maximum pressure gradients for aquifer storage  of  natural gas</w:t>
      </w:r>
      <w:r>
        <w:rPr>
          <w:spacing w:val="15"/>
        </w:rPr>
        <w:t> </w:t>
      </w:r>
      <w:r>
        <w:rPr/>
        <w:t>do</w:t>
      </w:r>
      <w:r>
        <w:rPr>
          <w:spacing w:val="16"/>
        </w:rPr>
        <w:t> </w:t>
      </w:r>
      <w:r>
        <w:rPr/>
        <w:t>not</w:t>
      </w:r>
      <w:r>
        <w:rPr>
          <w:spacing w:val="16"/>
        </w:rPr>
        <w:t> </w:t>
      </w:r>
      <w:r>
        <w:rPr/>
        <w:t>exceed</w:t>
      </w:r>
      <w:r>
        <w:rPr>
          <w:spacing w:val="15"/>
        </w:rPr>
        <w:t> </w:t>
      </w:r>
      <w:r>
        <w:rPr/>
        <w:t>hydrostatic</w:t>
      </w:r>
      <w:r>
        <w:rPr>
          <w:spacing w:val="16"/>
        </w:rPr>
        <w:t> </w:t>
      </w:r>
      <w:r>
        <w:rPr/>
        <w:t>gradients.</w:t>
      </w:r>
      <w:r>
        <w:rPr>
          <w:spacing w:val="16"/>
        </w:rPr>
        <w:t> </w:t>
      </w:r>
      <w:r>
        <w:rPr/>
        <w:t>In</w:t>
      </w:r>
      <w:r>
        <w:rPr>
          <w:spacing w:val="16"/>
        </w:rPr>
        <w:t> </w:t>
      </w:r>
      <w:r>
        <w:rPr/>
        <w:t>the</w:t>
      </w:r>
      <w:r>
        <w:rPr>
          <w:spacing w:val="15"/>
        </w:rPr>
        <w:t> </w:t>
      </w:r>
      <w:r>
        <w:rPr/>
        <w:t>United</w:t>
      </w:r>
      <w:r>
        <w:rPr>
          <w:spacing w:val="16"/>
        </w:rPr>
        <w:t> </w:t>
      </w:r>
      <w:r>
        <w:rPr/>
        <w:t>States,</w:t>
      </w:r>
    </w:p>
    <w:p>
      <w:pPr>
        <w:spacing w:after="0" w:line="249" w:lineRule="auto"/>
        <w:jc w:val="both"/>
        <w:sectPr>
          <w:type w:val="continuous"/>
          <w:pgSz w:w="12240" w:h="15840"/>
          <w:pgMar w:top="400" w:bottom="280" w:left="580" w:right="600"/>
          <w:cols w:num="2" w:equalWidth="0">
            <w:col w:w="5242" w:space="85"/>
            <w:col w:w="5733"/>
          </w:cols>
        </w:sectPr>
      </w:pPr>
    </w:p>
    <w:p>
      <w:pPr>
        <w:pStyle w:val="BodyText"/>
      </w:pPr>
    </w:p>
    <w:p>
      <w:pPr>
        <w:pStyle w:val="BodyText"/>
        <w:spacing w:before="8"/>
        <w:rPr>
          <w:sz w:val="23"/>
        </w:rPr>
      </w:pPr>
    </w:p>
    <w:p>
      <w:pPr>
        <w:pStyle w:val="BodyText"/>
        <w:ind w:left="553"/>
      </w:pPr>
      <w:r>
        <w:rPr/>
        <w:pict>
          <v:group style="width:519pt;height:267.5pt;mso-position-horizontal-relative:char;mso-position-vertical-relative:line" coordorigin="0,0" coordsize="10380,5350">
            <v:line style="position:absolute" from="8331,4637" to="8331,4732" stroked="true" strokeweight=".5pt" strokecolor="#000000">
              <v:stroke dashstyle="solid"/>
            </v:line>
            <v:line style="position:absolute" from="7683,4637" to="7683,4732" stroked="true" strokeweight=".5pt" strokecolor="#000000">
              <v:stroke dashstyle="solid"/>
            </v:line>
            <v:line style="position:absolute" from="7035,4637" to="7035,4732" stroked="true" strokeweight=".5pt" strokecolor="#000000">
              <v:stroke dashstyle="solid"/>
            </v:line>
            <v:line style="position:absolute" from="6416,4637" to="6416,4732" stroked="true" strokeweight=".5pt" strokecolor="#000000">
              <v:stroke dashstyle="solid"/>
            </v:line>
            <v:line style="position:absolute" from="5768,4637" to="5768,4732" stroked="true" strokeweight=".5pt" strokecolor="#000000">
              <v:stroke dashstyle="solid"/>
            </v:line>
            <v:line style="position:absolute" from="5120,4637" to="5120,4732" stroked="true" strokeweight=".5pt" strokecolor="#000000">
              <v:stroke dashstyle="solid"/>
            </v:line>
            <v:line style="position:absolute" from="1257,4641" to="9631,4641" stroked="true" strokeweight=".5pt" strokecolor="#000000">
              <v:stroke dashstyle="solid"/>
            </v:line>
            <v:line style="position:absolute" from="1198,4641" to="1264,4641" stroked="true" strokeweight=".5pt" strokecolor="#000000">
              <v:stroke dashstyle="solid"/>
            </v:line>
            <v:line style="position:absolute" from="1198,143" to="1264,143" stroked="true" strokeweight=".5pt" strokecolor="#000000">
              <v:stroke dashstyle="solid"/>
            </v:line>
            <v:line style="position:absolute" from="1198,1054" to="1264,1054" stroked="true" strokeweight=".5pt" strokecolor="#000000">
              <v:stroke dashstyle="solid"/>
            </v:line>
            <v:line style="position:absolute" from="1198,1936" to="1264,1936" stroked="true" strokeweight=".5pt" strokecolor="#000000">
              <v:stroke dashstyle="solid"/>
            </v:line>
            <v:line style="position:absolute" from="1198,2847" to="1264,2847" stroked="true" strokeweight=".5pt" strokecolor="#000000">
              <v:stroke dashstyle="solid"/>
            </v:line>
            <v:line style="position:absolute" from="1198,3729" to="1264,3729" stroked="true" strokeweight=".5pt" strokecolor="#000000">
              <v:stroke dashstyle="solid"/>
            </v:line>
            <v:line style="position:absolute" from="1261,139" to="1261,4644" stroked="true" strokeweight=".5pt" strokecolor="#000000">
              <v:stroke dashstyle="solid"/>
            </v:line>
            <v:line style="position:absolute" from="9628,4637" to="9628,4732" stroked="true" strokeweight=".5pt" strokecolor="#000000">
              <v:stroke dashstyle="solid"/>
            </v:line>
            <v:line style="position:absolute" from="8979,4637" to="8979,4732" stroked="true" strokeweight=".5pt" strokecolor="#000000">
              <v:stroke dashstyle="solid"/>
            </v:line>
            <v:line style="position:absolute" from="4472,4637" to="4472,4732" stroked="true" strokeweight=".5pt" strokecolor="#000000">
              <v:stroke dashstyle="solid"/>
            </v:line>
            <v:line style="position:absolute" from="3853,4637" to="3853,4732" stroked="true" strokeweight=".5pt" strokecolor="#000000">
              <v:stroke dashstyle="solid"/>
            </v:line>
            <v:line style="position:absolute" from="3205,4637" to="3205,4732" stroked="true" strokeweight=".5pt" strokecolor="#000000">
              <v:stroke dashstyle="solid"/>
            </v:line>
            <v:line style="position:absolute" from="2557,4637" to="2557,4732" stroked="true" strokeweight=".5pt" strokecolor="#000000">
              <v:stroke dashstyle="solid"/>
            </v:line>
            <v:line style="position:absolute" from="1909,4637" to="1909,4732" stroked="true" strokeweight=".5pt" strokecolor="#000000">
              <v:stroke dashstyle="solid"/>
            </v:line>
            <v:line style="position:absolute" from="1261,4637" to="1261,4732" stroked="true" strokeweight=".5pt" strokecolor="#000000">
              <v:stroke dashstyle="solid"/>
            </v:line>
            <v:line style="position:absolute" from="9477,2877" to="9779,2877" stroked="true" strokeweight=".5pt" strokecolor="#e11b25">
              <v:stroke dashstyle="solid"/>
            </v:line>
            <v:line style="position:absolute" from="8828,2877" to="9213,2877" stroked="true" strokeweight=".5pt" strokecolor="#e11b25">
              <v:stroke dashstyle="solid"/>
            </v:line>
            <v:line style="position:absolute" from="8180,2877" to="8563,2877" stroked="true" strokeweight=".5pt" strokecolor="#e11b25">
              <v:stroke dashstyle="solid"/>
            </v:line>
            <v:line style="position:absolute" from="1346,2877" to="7915,2877" stroked="true" strokeweight=".5pt" strokecolor="#e11b25">
              <v:stroke dashstyle="solid"/>
            </v:line>
            <v:rect style="position:absolute;left:1710;top:270;width:177;height:183" filled="true" fillcolor="#ffe800" stroked="false">
              <v:fill type="solid"/>
            </v:rect>
            <v:rect style="position:absolute;left:1710;top:270;width:177;height:183" filled="false" stroked="true" strokeweight=".4pt" strokecolor="#000000">
              <v:stroke dashstyle="solid"/>
            </v:rect>
            <v:rect style="position:absolute;left:1706;top:632;width:177;height:177" filled="true" fillcolor="#008f34" stroked="false">
              <v:fill type="solid"/>
            </v:rect>
            <v:rect style="position:absolute;left:1706;top:632;width:177;height:177" filled="false" stroked="true" strokeweight=".4pt" strokecolor="#000000">
              <v:stroke dashstyle="solid"/>
            </v:rect>
            <v:rect style="position:absolute;left:1704;top:966;width:177;height:179" filled="true" fillcolor="#006eb1" stroked="false">
              <v:fill type="solid"/>
            </v:rect>
            <v:rect style="position:absolute;left:1704;top:966;width:177;height:179" filled="false" stroked="true" strokeweight=".4pt" strokecolor="#000000">
              <v:stroke dashstyle="solid"/>
            </v:rect>
            <v:shape style="position:absolute;left:1027;top:4794;width:1018;height:315" type="#_x0000_t75" stroked="false">
              <v:imagedata r:id="rId196" o:title=""/>
            </v:shape>
            <v:shape style="position:absolute;left:1912;top:3853;width:751;height:285" type="#_x0000_t75" stroked="false">
              <v:imagedata r:id="rId197" o:title=""/>
            </v:shape>
            <v:line style="position:absolute" from="2719,4001" to="2719,4139" stroked="true" strokeweight="1.421pt" strokecolor="#69822a">
              <v:stroke dashstyle="solid"/>
            </v:line>
            <v:shape style="position:absolute;left:2348;top:4794;width:1103;height:315" type="#_x0000_t75" stroked="false">
              <v:imagedata r:id="rId198" o:title=""/>
            </v:shape>
            <v:shape style="position:absolute;left:3505;top:3855;width:150;height:107" type="#_x0000_t75" stroked="false">
              <v:imagedata r:id="rId199" o:title=""/>
            </v:shape>
            <v:shape style="position:absolute;left:3267;top:4000;width:590;height:138" coordorigin="3268,4001" coordsize="590,138" path="m3836,4001l3829,4001,3834,4012,3838,4021,3842,4033,3843,4040,3846,4055,3846,4062,3846,4070,3845,4087,3842,4104,3836,4121,3829,4139,3836,4139,3842,4130,3847,4120,3855,4096,3857,4083,3857,4070,3856,4052,3852,4035,3845,4018,3836,4001xm3799,4030l3782,4030,3775,4033,3764,4047,3761,4057,3761,4083,3764,4093,3775,4106,3782,4110,3798,4110,3804,4107,3813,4099,3814,4099,3786,4099,3782,4097,3774,4088,3773,4082,3772,4073,3819,4073,3819,4062,3773,4062,3773,4056,3775,4050,3778,4046,3782,4042,3786,4040,3811,4040,3805,4033,3799,4030xm3808,4083l3804,4094,3799,4099,3814,4099,3817,4093,3818,4085,3808,4083xm3811,4040l3796,4040,3800,4043,3806,4051,3807,4056,3808,4062,3819,4062,3819,4057,3816,4047,3811,4040xm3707,4032l3698,4032,3698,4108,3708,4108,3708,4057,3710,4050,3716,4043,3717,4042,3707,4042,3707,4032xm3746,4041l3728,4041,3730,4042,3734,4044,3736,4046,3737,4052,3738,4056,3738,4108,3749,4108,3748,4052,3748,4049,3746,4042,3746,4041xm3730,4030l3723,4030,3719,4031,3712,4035,3710,4038,3707,4042,3717,4042,3720,4041,3746,4041,3745,4039,3742,4035,3739,4033,3734,4030,3730,4030xm3681,4032l3671,4032,3671,4108,3681,4108,3681,4032xm3681,4003l3671,4003,3671,4017,3681,4017,3681,4003xm3640,4032l3631,4032,3631,4108,3641,4108,3641,4062,3642,4057,3644,4049,3645,4047,3649,4044,3651,4043,3662,4043,3662,4043,3640,4043,3640,4032xm3662,4043l3656,4043,3658,4044,3661,4046,3662,4043xm3657,4030l3651,4030,3649,4031,3645,4034,3643,4038,3640,4043,3662,4043,3665,4034,3661,4031,3657,4030xm3590,4003l3551,4003,3551,4108,3592,4108,3598,4107,3606,4102,3610,4099,3612,4095,3563,4095,3563,4059,3611,4059,3609,4057,3605,4054,3600,4052,3604,4049,3607,4047,3563,4047,3563,4015,3609,4015,3606,4011,3603,4008,3595,4004,3590,4003xm3611,4059l3589,4059,3593,4060,3598,4062,3601,4064,3604,4070,3605,4073,3605,4082,3604,4085,3600,4091,3598,4093,3592,4095,3589,4095,3612,4095,3615,4089,3616,4084,3616,4071,3615,4065,3611,4059xm3609,4015l3586,4015,3591,4015,3596,4017,3597,4019,3600,4024,3601,4027,3601,4035,3600,4038,3597,4043,3595,4045,3592,4046,3590,4046,3586,4047,3607,4047,3607,4046,3611,4039,3612,4034,3612,4024,3611,4019,3609,4015xm3483,4030l3466,4030,3459,4033,3448,4047,3445,4056,3445,4083,3448,4093,3459,4106,3466,4110,3483,4110,3490,4106,3496,4099,3470,4099,3465,4096,3458,4087,3456,4079,3456,4060,3458,4053,3465,4043,3469,4040,3496,4040,3490,4033,3483,4030xm3496,4040l3480,4040,3484,4043,3491,4053,3493,4060,3493,4079,3491,4087,3484,4096,3480,4099,3496,4099,3501,4093,3504,4083,3504,4056,3501,4047,3496,4040xm3433,4032l3422,4032,3422,4108,3433,4108,3433,4032xm3433,4003l3422,4003,3422,4017,3433,4017,3433,4003xm3392,4032l3382,4032,3382,4108,3393,4108,3393,4062,3394,4057,3396,4049,3397,4047,3401,4044,3403,4043,3414,4043,3414,4043,3392,4043,3392,4032xm3414,4043l3408,4043,3410,4044,3413,4046,3414,4043xm3409,4030l3403,4030,3401,4031,3397,4034,3394,4038,3392,4043,3414,4043,3416,4034,3413,4031,3409,4030xm3369,4003l3311,4003,3311,4108,3322,4108,3322,4060,3363,4060,3363,4048,3322,4048,3322,4015,3369,4015,3369,4003xm3296,4001l3289,4001,3279,4018,3273,4035,3269,4052,3268,4070,3268,4083,3270,4096,3279,4120,3283,4130,3289,4139,3296,4139,3288,4121,3283,4104,3280,4087,3279,4070,3279,4062,3279,4055,3281,4040,3283,4033,3287,4021,3291,4012,3296,4001xe" filled="true" fillcolor="#008f34" stroked="false">
              <v:path arrowok="t"/>
              <v:fill type="solid"/>
            </v:shape>
            <v:shape style="position:absolute;left:3799;top:4794;width:799;height:315" type="#_x0000_t75" stroked="false">
              <v:imagedata r:id="rId200" o:title=""/>
            </v:shape>
            <v:shape style="position:absolute;left:4593;top:3589;width:469;height:285" type="#_x0000_t75" stroked="false">
              <v:imagedata r:id="rId201" o:title=""/>
            </v:shape>
            <v:shape style="position:absolute;left:5182;top:4794;width:509;height:315" type="#_x0000_t75" stroked="false">
              <v:imagedata r:id="rId202" o:title=""/>
            </v:shape>
            <v:shape style="position:absolute;left:5889;top:3591;width:509;height:284" type="#_x0000_t75" stroked="false">
              <v:imagedata r:id="rId203" o:title=""/>
            </v:shape>
            <v:shape style="position:absolute;left:6449;top:4794;width:531;height:315" type="#_x0000_t75" stroked="false">
              <v:imagedata r:id="rId204" o:title=""/>
            </v:shape>
            <v:line style="position:absolute" from="7021,4971" to="7021,5109" stroked="true" strokeweight="1.422pt" strokecolor="#008f34">
              <v:stroke dashstyle="solid"/>
            </v:line>
            <v:shape style="position:absolute;left:7097;top:2501;width:576;height:285" type="#_x0000_t75" stroked="false">
              <v:imagedata r:id="rId205" o:title=""/>
            </v:shape>
            <v:shape style="position:absolute;left:7620;top:4796;width:795;height:313" type="#_x0000_t75" stroked="false">
              <v:imagedata r:id="rId206" o:title=""/>
            </v:shape>
            <v:shape style="position:absolute;left:8248;top:1386;width:775;height:313" type="#_x0000_t75" stroked="false">
              <v:imagedata r:id="rId207" o:title=""/>
            </v:shape>
            <v:shape style="position:absolute;left:9159;top:4796;width:454;height:313" type="#_x0000_t75" stroked="false">
              <v:imagedata r:id="rId208" o:title=""/>
            </v:shape>
            <v:shape style="position:absolute;left:1296;top:4491;width:8486;height:177" coordorigin="1296,4492" coordsize="8486,177" path="m9782,4492l1414,4492,1296,4668,9664,4668,9782,4492xe" filled="true" fillcolor="#93989b" stroked="false">
              <v:path arrowok="t"/>
              <v:fill type="solid"/>
            </v:shape>
            <v:shape style="position:absolute;left:1286;top:4489;width:126;height:184" type="#_x0000_t75" stroked="false">
              <v:imagedata r:id="rId209" o:title=""/>
            </v:shape>
            <v:line style="position:absolute" from="9477,4494" to="9749,4494" stroked="true" strokeweight=".25pt" strokecolor="#000000">
              <v:stroke dashstyle="solid"/>
            </v:line>
            <v:shape style="position:absolute;left:9623;top:4489;width:126;height:184" type="#_x0000_t75" stroked="false">
              <v:imagedata r:id="rId210" o:title=""/>
            </v:shape>
            <v:line style="position:absolute" from="8828,4494" to="9213,4494" stroked="true" strokeweight=".25pt" strokecolor="#000000">
              <v:stroke dashstyle="solid"/>
            </v:line>
            <v:line style="position:absolute" from="8180,4494" to="8563,4494" stroked="true" strokeweight=".25pt" strokecolor="#000000">
              <v:stroke dashstyle="solid"/>
            </v:line>
            <v:line style="position:absolute" from="7532,4494" to="7915,4494" stroked="true" strokeweight=".25pt" strokecolor="#000000">
              <v:stroke dashstyle="solid"/>
            </v:line>
            <v:line style="position:absolute" from="6914,4494" to="7276,4494" stroked="true" strokeweight=".25pt" strokecolor="#000000">
              <v:stroke dashstyle="solid"/>
            </v:line>
            <v:line style="position:absolute" from="6265,4494" to="6648,4494" stroked="true" strokeweight=".25pt" strokecolor="#000000">
              <v:stroke dashstyle="solid"/>
            </v:line>
            <v:line style="position:absolute" from="5617,4494" to="6003,4494" stroked="true" strokeweight=".25pt" strokecolor="#000000">
              <v:stroke dashstyle="solid"/>
            </v:line>
            <v:line style="position:absolute" from="4969,4494" to="5352,4494" stroked="true" strokeweight=".25pt" strokecolor="#000000">
              <v:stroke dashstyle="solid"/>
            </v:line>
            <v:line style="position:absolute" from="4321,4494" to="4738,4494" stroked="true" strokeweight=".25pt" strokecolor="#000000">
              <v:stroke dashstyle="solid"/>
            </v:line>
            <v:line style="position:absolute" from="3054,4494" to="4085,4494" stroked="true" strokeweight=".25pt" strokecolor="#000000">
              <v:stroke dashstyle="solid"/>
            </v:line>
            <v:line style="position:absolute" from="1404,4494" to="2789,4494" stroked="true" strokeweight=".25pt" strokecolor="#000000">
              <v:stroke dashstyle="solid"/>
            </v:line>
            <v:line style="position:absolute" from="1287,4670" to="9631,4670" stroked="true" strokeweight=".25pt" strokecolor="#000000">
              <v:stroke dashstyle="solid"/>
            </v:line>
            <v:shape style="position:absolute;left:1286;top:4489;width:126;height:184" type="#_x0000_t75" stroked="false">
              <v:imagedata r:id="rId209" o:title=""/>
            </v:shape>
            <v:line style="position:absolute" from="9477,4494" to="9749,4494" stroked="true" strokeweight=".25pt" strokecolor="#000000">
              <v:stroke dashstyle="solid"/>
            </v:line>
            <v:shape style="position:absolute;left:9623;top:4489;width:126;height:184" type="#_x0000_t75" stroked="false">
              <v:imagedata r:id="rId210" o:title=""/>
            </v:shape>
            <v:line style="position:absolute" from="8828,4494" to="9213,4494" stroked="true" strokeweight=".25pt" strokecolor="#000000">
              <v:stroke dashstyle="solid"/>
            </v:line>
            <v:line style="position:absolute" from="8180,4494" to="8563,4494" stroked="true" strokeweight=".25pt" strokecolor="#000000">
              <v:stroke dashstyle="solid"/>
            </v:line>
            <v:line style="position:absolute" from="7532,4494" to="7915,4494" stroked="true" strokeweight=".25pt" strokecolor="#000000">
              <v:stroke dashstyle="solid"/>
            </v:line>
            <v:line style="position:absolute" from="6914,4494" to="7276,4494" stroked="true" strokeweight=".25pt" strokecolor="#000000">
              <v:stroke dashstyle="solid"/>
            </v:line>
            <v:line style="position:absolute" from="6265,4494" to="6648,4494" stroked="true" strokeweight=".25pt" strokecolor="#000000">
              <v:stroke dashstyle="solid"/>
            </v:line>
            <v:line style="position:absolute" from="5617,4494" to="6003,4494" stroked="true" strokeweight=".25pt" strokecolor="#000000">
              <v:stroke dashstyle="solid"/>
            </v:line>
            <v:line style="position:absolute" from="4969,4494" to="5352,4494" stroked="true" strokeweight=".25pt" strokecolor="#000000">
              <v:stroke dashstyle="solid"/>
            </v:line>
            <v:line style="position:absolute" from="4321,4494" to="4738,4494" stroked="true" strokeweight=".25pt" strokecolor="#000000">
              <v:stroke dashstyle="solid"/>
            </v:line>
            <v:line style="position:absolute" from="3054,4494" to="4085,4494" stroked="true" strokeweight=".25pt" strokecolor="#000000">
              <v:stroke dashstyle="solid"/>
            </v:line>
            <v:line style="position:absolute" from="1404,4494" to="2789,4494" stroked="true" strokeweight=".25pt" strokecolor="#000000">
              <v:stroke dashstyle="solid"/>
            </v:line>
            <v:line style="position:absolute" from="1287,4670" to="9631,4670" stroked="true" strokeweight=".25pt" strokecolor="#000000">
              <v:stroke dashstyle="solid"/>
            </v:line>
            <v:shape style="position:absolute;left:9623;top:4489;width:126;height:184" type="#_x0000_t75" stroked="false">
              <v:imagedata r:id="rId210" o:title=""/>
            </v:shape>
            <v:line style="position:absolute" from="1287,4670" to="9631,4670" stroked="true" strokeweight=".25pt" strokecolor="#000000">
              <v:stroke dashstyle="solid"/>
            </v:line>
            <v:shape style="position:absolute;left:1286;top:4489;width:126;height:184" type="#_x0000_t75" stroked="false">
              <v:imagedata r:id="rId209" o:title=""/>
            </v:shape>
            <v:line style="position:absolute" from="9477,4494" to="9749,4494" stroked="true" strokeweight=".25pt" strokecolor="#000000">
              <v:stroke dashstyle="solid"/>
            </v:line>
            <v:line style="position:absolute" from="8828,4494" to="9213,4494" stroked="true" strokeweight=".25pt" strokecolor="#000000">
              <v:stroke dashstyle="solid"/>
            </v:line>
            <v:line style="position:absolute" from="8180,4494" to="8563,4494" stroked="true" strokeweight=".25pt" strokecolor="#000000">
              <v:stroke dashstyle="solid"/>
            </v:line>
            <v:line style="position:absolute" from="7532,4494" to="7915,4494" stroked="true" strokeweight=".25pt" strokecolor="#000000">
              <v:stroke dashstyle="solid"/>
            </v:line>
            <v:line style="position:absolute" from="6914,4494" to="7276,4494" stroked="true" strokeweight=".25pt" strokecolor="#000000">
              <v:stroke dashstyle="solid"/>
            </v:line>
            <v:line style="position:absolute" from="6265,4494" to="6648,4494" stroked="true" strokeweight=".25pt" strokecolor="#000000">
              <v:stroke dashstyle="solid"/>
            </v:line>
            <v:line style="position:absolute" from="5617,4494" to="6003,4494" stroked="true" strokeweight=".25pt" strokecolor="#000000">
              <v:stroke dashstyle="solid"/>
            </v:line>
            <v:line style="position:absolute" from="4969,4494" to="5352,4494" stroked="true" strokeweight=".25pt" strokecolor="#000000">
              <v:stroke dashstyle="solid"/>
            </v:line>
            <v:line style="position:absolute" from="4321,4494" to="4738,4494" stroked="true" strokeweight=".25pt" strokecolor="#000000">
              <v:stroke dashstyle="solid"/>
            </v:line>
            <v:line style="position:absolute" from="3054,4494" to="4085,4494" stroked="true" strokeweight=".25pt" strokecolor="#000000">
              <v:stroke dashstyle="solid"/>
            </v:line>
            <v:line style="position:absolute" from="1404,4494" to="2789,4494" stroked="true" strokeweight=".25pt" strokecolor="#000000">
              <v:stroke dashstyle="solid"/>
            </v:line>
            <v:shape style="position:absolute;left:1757;top:4519;width:59;height:89" coordorigin="1758,4519" coordsize="59,89" path="m1817,4519l1758,4608,1817,4549,1817,4519xe" filled="true" fillcolor="#989224" stroked="false">
              <v:path arrowok="t"/>
              <v:fill type="solid"/>
            </v:shape>
            <v:line style="position:absolute" from="1759,4611" to="1764,4611" stroked="true" strokeweight=".368pt" strokecolor="#000000">
              <v:stroke dashstyle="solid"/>
            </v:line>
            <v:shape style="position:absolute;left:1757;top:4519;width:67;height:96" coordorigin="1758,4519" coordsize="67,96" path="m1824,4519l1817,4519,1758,4608,1758,4615,1765,4615,1824,4527,1824,4519xe" filled="true" fillcolor="#000000" stroked="false">
              <v:path arrowok="t"/>
              <v:fill type="solid"/>
            </v:shape>
            <v:line style="position:absolute" from="1821,4519" to="1821,4556" stroked="true" strokeweight=".25pt" strokecolor="#000000">
              <v:stroke dashstyle="solid"/>
            </v:line>
            <v:shape style="position:absolute;left:1757;top:4548;width:67;height:67" coordorigin="1758,4549" coordsize="67,67" path="m1824,4549l1817,4549,1758,4608,1758,4615,1765,4615,1824,4556,1824,4549xe" filled="true" fillcolor="#000000" stroked="false">
              <v:path arrowok="t"/>
              <v:fill type="solid"/>
            </v:shape>
            <v:line style="position:absolute" from="1759,4582" to="1764,4582" stroked="true" strokeweight=".367pt" strokecolor="#000000">
              <v:stroke dashstyle="solid"/>
            </v:line>
            <v:shape style="position:absolute;left:1757;top:4519;width:37;height:67" coordorigin="1758,4519" coordsize="37,67" path="m1795,4519l1787,4519,1758,4578,1758,4585,1765,4585,1795,4527,1795,4519xe" filled="true" fillcolor="#000000" stroked="false">
              <v:path arrowok="t"/>
              <v:fill type="solid"/>
            </v:shape>
            <v:line style="position:absolute" from="1789,4523" to="1794,4523" stroked="true" strokeweight=".367pt" strokecolor="#000000">
              <v:stroke dashstyle="solid"/>
            </v:line>
            <v:shape style="position:absolute;left:1757;top:4519;width:37;height:67" coordorigin="1758,4519" coordsize="37,67" path="m1795,4519l1787,4519,1758,4578,1758,4585,1765,4585,1795,4527,1795,4519xe" filled="true" fillcolor="#000000" stroked="false">
              <v:path arrowok="t"/>
              <v:fill type="solid"/>
            </v:shape>
            <v:line style="position:absolute" from="1522,4608" to="1758,4608" stroked="true" strokeweight="0pt" strokecolor="#ffe800">
              <v:stroke dashstyle="solid"/>
            </v:line>
            <v:line style="position:absolute" from="1522,4611" to="1765,4611" stroked="true" strokeweight=".25pt" strokecolor="#000000">
              <v:stroke dashstyle="solid"/>
            </v:line>
            <v:line style="position:absolute" from="1759,4611" to="1764,4611" stroked="true" strokeweight=".368pt" strokecolor="#000000">
              <v:stroke dashstyle="solid"/>
            </v:line>
            <v:line style="position:absolute" from="1522,4611" to="1765,4611" stroked="true" strokeweight=".25pt" strokecolor="#000000">
              <v:stroke dashstyle="solid"/>
            </v:line>
            <v:line style="position:absolute" from="1523,4611" to="1528,4611" stroked="true" strokeweight=".368pt" strokecolor="#000000">
              <v:stroke dashstyle="solid"/>
            </v:line>
            <v:line style="position:absolute" from="1759,4582" to="1764,4582" stroked="true" strokeweight=".367pt" strokecolor="#000000">
              <v:stroke dashstyle="solid"/>
            </v:line>
            <v:shape style="position:absolute;left:1522;top:4519;width:295;height:89" coordorigin="1522,4519" coordsize="295,89" path="m1817,4519l1552,4519,1522,4608,1758,4608,1817,4519xe" filled="true" fillcolor="#d1c216" stroked="false">
              <v:path arrowok="t"/>
              <v:fill type="solid"/>
            </v:shape>
            <v:shape style="position:absolute;left:1757;top:4519;width:67;height:96" coordorigin="1758,4519" coordsize="67,96" path="m1824,4519l1817,4519,1758,4608,1758,4615,1765,4615,1824,4527,1824,4519xe" filled="true" fillcolor="#000000" stroked="false">
              <v:path arrowok="t"/>
              <v:fill type="solid"/>
            </v:shape>
            <v:line style="position:absolute" from="1552,4523" to="1824,4523" stroked="true" strokeweight=".25pt" strokecolor="#000000">
              <v:stroke dashstyle="solid"/>
            </v:line>
            <v:shape style="position:absolute;left:1522;top:4519;width:37;height:96" coordorigin="1522,4519" coordsize="37,96" path="m1559,4519l1552,4519,1522,4608,1522,4615,1530,4615,1559,4527,1559,4519xe" filled="true" fillcolor="#000000" stroked="false">
              <v:path arrowok="t"/>
              <v:fill type="solid"/>
            </v:shape>
            <v:line style="position:absolute" from="1522,4611" to="1765,4611" stroked="true" strokeweight=".25pt" strokecolor="#000000">
              <v:stroke dashstyle="solid"/>
            </v:line>
            <v:line style="position:absolute" from="1552,4523" to="1795,4523" stroked="true" strokeweight=".25pt" strokecolor="#000000">
              <v:stroke dashstyle="solid"/>
            </v:line>
            <v:shape style="position:absolute;left:2140;top:4489;width:332;height:125" type="#_x0000_t75" stroked="false">
              <v:imagedata r:id="rId211" o:title=""/>
            </v:shape>
            <v:line style="position:absolute" from="3069,4255" to="3069,4608" stroked="true" strokeweight="1.473pt" strokecolor="#96922d">
              <v:stroke dashstyle="solid"/>
            </v:line>
            <v:line style="position:absolute" from="3058,4314" to="3058,4615" stroked="true" strokeweight=".25pt" strokecolor="#000000">
              <v:stroke dashstyle="solid"/>
            </v:line>
            <v:shape style="position:absolute;left:3054;top:4254;width:37;height:67" coordorigin="3054,4255" coordsize="37,67" path="m3091,4255l3084,4255,3054,4314,3054,4321,3062,4321,3091,4262,3091,4255xe" filled="true" fillcolor="#000000" stroked="false">
              <v:path arrowok="t"/>
              <v:fill type="solid"/>
            </v:shape>
            <v:line style="position:absolute" from="3087,4255" to="3087,4556" stroked="true" strokeweight=".25pt" strokecolor="#000000">
              <v:stroke dashstyle="solid"/>
            </v:line>
            <v:shape style="position:absolute;left:3054;top:4548;width:37;height:67" coordorigin="3054,4549" coordsize="37,67" path="m3091,4549l3084,4549,3054,4608,3054,4615,3062,4615,3091,4556,3091,4549xe" filled="true" fillcolor="#000000" stroked="false">
              <v:path arrowok="t"/>
              <v:fill type="solid"/>
            </v:shape>
            <v:shape style="position:absolute;left:3024;top:4254;width:67;height:67" coordorigin="3025,4255" coordsize="67,67" path="m3091,4255l3084,4255,3025,4314,3025,4321,3032,4321,3091,4262,3091,4255xe" filled="true" fillcolor="#000000" stroked="false">
              <v:path arrowok="t"/>
              <v:fill type="solid"/>
            </v:shape>
            <v:line style="position:absolute" from="3087,4255" to="3087,4527" stroked="true" strokeweight=".25pt" strokecolor="#000000">
              <v:stroke dashstyle="solid"/>
            </v:line>
            <v:rect style="position:absolute;left:2789;top:4313;width:266;height:294" filled="true" fillcolor="#fde51c" stroked="false">
              <v:fill type="solid"/>
            </v:rect>
            <v:line style="position:absolute" from="2789,4317" to="3062,4317" stroked="true" strokeweight=".25pt" strokecolor="#000000">
              <v:stroke dashstyle="solid"/>
            </v:line>
            <v:line style="position:absolute" from="3058,4314" to="3058,4615" stroked="true" strokeweight=".25pt" strokecolor="#000000">
              <v:stroke dashstyle="solid"/>
            </v:line>
            <v:line style="position:absolute" from="2789,4611" to="3062,4611" stroked="true" strokeweight=".25pt" strokecolor="#000000">
              <v:stroke dashstyle="solid"/>
            </v:line>
            <v:line style="position:absolute" from="2793,4314" to="2793,4615" stroked="true" strokeweight=".25pt" strokecolor="#000000">
              <v:stroke dashstyle="solid"/>
            </v:line>
            <v:line style="position:absolute" from="2789,4317" to="3032,4317" stroked="true" strokeweight=".25pt" strokecolor="#000000">
              <v:stroke dashstyle="solid"/>
            </v:line>
            <v:line style="position:absolute" from="2793,4314" to="2793,4585" stroked="true" strokeweight=".25pt" strokecolor="#000000">
              <v:stroke dashstyle="solid"/>
            </v:line>
            <v:shape style="position:absolute;left:2789;top:4254;width:295;height:59" coordorigin="2789,4255" coordsize="295,59" path="m3084,4255l2848,4255,2789,4314,3054,4314,3084,4255xe" filled="true" fillcolor="#d1c216" stroked="false">
              <v:path arrowok="t"/>
              <v:fill type="solid"/>
            </v:shape>
            <v:shape style="position:absolute;left:3054;top:4254;width:37;height:67" coordorigin="3054,4255" coordsize="37,67" path="m3091,4255l3084,4255,3054,4314,3054,4321,3062,4321,3091,4262,3091,4255xe" filled="true" fillcolor="#000000" stroked="false">
              <v:path arrowok="t"/>
              <v:fill type="solid"/>
            </v:shape>
            <v:line style="position:absolute" from="2848,4258" to="3091,4258" stroked="true" strokeweight=".25pt" strokecolor="#000000">
              <v:stroke dashstyle="solid"/>
            </v:line>
            <v:shape style="position:absolute;left:2789;top:4254;width:67;height:67" coordorigin="2789,4255" coordsize="67,67" path="m2855,4255l2848,4255,2789,4314,2789,4321,2796,4321,2855,4262,2855,4255xe" filled="true" fillcolor="#000000" stroked="false">
              <v:path arrowok="t"/>
              <v:fill type="solid"/>
            </v:shape>
            <v:line style="position:absolute" from="2789,4317" to="3062,4317" stroked="true" strokeweight=".25pt" strokecolor="#000000">
              <v:stroke dashstyle="solid"/>
            </v:line>
            <v:line style="position:absolute" from="2789,4317" to="3032,4317" stroked="true" strokeweight=".25pt" strokecolor="#000000">
              <v:stroke dashstyle="solid"/>
            </v:line>
            <v:shape style="position:absolute;left:3435;top:4491;width:304;height:124" type="#_x0000_t75" stroked="false">
              <v:imagedata r:id="rId212" o:title=""/>
            </v:shape>
            <v:shape style="position:absolute;left:4082;top:4254;width:306;height:361" type="#_x0000_t75" stroked="false">
              <v:imagedata r:id="rId213" o:title=""/>
            </v:shape>
            <v:shape style="position:absolute;left:4969;top:4166;width:59;height:441" coordorigin="4969,4167" coordsize="59,441" path="m5028,4167l4969,4225,4969,4608,5028,4549,5028,4167xe" filled="true" fillcolor="#1d6e3e" stroked="false">
              <v:path arrowok="t"/>
              <v:fill type="solid"/>
            </v:shape>
            <v:shape style="position:absolute;left:4731;top:4166;width:304;height:449" type="#_x0000_t75" stroked="false">
              <v:imagedata r:id="rId214" o:title=""/>
            </v:shape>
            <v:shape style="position:absolute;left:5617;top:4019;width:59;height:588" coordorigin="5617,4020" coordsize="59,588" path="m5676,4020l5617,4108,5617,4608,5676,4549,5676,4020xe" filled="true" fillcolor="#1d6e3e" stroked="false">
              <v:path arrowok="t"/>
              <v:fill type="solid"/>
            </v:shape>
            <v:shape style="position:absolute;left:5617;top:4019;width:67;height:96" coordorigin="5617,4020" coordsize="67,96" path="m5684,4020l5676,4020,5617,4108,5617,4115,5625,4115,5684,4027,5684,4020xe" filled="true" fillcolor="#000000" stroked="false">
              <v:path arrowok="t"/>
              <v:fill type="solid"/>
            </v:shape>
            <v:line style="position:absolute" from="5680,4020" to="5680,4556" stroked="true" strokeweight=".25pt" strokecolor="#000000">
              <v:stroke dashstyle="solid"/>
            </v:line>
            <v:shape style="position:absolute;left:5617;top:4548;width:67;height:67" coordorigin="5617,4549" coordsize="67,67" path="m5684,4549l5676,4549,5617,4608,5617,4615,5625,4615,5684,4556,5684,4549xe" filled="true" fillcolor="#000000" stroked="false">
              <v:path arrowok="t"/>
              <v:fill type="solid"/>
            </v:shape>
            <v:shape style="position:absolute;left:5587;top:4019;width:67;height:67" coordorigin="5588,4020" coordsize="67,67" path="m5654,4020l5647,4020,5588,4078,5588,4086,5595,4086,5654,4027,5654,4020xe" filled="true" fillcolor="#000000" stroked="false">
              <v:path arrowok="t"/>
              <v:fill type="solid"/>
            </v:shape>
            <v:shape style="position:absolute;left:5352;top:4019;width:325;height:89" coordorigin="5352,4020" coordsize="325,89" path="m5676,4020l5411,4020,5352,4108,5617,4108,5676,4020xe" filled="true" fillcolor="#007930" stroked="false">
              <v:path arrowok="t"/>
              <v:fill type="solid"/>
            </v:shape>
            <v:shape style="position:absolute;left:5617;top:4019;width:67;height:96" coordorigin="5617,4020" coordsize="67,96" path="m5684,4020l5676,4020,5617,4108,5617,4115,5625,4115,5684,4027,5684,4020xe" filled="true" fillcolor="#000000" stroked="false">
              <v:path arrowok="t"/>
              <v:fill type="solid"/>
            </v:shape>
            <v:line style="position:absolute" from="5411,4023" to="5684,4023" stroked="true" strokeweight=".25pt" strokecolor="#000000">
              <v:stroke dashstyle="solid"/>
            </v:line>
            <v:shape style="position:absolute;left:5352;top:4019;width:67;height:96" coordorigin="5352,4020" coordsize="67,96" path="m5418,4020l5411,4020,5352,4108,5352,4115,5360,4115,5418,4027,5418,4020xe" filled="true" fillcolor="#000000" stroked="false">
              <v:path arrowok="t"/>
              <v:fill type="solid"/>
            </v:shape>
            <v:line style="position:absolute" from="5352,4111" to="5625,4111" stroked="true" strokeweight=".25pt" strokecolor="#000000">
              <v:stroke dashstyle="solid"/>
            </v:line>
            <v:line style="position:absolute" from="5410,4023" to="5654,4023" stroked="true" strokeweight=".25pt" strokecolor="#000000">
              <v:stroke dashstyle="solid"/>
            </v:line>
            <v:line style="position:absolute" from="6280,3961" to="6280,4608" stroked="true" strokeweight="1.473pt" strokecolor="#1d6e3e">
              <v:stroke dashstyle="solid"/>
            </v:line>
            <v:line style="position:absolute" from="6269,4020" to="6269,4615" stroked="true" strokeweight=".369pt" strokecolor="#000000">
              <v:stroke dashstyle="solid"/>
            </v:line>
            <v:shape style="position:absolute;left:6265;top:3960;width:37;height:67" coordorigin="6265,3961" coordsize="37,67" path="m6302,3961l6295,3961,6265,4020,6265,4027,6273,4027,6302,3968,6302,3961xe" filled="true" fillcolor="#000000" stroked="false">
              <v:path arrowok="t"/>
              <v:fill type="solid"/>
            </v:shape>
            <v:line style="position:absolute" from="6299,3961" to="6299,4556" stroked="true" strokeweight=".25pt" strokecolor="#000000">
              <v:stroke dashstyle="solid"/>
            </v:line>
            <v:shape style="position:absolute;left:6265;top:4548;width:37;height:67" coordorigin="6265,4549" coordsize="37,67" path="m6302,4549l6295,4549,6265,4608,6265,4615,6273,4615,6302,4556,6302,4549xe" filled="true" fillcolor="#000000" stroked="false">
              <v:path arrowok="t"/>
              <v:fill type="solid"/>
            </v:shape>
            <v:line style="position:absolute" from="6299,3970" to="6299,4527" stroked="true" strokeweight=".25pt" strokecolor="#000000">
              <v:stroke dashstyle="solid"/>
            </v:line>
            <v:shape style="position:absolute;left:6000;top:3960;width:295;height:59" coordorigin="6000,3961" coordsize="295,59" path="m6295,3961l6059,3961,6000,4020,6265,4020,6295,3961xe" filled="true" fillcolor="#007930" stroked="false">
              <v:path arrowok="t"/>
              <v:fill type="solid"/>
            </v:shape>
            <v:shape style="position:absolute;left:6265;top:3960;width:37;height:67" coordorigin="6265,3961" coordsize="37,67" path="m6302,3961l6295,3961,6265,4020,6265,4027,6273,4027,6302,3968,6302,3961xe" filled="true" fillcolor="#000000" stroked="false">
              <v:path arrowok="t"/>
              <v:fill type="solid"/>
            </v:shape>
            <v:line style="position:absolute" from="6059,3964" to="6302,3964" stroked="true" strokeweight=".25pt" strokecolor="#000000">
              <v:stroke dashstyle="solid"/>
            </v:line>
            <v:shape style="position:absolute;left:6000;top:3960;width:67;height:67" coordorigin="6000,3961" coordsize="67,67" path="m6067,3961l6059,3961,6000,4020,6000,4027,6008,4027,6067,3968,6067,3961xe" filled="true" fillcolor="#000000" stroked="false">
              <v:path arrowok="t"/>
              <v:fill type="solid"/>
            </v:shape>
            <v:line style="position:absolute" from="6928,3637" to="6928,4608" stroked="true" strokeweight="1.474pt" strokecolor="#1d6e3e">
              <v:stroke dashstyle="solid"/>
            </v:line>
            <v:line style="position:absolute" from="6917,3696" to="6917,4615" stroked="true" strokeweight=".25pt" strokecolor="#000000">
              <v:stroke dashstyle="solid"/>
            </v:line>
            <v:shape style="position:absolute;left:6913;top:3637;width:37;height:67" coordorigin="6914,3637" coordsize="37,67" path="m6950,3637l6943,3637,6914,3696,6914,3704,6921,3704,6950,3645,6950,3637xe" filled="true" fillcolor="#000000" stroked="false">
              <v:path arrowok="t"/>
              <v:fill type="solid"/>
            </v:shape>
            <v:line style="position:absolute" from="6947,3637" to="6947,4556" stroked="true" strokeweight=".25pt" strokecolor="#000000">
              <v:stroke dashstyle="solid"/>
            </v:line>
            <v:shape style="position:absolute;left:6913;top:4548;width:37;height:67" coordorigin="6914,4549" coordsize="37,67" path="m6950,4549l6943,4549,6914,4608,6914,4615,6921,4615,6950,4556,6950,4549xe" filled="true" fillcolor="#000000" stroked="false">
              <v:path arrowok="t"/>
              <v:fill type="solid"/>
            </v:shape>
            <v:line style="position:absolute" from="6947,3646" to="6947,4527" stroked="true" strokeweight=".25pt" strokecolor="#000000">
              <v:stroke dashstyle="solid"/>
            </v:line>
            <v:rect style="position:absolute;left:4085;top:4348;width:236;height:246" filled="true" fillcolor="#54a85d" stroked="false">
              <v:fill type="solid"/>
            </v:rect>
            <v:rect style="position:absolute;left:4085;top:4578;width:236;height:30" filled="true" fillcolor="#54a85d" stroked="false">
              <v:fill type="solid"/>
            </v:rect>
            <v:line style="position:absolute" from="4822,4234" to="4969,4234" stroked="true" strokeweight=".905pt" strokecolor="#54a85d">
              <v:stroke dashstyle="solid"/>
            </v:line>
            <v:rect style="position:absolute;left:4737;top:4243;width:232;height:365" filled="true" fillcolor="#54a85d" stroked="false">
              <v:fill type="solid"/>
            </v:rect>
            <v:rect style="position:absolute;left:4733;top:4225;width:89;height:30" filled="true" fillcolor="#54a85d" stroked="false">
              <v:fill type="solid"/>
            </v:rect>
            <v:rect style="position:absolute;left:5352;top:4114;width:266;height:494" filled="true" fillcolor="#54a85d" stroked="false">
              <v:fill type="solid"/>
            </v:rect>
            <v:line style="position:absolute" from="5352,4109" to="5617,4109" stroked="true" strokeweight=".5pt" strokecolor="#000000">
              <v:stroke dashstyle="solid"/>
            </v:line>
            <v:rect style="position:absolute;left:6003;top:4019;width:263;height:589" filled="true" fillcolor="#54a85d" stroked="false">
              <v:fill type="solid"/>
            </v:rect>
            <v:line style="position:absolute" from="6000,4022" to="6268,4022" stroked="true" strokeweight=".5pt" strokecolor="#000000">
              <v:stroke dashstyle="solid"/>
            </v:line>
            <v:rect style="position:absolute;left:6648;top:3696;width:266;height:30" filled="true" fillcolor="#54a85d" stroked="false">
              <v:fill type="solid"/>
            </v:rect>
            <v:rect style="position:absolute;left:6648;top:3725;width:266;height:882" filled="true" fillcolor="#54a85d" stroked="false">
              <v:fill type="solid"/>
            </v:rect>
            <v:line style="position:absolute" from="6648,3700" to="6891,3700" stroked="true" strokeweight=".25pt" strokecolor="#000000">
              <v:stroke dashstyle="solid"/>
            </v:line>
            <v:line style="position:absolute" from="6644,4609" to="6916,4609" stroked="true" strokeweight=".25pt" strokecolor="#000000">
              <v:stroke dashstyle="solid"/>
            </v:line>
            <v:line style="position:absolute" from="6648,3704" to="6648,4610" stroked="true" strokeweight=".25pt" strokecolor="#000000">
              <v:stroke dashstyle="solid"/>
            </v:line>
            <v:shape style="position:absolute;left:6648;top:3637;width:295;height:59" coordorigin="6648,3637" coordsize="295,59" path="m6943,3637l6678,3637,6648,3696,6914,3696,6943,3637xe" filled="true" fillcolor="#007930" stroked="false">
              <v:path arrowok="t"/>
              <v:fill type="solid"/>
            </v:shape>
            <v:shape style="position:absolute;left:6913;top:3637;width:37;height:67" coordorigin="6914,3637" coordsize="37,67" path="m6950,3637l6943,3637,6914,3696,6914,3704,6921,3704,6950,3645,6950,3637xe" filled="true" fillcolor="#000000" stroked="false">
              <v:path arrowok="t"/>
              <v:fill type="solid"/>
            </v:shape>
            <v:line style="position:absolute" from="6678,3641" to="6950,3641" stroked="true" strokeweight=".25pt" strokecolor="#000000">
              <v:stroke dashstyle="solid"/>
            </v:line>
            <v:shape style="position:absolute;left:6648;top:3637;width:37;height:67" coordorigin="6648,3637" coordsize="37,67" path="m6685,3637l6678,3637,6648,3696,6648,3704,6656,3704,6685,3645,6685,3637xe" filled="true" fillcolor="#000000" stroked="false">
              <v:path arrowok="t"/>
              <v:fill type="solid"/>
            </v:shape>
            <v:line style="position:absolute" from="6648,3700" to="6921,3700" stroked="true" strokeweight=".25pt" strokecolor="#000000">
              <v:stroke dashstyle="solid"/>
            </v:line>
            <v:line style="position:absolute" from="7562,2961" to="7562,4608" stroked="true" strokeweight="2.946pt" strokecolor="#1d2c82">
              <v:stroke dashstyle="solid"/>
            </v:line>
            <v:line style="position:absolute" from="7536,3050" to="7536,4615" stroked="true" strokeweight=".25pt" strokecolor="#000000">
              <v:stroke dashstyle="solid"/>
            </v:line>
            <v:shape style="position:absolute;left:7532;top:2961;width:67;height:96" coordorigin="7532,2961" coordsize="67,96" path="m7598,2961l7591,2961,7532,3049,7532,3057,7540,3057,7598,2969,7598,2961xe" filled="true" fillcolor="#000000" stroked="false">
              <v:path arrowok="t"/>
              <v:fill type="solid"/>
            </v:shape>
            <v:line style="position:absolute" from="7595,2961" to="7595,4556" stroked="true" strokeweight=".25pt" strokecolor="#000000">
              <v:stroke dashstyle="solid"/>
            </v:line>
            <v:shape style="position:absolute;left:7532;top:4548;width:67;height:67" coordorigin="7532,4549" coordsize="67,67" path="m7598,4549l7591,4549,7532,4608,7532,4615,7540,4615,7598,4556,7598,4549xe" filled="true" fillcolor="#000000" stroked="false">
              <v:path arrowok="t"/>
              <v:fill type="solid"/>
            </v:shape>
            <v:line style="position:absolute" from="7536,3020" to="7536,4585" stroked="true" strokeweight=".25pt" strokecolor="#000000">
              <v:stroke dashstyle="solid"/>
            </v:line>
            <v:shape style="position:absolute;left:7532;top:2961;width:37;height:67" coordorigin="7532,2961" coordsize="37,67" path="m7569,2961l7562,2961,7532,3020,7532,3027,7540,3027,7569,2969,7569,2961xe" filled="true" fillcolor="#000000" stroked="false">
              <v:path arrowok="t"/>
              <v:fill type="solid"/>
            </v:shape>
            <v:shape style="position:absolute;left:7532;top:4519;width:37;height:67" coordorigin="7532,4519" coordsize="37,67" path="m7569,4519l7562,4519,7532,4578,7532,4585,7540,4585,7569,4527,7569,4519xe" filled="true" fillcolor="#000000" stroked="false">
              <v:path arrowok="t"/>
              <v:fill type="solid"/>
            </v:shape>
            <v:line style="position:absolute" from="7536,3020" to="7536,4585" stroked="true" strokeweight=".25pt" strokecolor="#000000">
              <v:stroke dashstyle="solid"/>
            </v:line>
            <v:line style="position:absolute" from="7274,3046" to="7274,4608" stroked="true" strokeweight=".228pt" strokecolor="#000000">
              <v:stroke dashstyle="solid"/>
            </v:line>
            <v:shape style="position:absolute;left:7270;top:2964;width:322;height:86" coordorigin="7270,2964" coordsize="322,86" path="m7328,2964l7270,3047,7532,3050,7591,2964,7328,2964xe" filled="true" fillcolor="#252f87" stroked="false">
              <v:path arrowok="t"/>
              <v:fill type="solid"/>
            </v:shape>
            <v:shape style="position:absolute;left:7532;top:2961;width:67;height:96" coordorigin="7532,2961" coordsize="67,96" path="m7598,2961l7591,2961,7532,3049,7532,3057,7540,3057,7598,2969,7598,2961xe" filled="true" fillcolor="#000000" stroked="false">
              <v:path arrowok="t"/>
              <v:fill type="solid"/>
            </v:shape>
            <v:line style="position:absolute" from="7326,2965" to="7599,2965" stroked="true" strokeweight=".25pt" strokecolor="#000000">
              <v:stroke dashstyle="solid"/>
            </v:line>
            <v:line style="position:absolute" from="7326,2965" to="7569,2965" stroked="true" strokeweight=".25pt" strokecolor="#000000">
              <v:stroke dashstyle="solid"/>
            </v:line>
            <v:line style="position:absolute" from="8210,1932" to="8210,4608" stroked="true" strokeweight="2.945pt" strokecolor="#1d2c82">
              <v:stroke dashstyle="solid"/>
            </v:line>
            <v:line style="position:absolute" from="8184,2021" to="8184,4615" stroked="true" strokeweight=".25pt" strokecolor="#000000">
              <v:stroke dashstyle="solid"/>
            </v:line>
            <v:shape style="position:absolute;left:8180;top:1932;width:67;height:96" coordorigin="8180,1932" coordsize="67,96" path="m8247,1932l8239,1932,8180,2021,8180,2028,8188,2028,8247,1940,8247,1932xe" filled="true" fillcolor="#000000" stroked="false">
              <v:path arrowok="t"/>
              <v:fill type="solid"/>
            </v:shape>
            <v:line style="position:absolute" from="8243,1932" to="8243,4556" stroked="true" strokeweight=".25pt" strokecolor="#000000">
              <v:stroke dashstyle="solid"/>
            </v:line>
            <v:shape style="position:absolute;left:8180;top:4548;width:67;height:67" coordorigin="8180,4549" coordsize="67,67" path="m8247,4549l8239,4549,8180,4608,8180,4615,8188,4615,8247,4556,8247,4549xe" filled="true" fillcolor="#000000" stroked="false">
              <v:path arrowok="t"/>
              <v:fill type="solid"/>
            </v:shape>
            <v:line style="position:absolute" from="8184,1991" to="8184,4585" stroked="true" strokeweight=".25pt" strokecolor="#000000">
              <v:stroke dashstyle="solid"/>
            </v:line>
            <v:shape style="position:absolute;left:8180;top:1932;width:37;height:67" coordorigin="8180,1932" coordsize="37,67" path="m8217,1932l8210,1932,8180,1991,8180,1999,8188,1999,8217,1940,8217,1932xe" filled="true" fillcolor="#000000" stroked="false">
              <v:path arrowok="t"/>
              <v:fill type="solid"/>
            </v:shape>
            <v:line style="position:absolute" from="7271,3046" to="7543,3046" stroked="true" strokeweight=".25pt" strokecolor="#000000">
              <v:stroke dashstyle="solid"/>
            </v:line>
            <v:line style="position:absolute" from="8121,2021" to="8121,4608" stroked="true" strokeweight="5.893pt" strokecolor="#006eb1">
              <v:stroke dashstyle="solid"/>
            </v:line>
            <v:rect style="position:absolute;left:7915;top:2020;width:148;height:2587" filled="true" fillcolor="#006eb1" stroked="false">
              <v:fill type="solid"/>
            </v:rect>
            <v:line style="position:absolute" from="8184,1991" to="8184,4585" stroked="true" strokeweight=".25pt" strokecolor="#000000">
              <v:stroke dashstyle="solid"/>
            </v:line>
            <v:line style="position:absolute" from="7915,4609" to="8188,4609" stroked="true" strokeweight=".25pt" strokecolor="#000000">
              <v:stroke dashstyle="solid"/>
            </v:line>
            <v:line style="position:absolute" from="7920,2023" to="7919,4609" stroked="true" strokeweight=".25pt" strokecolor="#000000">
              <v:stroke dashstyle="solid"/>
            </v:line>
            <v:shape style="position:absolute;left:7915;top:1932;width:325;height:89" coordorigin="7915,1932" coordsize="325,89" path="m8239,1932l7974,1932,7915,2021,8180,2021,8239,1932xe" filled="true" fillcolor="#252f87" stroked="false">
              <v:path arrowok="t"/>
              <v:fill type="solid"/>
            </v:shape>
            <v:shape style="position:absolute;left:8180;top:1932;width:67;height:96" coordorigin="8180,1932" coordsize="67,96" path="m8247,1932l8239,1932,8180,2021,8180,2028,8188,2028,8247,1940,8247,1932xe" filled="true" fillcolor="#000000" stroked="false">
              <v:path arrowok="t"/>
              <v:fill type="solid"/>
            </v:shape>
            <v:line style="position:absolute" from="7974,1936" to="8247,1936" stroked="true" strokeweight=".25pt" strokecolor="#000000">
              <v:stroke dashstyle="solid"/>
            </v:line>
            <v:shape style="position:absolute;left:7915;top:1932;width:67;height:96" coordorigin="7915,1932" coordsize="67,96" path="m7982,1932l7974,1932,7915,2021,7915,2028,7923,2028,7982,1940,7982,1932xe" filled="true" fillcolor="#000000" stroked="false">
              <v:path arrowok="t"/>
              <v:fill type="solid"/>
            </v:shape>
            <v:line style="position:absolute" from="7915,2024" to="8188,2024" stroked="true" strokeweight=".25pt" strokecolor="#000000">
              <v:stroke dashstyle="solid"/>
            </v:line>
            <v:line style="position:absolute" from="8843,1844" to="8843,4608" stroked="true" strokeweight="1.474pt" strokecolor="#1d2c82">
              <v:stroke dashstyle="solid"/>
            </v:line>
            <v:line style="position:absolute" from="8832,1903" to="8832,4615" stroked="true" strokeweight=".25pt" strokecolor="#000000">
              <v:stroke dashstyle="solid"/>
            </v:line>
            <v:shape style="position:absolute;left:8828;top:1844;width:37;height:67" coordorigin="8828,1844" coordsize="37,67" path="m8865,1844l8858,1844,8828,1903,8828,1910,8836,1910,8865,1852,8865,1844xe" filled="true" fillcolor="#000000" stroked="false">
              <v:path arrowok="t"/>
              <v:fill type="solid"/>
            </v:shape>
            <v:line style="position:absolute" from="8862,1844" to="8862,4556" stroked="true" strokeweight=".25pt" strokecolor="#000000">
              <v:stroke dashstyle="solid"/>
            </v:line>
            <v:shape style="position:absolute;left:8828;top:4548;width:37;height:67" coordorigin="8828,4549" coordsize="37,67" path="m8865,4549l8858,4549,8828,4608,8828,4615,8836,4615,8865,4556,8865,4549xe" filled="true" fillcolor="#000000" stroked="false">
              <v:path arrowok="t"/>
              <v:fill type="solid"/>
            </v:shape>
            <v:line style="position:absolute" from="8862,1851" to="8862,4527" stroked="true" strokeweight=".25pt" strokecolor="#000000">
              <v:stroke dashstyle="solid"/>
            </v:line>
            <v:rect style="position:absolute;left:8681;top:1903;width:148;height:2705" filled="true" fillcolor="#006eb1" stroked="false">
              <v:fill type="solid"/>
            </v:rect>
            <v:line style="position:absolute" from="8622,1903" to="8622,4608" stroked="true" strokeweight="5.893pt" strokecolor="#006eb1">
              <v:stroke dashstyle="solid"/>
            </v:line>
            <v:line style="position:absolute" from="8563,1907" to="8806,1907" stroked="true" strokeweight=".25pt" strokecolor="#000000">
              <v:stroke dashstyle="solid"/>
            </v:line>
            <v:line style="position:absolute" from="8563,4608" to="8833,4608" stroked="true" strokeweight=".25pt" strokecolor="#000000">
              <v:stroke dashstyle="solid"/>
            </v:line>
            <v:line style="position:absolute" from="8566,1903" to="8566,4608" stroked="true" strokeweight=".25pt" strokecolor="#000000">
              <v:stroke dashstyle="solid"/>
            </v:line>
            <v:shape style="position:absolute;left:8563;top:1844;width:295;height:59" coordorigin="8563,1844" coordsize="295,59" path="m8858,1844l8622,1844,8563,1903,8828,1903,8858,1844xe" filled="true" fillcolor="#252f87" stroked="false">
              <v:path arrowok="t"/>
              <v:fill type="solid"/>
            </v:shape>
            <v:shape style="position:absolute;left:8828;top:1844;width:37;height:67" coordorigin="8828,1844" coordsize="37,67" path="m8865,1844l8858,1844,8828,1903,8828,1910,8836,1910,8865,1852,8865,1844xe" filled="true" fillcolor="#000000" stroked="false">
              <v:path arrowok="t"/>
              <v:fill type="solid"/>
            </v:shape>
            <v:line style="position:absolute" from="8622,1848" to="8865,1848" stroked="true" strokeweight=".25pt" strokecolor="#000000">
              <v:stroke dashstyle="solid"/>
            </v:line>
            <v:shape style="position:absolute;left:8563;top:1844;width:67;height:67" coordorigin="8563,1844" coordsize="67,67" path="m8630,1844l8622,1844,8563,1903,8563,1910,8571,1910,8630,1852,8630,1844xe" filled="true" fillcolor="#000000" stroked="false">
              <v:path arrowok="t"/>
              <v:fill type="solid"/>
            </v:shape>
            <v:line style="position:absolute" from="8563,1907" to="8836,1907" stroked="true" strokeweight=".25pt" strokecolor="#000000">
              <v:stroke dashstyle="solid"/>
            </v:line>
            <v:line style="position:absolute" from="8563,1907" to="8806,1907" stroked="true" strokeweight=".25pt" strokecolor="#000000">
              <v:stroke dashstyle="solid"/>
            </v:line>
            <v:line style="position:absolute" from="9212,466" to="9455,466" stroked="true" strokeweight=".209pt" strokecolor="#000000">
              <v:stroke dashstyle="solid"/>
            </v:line>
            <v:shape style="position:absolute;left:9211;top:403;width:295;height:59" coordorigin="9211,404" coordsize="295,59" path="m9506,404l9270,404,9211,463,9477,463,9506,404xe" filled="true" fillcolor="#252f87" stroked="false">
              <v:path arrowok="t"/>
              <v:fill type="solid"/>
            </v:shape>
            <v:shape style="position:absolute;left:9476;top:403;width:37;height:67" coordorigin="9477,404" coordsize="37,67" path="m9513,404l9506,404,9477,463,9477,470,9484,470,9513,411,9513,404xe" filled="true" fillcolor="#000000" stroked="false">
              <v:path arrowok="t"/>
              <v:fill type="solid"/>
            </v:shape>
            <v:line style="position:absolute" from="9270,407" to="9513,407" stroked="true" strokeweight=".25pt" strokecolor="#000000">
              <v:stroke dashstyle="solid"/>
            </v:line>
            <v:shape style="position:absolute;left:9211;top:403;width:67;height:67" coordorigin="9211,404" coordsize="67,67" path="m9278,404l9270,404,9211,463,9211,470,9219,470,9278,411,9278,404xe" filled="true" fillcolor="#000000" stroked="false">
              <v:path arrowok="t"/>
              <v:fill type="solid"/>
            </v:shape>
            <v:line style="position:absolute" from="9212,466" to="9484,466" stroked="true" strokeweight=".25pt" strokecolor="#000000">
              <v:stroke dashstyle="solid"/>
            </v:line>
            <v:line style="position:absolute" from="9212,466" to="9455,466" stroked="true" strokeweight=".209pt" strokecolor="#000000">
              <v:stroke dashstyle="solid"/>
            </v:line>
            <v:line style="position:absolute" from="9491,404" to="9491,4608" stroked="true" strokeweight="1.472pt" strokecolor="#262c82">
              <v:stroke dashstyle="solid"/>
            </v:line>
            <v:line style="position:absolute" from="9480,463" to="9480,4615" stroked="true" strokeweight=".25pt" strokecolor="#000000">
              <v:stroke dashstyle="solid"/>
            </v:line>
            <v:shape style="position:absolute;left:9476;top:403;width:37;height:67" coordorigin="9477,404" coordsize="37,67" path="m9513,404l9506,404,9477,463,9477,470,9484,470,9513,411,9513,404xe" filled="true" fillcolor="#000000" stroked="false">
              <v:path arrowok="t"/>
              <v:fill type="solid"/>
            </v:shape>
            <v:line style="position:absolute" from="9510,404" to="9510,4556" stroked="true" strokeweight=".25pt" strokecolor="#000000">
              <v:stroke dashstyle="solid"/>
            </v:line>
            <v:shape style="position:absolute;left:9476;top:4548;width:37;height:67" coordorigin="9477,4549" coordsize="37,67" path="m9513,4549l9506,4549,9477,4608,9477,4615,9484,4615,9513,4556,9513,4549xe" filled="true" fillcolor="#000000" stroked="false">
              <v:path arrowok="t"/>
              <v:fill type="solid"/>
            </v:shape>
            <v:line style="position:absolute" from="9510,411" to="9510,4527" stroked="true" strokeweight=".25pt" strokecolor="#000000">
              <v:stroke dashstyle="solid"/>
            </v:line>
            <v:shape style="position:absolute;left:9212;top:467;width:264;height:4140" coordorigin="9213,468" coordsize="264,4140" path="m9213,468l9213,4608,9477,4608,9477,469,9213,468xe" filled="true" fillcolor="#006eb1" stroked="false">
              <v:path arrowok="t"/>
              <v:fill type="solid"/>
            </v:shape>
            <v:shape style="position:absolute;left:1979;top:333;width:1387;height:170" type="#_x0000_t75" stroked="false">
              <v:imagedata r:id="rId215" o:title=""/>
            </v:shape>
            <v:shape style="position:absolute;left:1984;top:670;width:1296;height:173" type="#_x0000_t75" stroked="false">
              <v:imagedata r:id="rId216" o:title=""/>
            </v:shape>
            <v:shape style="position:absolute;left:1991;top:1010;width:366;height:136" type="#_x0000_t75" stroked="false">
              <v:imagedata r:id="rId217" o:title=""/>
            </v:shape>
            <v:shape style="position:absolute;left:615;top:75;width:187;height:130" type="#_x0000_t75" stroked="false">
              <v:imagedata r:id="rId218" o:title=""/>
            </v:shape>
            <v:shape style="position:absolute;left:865;top:75;width:287;height:130" type="#_x0000_t75" stroked="false">
              <v:imagedata r:id="rId219" o:title=""/>
            </v:shape>
            <v:shape style="position:absolute;left:615;top:975;width:187;height:130" type="#_x0000_t75" stroked="false">
              <v:imagedata r:id="rId220" o:title=""/>
            </v:shape>
            <v:shape style="position:absolute;left:865;top:975;width:287;height:130" type="#_x0000_t75" stroked="false">
              <v:imagedata r:id="rId219" o:title=""/>
            </v:shape>
            <v:shape style="position:absolute;left:627;top:1876;width:47;height:126" coordorigin="627,1876" coordsize="47,126" path="m674,1876l661,1876,659,1886,656,1892,647,1898,639,1899,627,1901,627,1913,657,1913,657,2002,674,2002,674,1876xe" filled="true" fillcolor="#000000" stroked="false">
              <v:path arrowok="t"/>
              <v:fill type="solid"/>
            </v:shape>
            <v:shape style="position:absolute;left:716;top:1878;width:87;height:128" coordorigin="716,1878" coordsize="87,128" path="m733,1970l716,1970,717,1982,721,1991,737,2002,746,2005,773,2005,784,2001,792,1991,753,1991,749,1991,738,1985,734,1979,733,1970xm794,1935l766,1935,772,1937,783,1947,786,1954,785,1970,783,1976,774,1988,767,1991,792,1991,799,1982,803,1972,803,1948,799,1939,794,1935xm796,1878l731,1878,721,1946,735,1947,737,1943,741,1940,748,1936,753,1935,794,1935,787,1928,737,1928,742,1894,796,1894,796,1878xm773,1920l755,1920,750,1921,743,1924,740,1926,737,1928,787,1928,783,1924,773,1920xe" filled="true" fillcolor="#000000" stroked="false">
              <v:path arrowok="t"/>
              <v:fill type="solid"/>
            </v:shape>
            <v:shape style="position:absolute;left:865;top:1875;width:287;height:130" type="#_x0000_t75" stroked="false">
              <v:imagedata r:id="rId219" o:title=""/>
            </v:shape>
            <v:shape style="position:absolute;left:627;top:2776;width:47;height:126" coordorigin="627,2776" coordsize="47,126" path="m674,2776l661,2776,659,2786,656,2792,647,2798,639,2799,627,2801,627,2813,657,2813,657,2902,674,2902,674,2776xe" filled="true" fillcolor="#000000" stroked="false">
              <v:path arrowok="t"/>
              <v:fill type="solid"/>
            </v:shape>
            <v:shape style="position:absolute;left:715;top:2775;width:87;height:130" coordorigin="716,2776" coordsize="87,130" path="m759,2776l746,2778,736,2783,728,2792,721,2805,718,2815,716,2826,716,2841,716,2853,716,2855,718,2866,721,2877,725,2886,732,2899,744,2905,759,2905,770,2904,780,2899,788,2892,789,2891,748,2891,741,2885,734,2865,733,2855,733,2825,735,2812,744,2795,750,2790,790,2790,788,2787,780,2781,770,2777,759,2776xm790,2790l770,2790,776,2795,780,2805,783,2813,785,2825,785,2841,785,2853,783,2864,781,2873,778,2880,773,2887,767,2891,789,2891,795,2881,798,2872,800,2862,802,2851,802,2839,802,2827,802,2825,800,2814,798,2805,794,2796,790,2790xe" filled="true" fillcolor="#000000" stroked="false">
              <v:path arrowok="t"/>
              <v:fill type="solid"/>
            </v:shape>
            <v:shape style="position:absolute;left:865;top:2775;width:287;height:130" type="#_x0000_t75" stroked="false">
              <v:imagedata r:id="rId221" o:title=""/>
            </v:shape>
            <v:shape style="position:absolute;left:716;top:3678;width:87;height:128" coordorigin="716,3678" coordsize="87,128" path="m733,3770l716,3770,717,3782,721,3791,737,3802,746,3805,773,3805,784,3801,792,3791,753,3791,749,3791,738,3785,734,3779,733,3770xm794,3735l766,3735,772,3737,783,3747,786,3754,785,3770,783,3776,774,3788,767,3791,792,3791,799,3782,803,3772,803,3748,799,3739,794,3735xm796,3678l731,3678,721,3746,735,3747,737,3743,741,3740,748,3736,753,3735,794,3735,787,3728,737,3728,742,3694,796,3694,796,3678xm773,3720l755,3720,750,3721,745,3723,743,3724,740,3726,737,3728,787,3728,783,3724,773,3720xe" filled="true" fillcolor="#000000" stroked="false">
              <v:path arrowok="t"/>
              <v:fill type="solid"/>
            </v:shape>
            <v:shape style="position:absolute;left:865;top:3675;width:287;height:130" type="#_x0000_t75" stroked="false">
              <v:imagedata r:id="rId222" o:title=""/>
            </v:shape>
            <v:shape style="position:absolute;left:1066;top:4575;width:87;height:130" coordorigin="1066,4576" coordsize="87,130" path="m1109,4576l1097,4578,1086,4583,1078,4592,1072,4605,1068,4615,1066,4626,1066,4641,1067,4653,1067,4655,1068,4666,1071,4677,1075,4686,1083,4699,1094,4705,1109,4705,1121,4704,1131,4699,1139,4692,1139,4691,1099,4691,1092,4685,1085,4665,1083,4655,1083,4625,1085,4612,1094,4595,1101,4590,1140,4590,1138,4587,1130,4581,1120,4577,1109,4576xm1140,4590l1120,4590,1127,4595,1134,4613,1136,4625,1135,4641,1135,4653,1134,4664,1131,4673,1128,4680,1123,4687,1117,4691,1139,4691,1145,4681,1148,4672,1151,4662,1152,4651,1153,4639,1152,4627,1152,4625,1151,4614,1148,4605,1144,4596,1140,4590xe" filled="true" fillcolor="#000000" stroked="false">
              <v:path arrowok="t"/>
              <v:fill type="solid"/>
            </v:shape>
            <v:shape style="position:absolute;left:2617;top:2683;width:287;height:130" type="#_x0000_t75" stroked="false">
              <v:imagedata r:id="rId223" o:title=""/>
            </v:shape>
            <v:shape style="position:absolute;left:2975;top:2680;width:305;height:130" type="#_x0000_t75" stroked="false">
              <v:imagedata r:id="rId224" o:title=""/>
            </v:shape>
            <v:shape style="position:absolute;left:3336;top:2680;width:314;height:133" type="#_x0000_t75" stroked="false">
              <v:imagedata r:id="rId225" o:title=""/>
            </v:shape>
            <v:shape style="position:absolute;left:3722;top:2680;width:376;height:167" type="#_x0000_t75" stroked="false">
              <v:imagedata r:id="rId226" o:title=""/>
            </v:shape>
            <v:line style="position:absolute" from="7328,2963" to="7272,3046" stroked="true" strokeweight=".25pt" strokecolor="#000000">
              <v:stroke dashstyle="solid"/>
            </v:line>
            <v:line style="position:absolute" from="6000,4021" to="6000,4610" stroked="true" strokeweight=".279pt" strokecolor="#000000">
              <v:stroke dashstyle="solid"/>
            </v:line>
            <v:line style="position:absolute" from="5999,4610" to="6270,4612" stroked="true" strokeweight=".25pt" strokecolor="#000000">
              <v:stroke dashstyle="solid"/>
            </v:line>
            <v:line style="position:absolute" from="4738,4226" to="4971,4226" stroked="true" strokeweight="0pt" strokecolor="#000000">
              <v:stroke dashstyle="solid"/>
            </v:line>
            <v:line style="position:absolute" from="4738,4226" to="4971,4226" stroked="true" strokeweight=".5pt" strokecolor="#000000">
              <v:stroke dashstyle="solid"/>
            </v:line>
            <v:line style="position:absolute" from="5356,4113" to="5356,4607" stroked="true" strokeweight=".25pt" strokecolor="#000000">
              <v:stroke dashstyle="solid"/>
            </v:line>
            <v:line style="position:absolute" from="5352,4609" to="5625,4609" stroked="true" strokeweight=".25pt" strokecolor="#000000">
              <v:stroke dashstyle="solid"/>
            </v:line>
            <v:line style="position:absolute" from="5617,4108" to="5617,4615" stroked="true" strokeweight=".25pt" strokecolor="#000000">
              <v:stroke dashstyle="solid"/>
            </v:line>
            <v:rect style="position:absolute;left:7275;top:3049;width:257;height:1559" filled="true" fillcolor="#006eb1" stroked="false">
              <v:fill type="solid"/>
            </v:rect>
            <v:line style="position:absolute" from="9478,4611" to="9213,4611" stroked="true" strokeweight=".5pt" strokecolor="#000000">
              <v:stroke dashstyle="solid"/>
            </v:line>
            <v:line style="position:absolute" from="9213,4613" to="9213,465" stroked="true" strokeweight=".5pt" strokecolor="#000000">
              <v:stroke dashstyle="solid"/>
            </v:line>
            <v:line style="position:absolute" from="7277,4607" to="7536,4607" stroked="true" strokeweight=".25pt" strokecolor="#000000">
              <v:stroke dashstyle="solid"/>
            </v:line>
            <v:shape style="position:absolute;left:316;top:1264;width:171;height:2157" type="#_x0000_t75" stroked="false">
              <v:imagedata r:id="rId227" o:title=""/>
            </v:shape>
            <v:rect style="position:absolute;left:5;top:5;width:10370;height:5340" filled="false" stroked="true" strokeweight=".5pt" strokecolor="#000000">
              <v:stroke dashstyle="solid"/>
            </v:rect>
          </v:group>
        </w:pict>
      </w:r>
      <w:r>
        <w:rPr/>
      </w:r>
    </w:p>
    <w:p>
      <w:pPr>
        <w:spacing w:line="211" w:lineRule="auto" w:before="59"/>
        <w:ind w:left="564" w:right="156" w:firstLine="0"/>
        <w:jc w:val="left"/>
        <w:rPr>
          <w:sz w:val="18"/>
        </w:rPr>
      </w:pPr>
      <w:bookmarkStart w:name="5.5.4 Field operations and surface facil" w:id="69"/>
      <w:bookmarkEnd w:id="69"/>
      <w:r>
        <w:rPr/>
      </w:r>
      <w:bookmarkStart w:name="_bookmark36" w:id="70"/>
      <w:bookmarkEnd w:id="70"/>
      <w:r>
        <w:rPr/>
      </w:r>
      <w:r>
        <w:rPr>
          <w:b/>
          <w:sz w:val="18"/>
        </w:rPr>
        <w:t>Figure 5.22 </w:t>
      </w:r>
      <w:r>
        <w:rPr>
          <w:sz w:val="18"/>
        </w:rPr>
        <w:t>Comparison of the magnitude of CO</w:t>
      </w:r>
      <w:r>
        <w:rPr>
          <w:position w:val="-5"/>
          <w:sz w:val="10"/>
        </w:rPr>
        <w:t>2 </w:t>
      </w:r>
      <w:r>
        <w:rPr>
          <w:sz w:val="18"/>
        </w:rPr>
        <w:t>injection activities illustrating that the storage operations from a typical 500-MW coal plant will be the same order of magnitude as existing CO</w:t>
      </w:r>
      <w:r>
        <w:rPr>
          <w:position w:val="-5"/>
          <w:sz w:val="10"/>
        </w:rPr>
        <w:t>2 </w:t>
      </w:r>
      <w:r>
        <w:rPr>
          <w:sz w:val="18"/>
        </w:rPr>
        <w:t>injection operations (after Heinrich </w:t>
      </w:r>
      <w:r>
        <w:rPr>
          <w:i/>
          <w:sz w:val="18"/>
        </w:rPr>
        <w:t>et al.</w:t>
      </w:r>
      <w:r>
        <w:rPr>
          <w:sz w:val="18"/>
        </w:rPr>
        <w:t>, 2003).</w:t>
      </w:r>
    </w:p>
    <w:p>
      <w:pPr>
        <w:spacing w:after="0" w:line="211" w:lineRule="auto"/>
        <w:jc w:val="left"/>
        <w:rPr>
          <w:sz w:val="18"/>
        </w:rPr>
        <w:sectPr>
          <w:pgSz w:w="12240" w:h="15840"/>
          <w:pgMar w:header="567" w:footer="0" w:top="760" w:bottom="280" w:left="580" w:right="600"/>
        </w:sectPr>
      </w:pPr>
    </w:p>
    <w:p>
      <w:pPr>
        <w:pStyle w:val="BodyText"/>
        <w:spacing w:line="249" w:lineRule="auto" w:before="104"/>
        <w:ind w:left="553"/>
        <w:jc w:val="both"/>
      </w:pPr>
      <w:r>
        <w:rPr/>
        <w:t>for industrial waste-water injection wells, injection pressure must not exceed fracture initiation or propagation pressures </w:t>
      </w:r>
      <w:r>
        <w:rPr>
          <w:spacing w:val="-6"/>
        </w:rPr>
        <w:t>in </w:t>
      </w:r>
      <w:r>
        <w:rPr/>
        <w:t>the injection formation </w:t>
      </w:r>
      <w:r>
        <w:rPr>
          <w:spacing w:val="-3"/>
        </w:rPr>
        <w:t>(USEPA, </w:t>
      </w:r>
      <w:r>
        <w:rPr/>
        <w:t>1994). For oil and gas field injection wells, injection pressures must not exceed those </w:t>
      </w:r>
      <w:r>
        <w:rPr>
          <w:spacing w:val="-3"/>
        </w:rPr>
        <w:t>that </w:t>
      </w:r>
      <w:r>
        <w:rPr/>
        <w:t>would initiate or propagate fractures in the confining units. In the United States, each state has been delegated authority to establish maximum injection pressures. Until the 1990s, many states</w:t>
      </w:r>
      <w:r>
        <w:rPr>
          <w:spacing w:val="-18"/>
        </w:rPr>
        <w:t> </w:t>
      </w:r>
      <w:r>
        <w:rPr/>
        <w:t>set</w:t>
      </w:r>
      <w:r>
        <w:rPr>
          <w:spacing w:val="-17"/>
        </w:rPr>
        <w:t> </w:t>
      </w:r>
      <w:r>
        <w:rPr/>
        <w:t>state-wide</w:t>
      </w:r>
      <w:r>
        <w:rPr>
          <w:spacing w:val="-17"/>
        </w:rPr>
        <w:t> </w:t>
      </w:r>
      <w:r>
        <w:rPr/>
        <w:t>standards</w:t>
      </w:r>
      <w:r>
        <w:rPr>
          <w:spacing w:val="-17"/>
        </w:rPr>
        <w:t> </w:t>
      </w:r>
      <w:r>
        <w:rPr/>
        <w:t>for</w:t>
      </w:r>
      <w:r>
        <w:rPr>
          <w:spacing w:val="-17"/>
        </w:rPr>
        <w:t> </w:t>
      </w:r>
      <w:r>
        <w:rPr/>
        <w:t>maximum</w:t>
      </w:r>
      <w:r>
        <w:rPr>
          <w:spacing w:val="-17"/>
        </w:rPr>
        <w:t> </w:t>
      </w:r>
      <w:r>
        <w:rPr/>
        <w:t>injection</w:t>
      </w:r>
      <w:r>
        <w:rPr>
          <w:spacing w:val="-17"/>
        </w:rPr>
        <w:t> </w:t>
      </w:r>
      <w:r>
        <w:rPr/>
        <w:t>pressures; values</w:t>
      </w:r>
      <w:r>
        <w:rPr>
          <w:spacing w:val="-6"/>
        </w:rPr>
        <w:t> </w:t>
      </w:r>
      <w:r>
        <w:rPr/>
        <w:t>ranged</w:t>
      </w:r>
      <w:r>
        <w:rPr>
          <w:spacing w:val="-5"/>
        </w:rPr>
        <w:t> </w:t>
      </w:r>
      <w:r>
        <w:rPr/>
        <w:t>from</w:t>
      </w:r>
      <w:r>
        <w:rPr>
          <w:spacing w:val="-5"/>
        </w:rPr>
        <w:t> </w:t>
      </w:r>
      <w:r>
        <w:rPr/>
        <w:t>13</w:t>
      </w:r>
      <w:r>
        <w:rPr>
          <w:spacing w:val="-5"/>
        </w:rPr>
        <w:t> </w:t>
      </w:r>
      <w:r>
        <w:rPr/>
        <w:t>to18</w:t>
      </w:r>
      <w:r>
        <w:rPr>
          <w:spacing w:val="-5"/>
        </w:rPr>
        <w:t> </w:t>
      </w:r>
      <w:r>
        <w:rPr/>
        <w:t>kPa</w:t>
      </w:r>
      <w:r>
        <w:rPr>
          <w:spacing w:val="-5"/>
        </w:rPr>
        <w:t> </w:t>
      </w:r>
      <w:r>
        <w:rPr/>
        <w:t>m</w:t>
      </w:r>
      <w:r>
        <w:rPr>
          <w:position w:val="7"/>
          <w:sz w:val="11"/>
        </w:rPr>
        <w:t>–1</w:t>
      </w:r>
      <w:r>
        <w:rPr/>
        <w:t>.</w:t>
      </w:r>
      <w:r>
        <w:rPr>
          <w:spacing w:val="-5"/>
        </w:rPr>
        <w:t> </w:t>
      </w:r>
      <w:r>
        <w:rPr/>
        <w:t>More</w:t>
      </w:r>
      <w:r>
        <w:rPr>
          <w:spacing w:val="-5"/>
        </w:rPr>
        <w:t> </w:t>
      </w:r>
      <w:r>
        <w:rPr/>
        <w:t>recently,</w:t>
      </w:r>
      <w:r>
        <w:rPr>
          <w:spacing w:val="-6"/>
        </w:rPr>
        <w:t> </w:t>
      </w:r>
      <w:r>
        <w:rPr/>
        <w:t>regulations have</w:t>
      </w:r>
      <w:r>
        <w:rPr>
          <w:spacing w:val="-16"/>
        </w:rPr>
        <w:t> </w:t>
      </w:r>
      <w:r>
        <w:rPr/>
        <w:t>changed</w:t>
      </w:r>
      <w:r>
        <w:rPr>
          <w:spacing w:val="-16"/>
        </w:rPr>
        <w:t> </w:t>
      </w:r>
      <w:r>
        <w:rPr/>
        <w:t>to</w:t>
      </w:r>
      <w:r>
        <w:rPr>
          <w:spacing w:val="-16"/>
        </w:rPr>
        <w:t> </w:t>
      </w:r>
      <w:r>
        <w:rPr/>
        <w:t>require</w:t>
      </w:r>
      <w:r>
        <w:rPr>
          <w:spacing w:val="-15"/>
        </w:rPr>
        <w:t> </w:t>
      </w:r>
      <w:r>
        <w:rPr/>
        <w:t>site-specific</w:t>
      </w:r>
      <w:r>
        <w:rPr>
          <w:spacing w:val="-16"/>
        </w:rPr>
        <w:t> </w:t>
      </w:r>
      <w:r>
        <w:rPr/>
        <w:t>tests</w:t>
      </w:r>
      <w:r>
        <w:rPr>
          <w:spacing w:val="-16"/>
        </w:rPr>
        <w:t> </w:t>
      </w:r>
      <w:r>
        <w:rPr/>
        <w:t>to</w:t>
      </w:r>
      <w:r>
        <w:rPr>
          <w:spacing w:val="-15"/>
        </w:rPr>
        <w:t> </w:t>
      </w:r>
      <w:r>
        <w:rPr/>
        <w:t>establish</w:t>
      </w:r>
      <w:r>
        <w:rPr>
          <w:spacing w:val="-16"/>
        </w:rPr>
        <w:t> </w:t>
      </w:r>
      <w:r>
        <w:rPr/>
        <w:t>maximum injection pressure gradients. Practical experience in the </w:t>
      </w:r>
      <w:r>
        <w:rPr>
          <w:spacing w:val="-8"/>
        </w:rPr>
        <w:t>USEPA’s </w:t>
      </w:r>
      <w:r>
        <w:rPr/>
        <w:t>Underground Injection Control Program has shown that fracture pressures range from </w:t>
      </w:r>
      <w:r>
        <w:rPr>
          <w:spacing w:val="-4"/>
        </w:rPr>
        <w:t>11 </w:t>
      </w:r>
      <w:r>
        <w:rPr/>
        <w:t>to 21 kPa</w:t>
      </w:r>
      <w:r>
        <w:rPr>
          <w:spacing w:val="5"/>
        </w:rPr>
        <w:t> </w:t>
      </w:r>
      <w:r>
        <w:rPr/>
        <w:t>m</w:t>
      </w:r>
      <w:r>
        <w:rPr>
          <w:position w:val="7"/>
          <w:sz w:val="11"/>
        </w:rPr>
        <w:t>–1</w:t>
      </w:r>
      <w:r>
        <w:rPr/>
        <w:t>.</w:t>
      </w:r>
    </w:p>
    <w:p>
      <w:pPr>
        <w:pStyle w:val="BodyText"/>
        <w:spacing w:before="9"/>
        <w:rPr>
          <w:sz w:val="21"/>
        </w:rPr>
      </w:pPr>
    </w:p>
    <w:p>
      <w:pPr>
        <w:pStyle w:val="Heading2"/>
        <w:numPr>
          <w:ilvl w:val="2"/>
          <w:numId w:val="7"/>
        </w:numPr>
        <w:tabs>
          <w:tab w:pos="1373" w:val="left" w:leader="none"/>
          <w:tab w:pos="1374" w:val="left" w:leader="none"/>
        </w:tabs>
        <w:spacing w:line="240" w:lineRule="auto" w:before="1" w:after="0"/>
        <w:ind w:left="1373" w:right="0" w:hanging="821"/>
        <w:jc w:val="left"/>
        <w:rPr>
          <w:i/>
        </w:rPr>
      </w:pPr>
      <w:r>
        <w:rPr>
          <w:i/>
        </w:rPr>
        <w:t>Field operations and surface</w:t>
      </w:r>
      <w:r>
        <w:rPr>
          <w:i/>
          <w:spacing w:val="-2"/>
        </w:rPr>
        <w:t> </w:t>
      </w:r>
      <w:r>
        <w:rPr>
          <w:i/>
        </w:rPr>
        <w:t>facilities</w:t>
      </w:r>
    </w:p>
    <w:p>
      <w:pPr>
        <w:pStyle w:val="BodyText"/>
        <w:spacing w:before="5"/>
        <w:rPr>
          <w:b/>
          <w:i/>
          <w:sz w:val="22"/>
        </w:rPr>
      </w:pPr>
    </w:p>
    <w:p>
      <w:pPr>
        <w:pStyle w:val="BodyText"/>
        <w:spacing w:line="225" w:lineRule="auto"/>
        <w:ind w:left="553"/>
        <w:jc w:val="both"/>
      </w:pPr>
      <w:r>
        <w:rPr/>
        <w:t>Injection rates for selected current CO</w:t>
      </w:r>
      <w:hyperlink w:history="true" w:anchor="_bookmark36">
        <w:r>
          <w:rPr>
            <w:position w:val="-6"/>
            <w:sz w:val="11"/>
          </w:rPr>
          <w:t>2</w:t>
        </w:r>
      </w:hyperlink>
      <w:r>
        <w:rPr>
          <w:position w:val="-6"/>
          <w:sz w:val="11"/>
        </w:rPr>
        <w:t> </w:t>
      </w:r>
      <w:r>
        <w:rPr/>
        <w:t>storage projects in</w:t>
      </w:r>
      <w:r>
        <w:rPr>
          <w:spacing w:val="-32"/>
        </w:rPr>
        <w:t> </w:t>
      </w:r>
      <w:r>
        <w:rPr/>
        <w:t>EOR and</w:t>
      </w:r>
      <w:r>
        <w:rPr>
          <w:spacing w:val="-16"/>
        </w:rPr>
        <w:t> </w:t>
      </w:r>
      <w:r>
        <w:rPr/>
        <w:t>acid</w:t>
      </w:r>
      <w:r>
        <w:rPr>
          <w:spacing w:val="-17"/>
        </w:rPr>
        <w:t> </w:t>
      </w:r>
      <w:r>
        <w:rPr/>
        <w:t>gas</w:t>
      </w:r>
      <w:r>
        <w:rPr>
          <w:spacing w:val="-15"/>
        </w:rPr>
        <w:t> </w:t>
      </w:r>
      <w:r>
        <w:rPr/>
        <w:t>injection</w:t>
      </w:r>
      <w:r>
        <w:rPr>
          <w:spacing w:val="-17"/>
        </w:rPr>
        <w:t> </w:t>
      </w:r>
      <w:r>
        <w:rPr/>
        <w:t>are</w:t>
      </w:r>
      <w:r>
        <w:rPr>
          <w:spacing w:val="-15"/>
        </w:rPr>
        <w:t> </w:t>
      </w:r>
      <w:r>
        <w:rPr/>
        <w:t>compared</w:t>
      </w:r>
      <w:r>
        <w:rPr>
          <w:spacing w:val="-17"/>
        </w:rPr>
        <w:t> </w:t>
      </w:r>
      <w:r>
        <w:rPr/>
        <w:t>in</w:t>
      </w:r>
      <w:r>
        <w:rPr>
          <w:spacing w:val="-16"/>
        </w:rPr>
        <w:t> </w:t>
      </w:r>
      <w:hyperlink w:history="true" w:anchor="_bookmark36">
        <w:r>
          <w:rPr/>
          <w:t>Figure</w:t>
        </w:r>
        <w:r>
          <w:rPr>
            <w:spacing w:val="-16"/>
          </w:rPr>
          <w:t> </w:t>
        </w:r>
        <w:r>
          <w:rPr/>
          <w:t>5.22.</w:t>
        </w:r>
        <w:r>
          <w:rPr>
            <w:spacing w:val="-27"/>
          </w:rPr>
          <w:t> </w:t>
        </w:r>
      </w:hyperlink>
      <w:r>
        <w:rPr/>
        <w:t>As</w:t>
      </w:r>
      <w:r>
        <w:rPr>
          <w:spacing w:val="-16"/>
        </w:rPr>
        <w:t> </w:t>
      </w:r>
      <w:r>
        <w:rPr/>
        <w:t>indicated, the amount of CO</w:t>
      </w:r>
      <w:r>
        <w:rPr>
          <w:position w:val="-6"/>
          <w:sz w:val="11"/>
        </w:rPr>
        <w:t>2 </w:t>
      </w:r>
      <w:r>
        <w:rPr/>
        <w:t>injected from a 500-MW coal-fired </w:t>
      </w:r>
      <w:r>
        <w:rPr>
          <w:spacing w:val="-3"/>
        </w:rPr>
        <w:t>power </w:t>
      </w:r>
      <w:r>
        <w:rPr/>
        <w:t>plant would fall within the range of existing experience of CO</w:t>
      </w:r>
      <w:r>
        <w:rPr>
          <w:position w:val="-6"/>
          <w:sz w:val="11"/>
        </w:rPr>
        <w:t>2 </w:t>
      </w:r>
      <w:r>
        <w:rPr/>
        <w:t>injection operations for EOR. These examples therefore </w:t>
      </w:r>
      <w:r>
        <w:rPr>
          <w:spacing w:val="-4"/>
        </w:rPr>
        <w:t>offer  </w:t>
      </w:r>
      <w:r>
        <w:rPr/>
        <w:t>a great deal of insight as to how a geological storage regime might evolve, operate and be managed safely and</w:t>
      </w:r>
      <w:r>
        <w:rPr>
          <w:spacing w:val="-19"/>
        </w:rPr>
        <w:t> </w:t>
      </w:r>
      <w:r>
        <w:rPr/>
        <w:t>effectively.</w:t>
      </w:r>
    </w:p>
    <w:p>
      <w:pPr>
        <w:pStyle w:val="BodyText"/>
        <w:spacing w:line="206" w:lineRule="auto" w:before="26"/>
        <w:ind w:left="553" w:right="1" w:firstLine="283"/>
        <w:jc w:val="both"/>
      </w:pPr>
      <w:r>
        <w:rPr/>
        <w:t>CO</w:t>
      </w:r>
      <w:r>
        <w:rPr>
          <w:position w:val="-6"/>
          <w:sz w:val="11"/>
        </w:rPr>
        <w:t>2</w:t>
      </w:r>
      <w:r>
        <w:rPr/>
        <w:t>-EOR operations fall into one of three groups (Jarrell </w:t>
      </w:r>
      <w:r>
        <w:rPr>
          <w:i/>
          <w:spacing w:val="-7"/>
        </w:rPr>
        <w:t>et </w:t>
      </w:r>
      <w:r>
        <w:rPr>
          <w:i/>
        </w:rPr>
        <w:t>al.</w:t>
      </w:r>
      <w:r>
        <w:rPr/>
        <w:t>, 2002):</w:t>
      </w:r>
    </w:p>
    <w:p>
      <w:pPr>
        <w:pStyle w:val="ListParagraph"/>
        <w:numPr>
          <w:ilvl w:val="0"/>
          <w:numId w:val="10"/>
        </w:numPr>
        <w:tabs>
          <w:tab w:pos="526" w:val="left" w:leader="none"/>
        </w:tabs>
        <w:spacing w:line="249" w:lineRule="auto" w:before="90" w:after="0"/>
        <w:ind w:left="525" w:right="136" w:hanging="284"/>
        <w:jc w:val="both"/>
        <w:rPr>
          <w:sz w:val="20"/>
        </w:rPr>
      </w:pPr>
      <w:r>
        <w:rPr>
          <w:spacing w:val="-1"/>
          <w:w w:val="100"/>
          <w:sz w:val="20"/>
        </w:rPr>
        <w:br w:type="column"/>
      </w:r>
      <w:r>
        <w:rPr>
          <w:sz w:val="20"/>
        </w:rPr>
        <w:t>Facility management – reinjection plant, separation, metering, corrosion control and facility</w:t>
      </w:r>
      <w:r>
        <w:rPr>
          <w:spacing w:val="-2"/>
          <w:sz w:val="20"/>
        </w:rPr>
        <w:t> </w:t>
      </w:r>
      <w:r>
        <w:rPr>
          <w:sz w:val="20"/>
        </w:rPr>
        <w:t>organization.</w:t>
      </w:r>
    </w:p>
    <w:p>
      <w:pPr>
        <w:pStyle w:val="BodyText"/>
        <w:spacing w:before="5"/>
      </w:pPr>
    </w:p>
    <w:p>
      <w:pPr>
        <w:pStyle w:val="BodyText"/>
        <w:spacing w:line="240" w:lineRule="exact"/>
        <w:ind w:left="241" w:right="132"/>
        <w:jc w:val="both"/>
      </w:pPr>
      <w:r>
        <w:rPr>
          <w:spacing w:val="-3"/>
        </w:rPr>
        <w:t>Typically, </w:t>
      </w:r>
      <w:r>
        <w:rPr/>
        <w:t>CO</w:t>
      </w:r>
      <w:r>
        <w:rPr>
          <w:position w:val="-6"/>
          <w:sz w:val="11"/>
        </w:rPr>
        <w:t>2 </w:t>
      </w:r>
      <w:r>
        <w:rPr/>
        <w:t>is transported from its source to an EOR site through</w:t>
      </w:r>
      <w:r>
        <w:rPr>
          <w:spacing w:val="-12"/>
        </w:rPr>
        <w:t> </w:t>
      </w:r>
      <w:r>
        <w:rPr/>
        <w:t>a</w:t>
      </w:r>
      <w:r>
        <w:rPr>
          <w:spacing w:val="-11"/>
        </w:rPr>
        <w:t> </w:t>
      </w:r>
      <w:r>
        <w:rPr/>
        <w:t>pipeline</w:t>
      </w:r>
      <w:r>
        <w:rPr>
          <w:spacing w:val="-12"/>
        </w:rPr>
        <w:t> </w:t>
      </w:r>
      <w:r>
        <w:rPr/>
        <w:t>and</w:t>
      </w:r>
      <w:r>
        <w:rPr>
          <w:spacing w:val="-11"/>
        </w:rPr>
        <w:t> </w:t>
      </w:r>
      <w:r>
        <w:rPr/>
        <w:t>is</w:t>
      </w:r>
      <w:r>
        <w:rPr>
          <w:spacing w:val="-11"/>
        </w:rPr>
        <w:t> </w:t>
      </w:r>
      <w:r>
        <w:rPr/>
        <w:t>then</w:t>
      </w:r>
      <w:r>
        <w:rPr>
          <w:spacing w:val="-11"/>
        </w:rPr>
        <w:t> </w:t>
      </w:r>
      <w:r>
        <w:rPr/>
        <w:t>injected</w:t>
      </w:r>
      <w:r>
        <w:rPr>
          <w:spacing w:val="-12"/>
        </w:rPr>
        <w:t> </w:t>
      </w:r>
      <w:r>
        <w:rPr/>
        <w:t>into</w:t>
      </w:r>
      <w:r>
        <w:rPr>
          <w:spacing w:val="-11"/>
        </w:rPr>
        <w:t> </w:t>
      </w:r>
      <w:r>
        <w:rPr/>
        <w:t>the</w:t>
      </w:r>
      <w:r>
        <w:rPr>
          <w:spacing w:val="-12"/>
        </w:rPr>
        <w:t> </w:t>
      </w:r>
      <w:r>
        <w:rPr/>
        <w:t>reservoir</w:t>
      </w:r>
      <w:r>
        <w:rPr>
          <w:spacing w:val="-11"/>
        </w:rPr>
        <w:t> </w:t>
      </w:r>
      <w:r>
        <w:rPr/>
        <w:t>through an</w:t>
      </w:r>
      <w:r>
        <w:rPr>
          <w:spacing w:val="-13"/>
        </w:rPr>
        <w:t> </w:t>
      </w:r>
      <w:r>
        <w:rPr/>
        <w:t>injection</w:t>
      </w:r>
      <w:r>
        <w:rPr>
          <w:spacing w:val="-12"/>
        </w:rPr>
        <w:t> </w:t>
      </w:r>
      <w:r>
        <w:rPr/>
        <w:t>well,</w:t>
      </w:r>
      <w:r>
        <w:rPr>
          <w:spacing w:val="-13"/>
        </w:rPr>
        <w:t> </w:t>
      </w:r>
      <w:r>
        <w:rPr/>
        <w:t>usually</w:t>
      </w:r>
      <w:r>
        <w:rPr>
          <w:spacing w:val="-12"/>
        </w:rPr>
        <w:t> </w:t>
      </w:r>
      <w:r>
        <w:rPr/>
        <w:t>after</w:t>
      </w:r>
      <w:r>
        <w:rPr>
          <w:spacing w:val="-13"/>
        </w:rPr>
        <w:t> </w:t>
      </w:r>
      <w:r>
        <w:rPr/>
        <w:t>compression.</w:t>
      </w:r>
      <w:r>
        <w:rPr>
          <w:spacing w:val="-12"/>
        </w:rPr>
        <w:t> </w:t>
      </w:r>
      <w:r>
        <w:rPr/>
        <w:t>Before</w:t>
      </w:r>
      <w:r>
        <w:rPr>
          <w:spacing w:val="-13"/>
        </w:rPr>
        <w:t> </w:t>
      </w:r>
      <w:r>
        <w:rPr/>
        <w:t>entering</w:t>
      </w:r>
      <w:r>
        <w:rPr>
          <w:spacing w:val="-12"/>
        </w:rPr>
        <w:t> </w:t>
      </w:r>
      <w:r>
        <w:rPr/>
        <w:t>the compressor,</w:t>
      </w:r>
      <w:r>
        <w:rPr>
          <w:spacing w:val="-10"/>
        </w:rPr>
        <w:t> </w:t>
      </w:r>
      <w:r>
        <w:rPr/>
        <w:t>a</w:t>
      </w:r>
      <w:r>
        <w:rPr>
          <w:spacing w:val="-10"/>
        </w:rPr>
        <w:t> </w:t>
      </w:r>
      <w:r>
        <w:rPr/>
        <w:t>suction</w:t>
      </w:r>
      <w:r>
        <w:rPr>
          <w:spacing w:val="-10"/>
        </w:rPr>
        <w:t> </w:t>
      </w:r>
      <w:r>
        <w:rPr/>
        <w:t>scrubber</w:t>
      </w:r>
      <w:r>
        <w:rPr>
          <w:spacing w:val="-10"/>
        </w:rPr>
        <w:t> </w:t>
      </w:r>
      <w:r>
        <w:rPr/>
        <w:t>will</w:t>
      </w:r>
      <w:r>
        <w:rPr>
          <w:spacing w:val="-10"/>
        </w:rPr>
        <w:t> </w:t>
      </w:r>
      <w:r>
        <w:rPr/>
        <w:t>remove</w:t>
      </w:r>
      <w:r>
        <w:rPr>
          <w:spacing w:val="-9"/>
        </w:rPr>
        <w:t> </w:t>
      </w:r>
      <w:r>
        <w:rPr/>
        <w:t>any</w:t>
      </w:r>
      <w:r>
        <w:rPr>
          <w:spacing w:val="-10"/>
        </w:rPr>
        <w:t> </w:t>
      </w:r>
      <w:r>
        <w:rPr/>
        <w:t>residual</w:t>
      </w:r>
      <w:r>
        <w:rPr>
          <w:spacing w:val="-10"/>
        </w:rPr>
        <w:t> </w:t>
      </w:r>
      <w:r>
        <w:rPr/>
        <w:t>liquids present in the CO</w:t>
      </w:r>
      <w:r>
        <w:rPr>
          <w:position w:val="-6"/>
          <w:sz w:val="11"/>
        </w:rPr>
        <w:t>2 </w:t>
      </w:r>
      <w:r>
        <w:rPr/>
        <w:t>stream. In EOR operations, CO</w:t>
      </w:r>
      <w:r>
        <w:rPr>
          <w:position w:val="-6"/>
          <w:sz w:val="11"/>
        </w:rPr>
        <w:t>2 </w:t>
      </w:r>
      <w:r>
        <w:rPr/>
        <w:t>produced from the production well along with oil and water is separated and then injected back through the injection</w:t>
      </w:r>
      <w:r>
        <w:rPr>
          <w:spacing w:val="-2"/>
        </w:rPr>
        <w:t> </w:t>
      </w:r>
      <w:r>
        <w:rPr/>
        <w:t>well.</w:t>
      </w:r>
    </w:p>
    <w:p>
      <w:pPr>
        <w:pStyle w:val="BodyText"/>
        <w:spacing w:line="240" w:lineRule="exact"/>
        <w:ind w:left="241" w:right="134" w:firstLine="283"/>
        <w:jc w:val="both"/>
      </w:pPr>
      <w:r>
        <w:rPr/>
        <w:t>The field application of CO</w:t>
      </w:r>
      <w:r>
        <w:rPr>
          <w:position w:val="-6"/>
          <w:sz w:val="11"/>
        </w:rPr>
        <w:t>2</w:t>
      </w:r>
      <w:r>
        <w:rPr/>
        <w:t>-ECBM technology is broadly similar</w:t>
      </w:r>
      <w:r>
        <w:rPr>
          <w:spacing w:val="-12"/>
        </w:rPr>
        <w:t> </w:t>
      </w:r>
      <w:r>
        <w:rPr/>
        <w:t>to</w:t>
      </w:r>
      <w:r>
        <w:rPr>
          <w:spacing w:val="-11"/>
        </w:rPr>
        <w:t> </w:t>
      </w:r>
      <w:r>
        <w:rPr/>
        <w:t>that</w:t>
      </w:r>
      <w:r>
        <w:rPr>
          <w:spacing w:val="-10"/>
        </w:rPr>
        <w:t> </w:t>
      </w:r>
      <w:r>
        <w:rPr/>
        <w:t>of</w:t>
      </w:r>
      <w:r>
        <w:rPr>
          <w:spacing w:val="-11"/>
        </w:rPr>
        <w:t> </w:t>
      </w:r>
      <w:r>
        <w:rPr/>
        <w:t>EOR</w:t>
      </w:r>
      <w:r>
        <w:rPr>
          <w:spacing w:val="-11"/>
        </w:rPr>
        <w:t> </w:t>
      </w:r>
      <w:r>
        <w:rPr/>
        <w:t>operations.</w:t>
      </w:r>
      <w:r>
        <w:rPr>
          <w:spacing w:val="-10"/>
        </w:rPr>
        <w:t> </w:t>
      </w:r>
      <w:r>
        <w:rPr/>
        <w:t>Carbon</w:t>
      </w:r>
      <w:r>
        <w:rPr>
          <w:spacing w:val="-11"/>
        </w:rPr>
        <w:t> </w:t>
      </w:r>
      <w:r>
        <w:rPr/>
        <w:t>dioxide</w:t>
      </w:r>
      <w:r>
        <w:rPr>
          <w:spacing w:val="-11"/>
        </w:rPr>
        <w:t> </w:t>
      </w:r>
      <w:r>
        <w:rPr/>
        <w:t>is</w:t>
      </w:r>
      <w:r>
        <w:rPr>
          <w:spacing w:val="-10"/>
        </w:rPr>
        <w:t> </w:t>
      </w:r>
      <w:r>
        <w:rPr/>
        <w:t>transported to</w:t>
      </w:r>
      <w:r>
        <w:rPr>
          <w:spacing w:val="-17"/>
        </w:rPr>
        <w:t> </w:t>
      </w:r>
      <w:r>
        <w:rPr/>
        <w:t>the</w:t>
      </w:r>
      <w:r>
        <w:rPr>
          <w:spacing w:val="-17"/>
        </w:rPr>
        <w:t> </w:t>
      </w:r>
      <w:r>
        <w:rPr/>
        <w:t>CBM</w:t>
      </w:r>
      <w:r>
        <w:rPr>
          <w:spacing w:val="-16"/>
        </w:rPr>
        <w:t> </w:t>
      </w:r>
      <w:r>
        <w:rPr/>
        <w:t>field</w:t>
      </w:r>
      <w:r>
        <w:rPr>
          <w:spacing w:val="-17"/>
        </w:rPr>
        <w:t> </w:t>
      </w:r>
      <w:r>
        <w:rPr/>
        <w:t>and</w:t>
      </w:r>
      <w:r>
        <w:rPr>
          <w:spacing w:val="-16"/>
        </w:rPr>
        <w:t> </w:t>
      </w:r>
      <w:r>
        <w:rPr/>
        <w:t>injected</w:t>
      </w:r>
      <w:r>
        <w:rPr>
          <w:spacing w:val="-17"/>
        </w:rPr>
        <w:t> </w:t>
      </w:r>
      <w:r>
        <w:rPr/>
        <w:t>in</w:t>
      </w:r>
      <w:r>
        <w:rPr>
          <w:spacing w:val="-17"/>
        </w:rPr>
        <w:t> </w:t>
      </w:r>
      <w:r>
        <w:rPr/>
        <w:t>the</w:t>
      </w:r>
      <w:r>
        <w:rPr>
          <w:spacing w:val="-16"/>
        </w:rPr>
        <w:t> </w:t>
      </w:r>
      <w:r>
        <w:rPr/>
        <w:t>coal</w:t>
      </w:r>
      <w:r>
        <w:rPr>
          <w:spacing w:val="-17"/>
        </w:rPr>
        <w:t> </w:t>
      </w:r>
      <w:r>
        <w:rPr/>
        <w:t>seam</w:t>
      </w:r>
      <w:r>
        <w:rPr>
          <w:spacing w:val="-16"/>
        </w:rPr>
        <w:t> </w:t>
      </w:r>
      <w:r>
        <w:rPr/>
        <w:t>through</w:t>
      </w:r>
      <w:r>
        <w:rPr>
          <w:spacing w:val="-17"/>
        </w:rPr>
        <w:t> </w:t>
      </w:r>
      <w:r>
        <w:rPr/>
        <w:t>dedicated injection wells. At the production well, coal-seam gas and formation water is lifted to the surface by electric</w:t>
      </w:r>
      <w:r>
        <w:rPr>
          <w:spacing w:val="-7"/>
        </w:rPr>
        <w:t> </w:t>
      </w:r>
      <w:r>
        <w:rPr/>
        <w:t>pumps.</w:t>
      </w:r>
    </w:p>
    <w:p>
      <w:pPr>
        <w:pStyle w:val="BodyText"/>
        <w:spacing w:line="206" w:lineRule="auto" w:before="24"/>
        <w:ind w:left="241" w:right="135" w:firstLine="283"/>
        <w:jc w:val="both"/>
      </w:pPr>
      <w:r>
        <w:rPr/>
        <w:t>According</w:t>
      </w:r>
      <w:r>
        <w:rPr>
          <w:spacing w:val="-5"/>
        </w:rPr>
        <w:t> </w:t>
      </w:r>
      <w:r>
        <w:rPr/>
        <w:t>to</w:t>
      </w:r>
      <w:r>
        <w:rPr>
          <w:spacing w:val="-5"/>
        </w:rPr>
        <w:t> </w:t>
      </w:r>
      <w:r>
        <w:rPr/>
        <w:t>Jarrell</w:t>
      </w:r>
      <w:r>
        <w:rPr>
          <w:spacing w:val="-4"/>
        </w:rPr>
        <w:t> </w:t>
      </w:r>
      <w:r>
        <w:rPr>
          <w:i/>
        </w:rPr>
        <w:t>et</w:t>
      </w:r>
      <w:r>
        <w:rPr>
          <w:i/>
          <w:spacing w:val="-5"/>
        </w:rPr>
        <w:t> </w:t>
      </w:r>
      <w:r>
        <w:rPr>
          <w:i/>
        </w:rPr>
        <w:t>al.</w:t>
      </w:r>
      <w:r>
        <w:rPr>
          <w:i/>
          <w:spacing w:val="-4"/>
        </w:rPr>
        <w:t> </w:t>
      </w:r>
      <w:r>
        <w:rPr/>
        <w:t>(2002),</w:t>
      </w:r>
      <w:r>
        <w:rPr>
          <w:spacing w:val="-5"/>
        </w:rPr>
        <w:t> </w:t>
      </w:r>
      <w:r>
        <w:rPr/>
        <w:t>surface</w:t>
      </w:r>
      <w:r>
        <w:rPr>
          <w:spacing w:val="-5"/>
        </w:rPr>
        <w:t> </w:t>
      </w:r>
      <w:r>
        <w:rPr/>
        <w:t>facilities</w:t>
      </w:r>
      <w:r>
        <w:rPr>
          <w:spacing w:val="-5"/>
        </w:rPr>
        <w:t> </w:t>
      </w:r>
      <w:r>
        <w:rPr/>
        <w:t>for</w:t>
      </w:r>
      <w:r>
        <w:rPr>
          <w:spacing w:val="-4"/>
        </w:rPr>
        <w:t> </w:t>
      </w:r>
      <w:r>
        <w:rPr/>
        <w:t>CO</w:t>
      </w:r>
      <w:r>
        <w:rPr>
          <w:position w:val="-6"/>
          <w:sz w:val="11"/>
        </w:rPr>
        <w:t>2</w:t>
      </w:r>
      <w:r>
        <w:rPr/>
        <w:t>- EOR projects include:</w:t>
      </w:r>
    </w:p>
    <w:p>
      <w:pPr>
        <w:pStyle w:val="ListParagraph"/>
        <w:numPr>
          <w:ilvl w:val="0"/>
          <w:numId w:val="10"/>
        </w:numPr>
        <w:tabs>
          <w:tab w:pos="526" w:val="left" w:leader="none"/>
        </w:tabs>
        <w:spacing w:line="249" w:lineRule="auto" w:before="1" w:after="0"/>
        <w:ind w:left="525" w:right="136" w:hanging="284"/>
        <w:jc w:val="both"/>
        <w:rPr>
          <w:sz w:val="20"/>
        </w:rPr>
      </w:pPr>
      <w:r>
        <w:rPr>
          <w:sz w:val="20"/>
        </w:rPr>
        <w:t>Production systems-fluid separation, gas gathering, production satellite, liquid gathering, central battery, field compression and emergency shutdown</w:t>
      </w:r>
      <w:r>
        <w:rPr>
          <w:spacing w:val="-5"/>
          <w:sz w:val="20"/>
        </w:rPr>
        <w:t> </w:t>
      </w:r>
      <w:r>
        <w:rPr>
          <w:sz w:val="20"/>
        </w:rPr>
        <w:t>systems;</w:t>
      </w:r>
    </w:p>
    <w:p>
      <w:pPr>
        <w:pStyle w:val="ListParagraph"/>
        <w:numPr>
          <w:ilvl w:val="0"/>
          <w:numId w:val="10"/>
        </w:numPr>
        <w:tabs>
          <w:tab w:pos="526" w:val="left" w:leader="none"/>
        </w:tabs>
        <w:spacing w:line="232" w:lineRule="exact" w:before="0" w:after="0"/>
        <w:ind w:left="525" w:right="0" w:hanging="285"/>
        <w:jc w:val="both"/>
        <w:rPr>
          <w:sz w:val="20"/>
        </w:rPr>
      </w:pPr>
      <w:r>
        <w:rPr>
          <w:sz w:val="20"/>
        </w:rPr>
        <w:t>Injection systems-gas repressurization, water injection</w:t>
      </w:r>
      <w:r>
        <w:rPr>
          <w:spacing w:val="10"/>
          <w:sz w:val="20"/>
        </w:rPr>
        <w:t> </w:t>
      </w:r>
      <w:r>
        <w:rPr>
          <w:sz w:val="20"/>
        </w:rPr>
        <w:t>and</w:t>
      </w:r>
    </w:p>
    <w:p>
      <w:pPr>
        <w:pStyle w:val="BodyText"/>
        <w:spacing w:line="253" w:lineRule="exact" w:before="9"/>
        <w:ind w:left="525"/>
        <w:jc w:val="both"/>
      </w:pPr>
      <w:r>
        <w:rPr/>
        <w:t>CO</w:t>
      </w:r>
      <w:r>
        <w:rPr>
          <w:position w:val="-6"/>
          <w:sz w:val="11"/>
        </w:rPr>
        <w:t>2 </w:t>
      </w:r>
      <w:r>
        <w:rPr/>
        <w:t>distribution systems;</w:t>
      </w:r>
    </w:p>
    <w:p>
      <w:pPr>
        <w:pStyle w:val="ListParagraph"/>
        <w:numPr>
          <w:ilvl w:val="0"/>
          <w:numId w:val="10"/>
        </w:numPr>
        <w:tabs>
          <w:tab w:pos="526" w:val="left" w:leader="none"/>
        </w:tabs>
        <w:spacing w:line="218" w:lineRule="exact" w:before="0" w:after="0"/>
        <w:ind w:left="525" w:right="0" w:hanging="285"/>
        <w:jc w:val="both"/>
        <w:rPr>
          <w:sz w:val="20"/>
        </w:rPr>
      </w:pPr>
      <w:r>
        <w:rPr/>
        <w:pict>
          <v:shape style="position:absolute;margin-left:530.977417pt;margin-top:7.639507pt;width:2.95pt;height:5.85pt;mso-position-horizontal-relative:page;mso-position-vertical-relative:paragraph;z-index:-25884160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Gas processing systems-gas processing plant, H S</w:t>
      </w:r>
      <w:r>
        <w:rPr>
          <w:spacing w:val="48"/>
          <w:sz w:val="20"/>
        </w:rPr>
        <w:t> </w:t>
      </w:r>
      <w:r>
        <w:rPr>
          <w:sz w:val="20"/>
        </w:rPr>
        <w:t>removal</w:t>
      </w:r>
    </w:p>
    <w:p>
      <w:pPr>
        <w:pStyle w:val="BodyText"/>
        <w:spacing w:before="10"/>
        <w:ind w:left="525"/>
        <w:jc w:val="both"/>
      </w:pPr>
      <w:r>
        <w:rPr/>
        <w:t>systems and sulphur recovery and disposal systems.</w:t>
      </w:r>
    </w:p>
    <w:p>
      <w:pPr>
        <w:spacing w:after="0"/>
        <w:jc w:val="both"/>
        <w:sectPr>
          <w:type w:val="continuous"/>
          <w:pgSz w:w="12240" w:h="15840"/>
          <w:pgMar w:top="400" w:bottom="280" w:left="580" w:right="600"/>
          <w:cols w:num="2" w:equalWidth="0">
            <w:col w:w="5599" w:space="40"/>
            <w:col w:w="5421"/>
          </w:cols>
        </w:sectPr>
      </w:pPr>
    </w:p>
    <w:p>
      <w:pPr>
        <w:pStyle w:val="ListParagraph"/>
        <w:numPr>
          <w:ilvl w:val="1"/>
          <w:numId w:val="10"/>
        </w:numPr>
        <w:tabs>
          <w:tab w:pos="838" w:val="left" w:leader="none"/>
        </w:tabs>
        <w:spacing w:line="240" w:lineRule="auto" w:before="0" w:after="0"/>
        <w:ind w:left="837" w:right="0" w:hanging="285"/>
        <w:jc w:val="left"/>
        <w:rPr>
          <w:sz w:val="20"/>
        </w:rPr>
      </w:pPr>
      <w:r>
        <w:rPr>
          <w:sz w:val="20"/>
        </w:rPr>
        <w:t>Reservoir</w:t>
      </w:r>
      <w:r>
        <w:rPr>
          <w:spacing w:val="8"/>
          <w:sz w:val="20"/>
        </w:rPr>
        <w:t> </w:t>
      </w:r>
      <w:r>
        <w:rPr>
          <w:sz w:val="20"/>
        </w:rPr>
        <w:t>management</w:t>
      </w:r>
      <w:r>
        <w:rPr>
          <w:spacing w:val="9"/>
          <w:sz w:val="20"/>
        </w:rPr>
        <w:t> </w:t>
      </w:r>
      <w:r>
        <w:rPr>
          <w:sz w:val="20"/>
        </w:rPr>
        <w:t>–</w:t>
      </w:r>
      <w:r>
        <w:rPr>
          <w:spacing w:val="9"/>
          <w:sz w:val="20"/>
        </w:rPr>
        <w:t> </w:t>
      </w:r>
      <w:r>
        <w:rPr>
          <w:sz w:val="20"/>
        </w:rPr>
        <w:t>what</w:t>
      </w:r>
      <w:r>
        <w:rPr>
          <w:spacing w:val="8"/>
          <w:sz w:val="20"/>
        </w:rPr>
        <w:t> </w:t>
      </w:r>
      <w:r>
        <w:rPr>
          <w:sz w:val="20"/>
        </w:rPr>
        <w:t>to</w:t>
      </w:r>
      <w:r>
        <w:rPr>
          <w:spacing w:val="9"/>
          <w:sz w:val="20"/>
        </w:rPr>
        <w:t> </w:t>
      </w:r>
      <w:r>
        <w:rPr>
          <w:sz w:val="20"/>
        </w:rPr>
        <w:t>inject,</w:t>
      </w:r>
      <w:r>
        <w:rPr>
          <w:spacing w:val="9"/>
          <w:sz w:val="20"/>
        </w:rPr>
        <w:t> </w:t>
      </w:r>
      <w:r>
        <w:rPr>
          <w:sz w:val="20"/>
        </w:rPr>
        <w:t>how</w:t>
      </w:r>
      <w:r>
        <w:rPr>
          <w:spacing w:val="9"/>
          <w:sz w:val="20"/>
        </w:rPr>
        <w:t> </w:t>
      </w:r>
      <w:r>
        <w:rPr>
          <w:sz w:val="20"/>
        </w:rPr>
        <w:t>fast</w:t>
      </w:r>
      <w:r>
        <w:rPr>
          <w:spacing w:val="8"/>
          <w:sz w:val="20"/>
        </w:rPr>
        <w:t> </w:t>
      </w:r>
      <w:r>
        <w:rPr>
          <w:sz w:val="20"/>
        </w:rPr>
        <w:t>to</w:t>
      </w:r>
      <w:r>
        <w:rPr>
          <w:spacing w:val="9"/>
          <w:sz w:val="20"/>
        </w:rPr>
        <w:t> </w:t>
      </w:r>
      <w:r>
        <w:rPr>
          <w:sz w:val="20"/>
        </w:rPr>
        <w:t>inject,</w:t>
      </w:r>
    </w:p>
    <w:p>
      <w:pPr>
        <w:spacing w:line="277" w:lineRule="exact" w:before="15"/>
        <w:ind w:left="242" w:right="0" w:firstLine="0"/>
        <w:jc w:val="left"/>
        <w:rPr>
          <w:sz w:val="11"/>
        </w:rPr>
      </w:pPr>
      <w:r>
        <w:rPr/>
        <w:br w:type="column"/>
      </w:r>
      <w:r>
        <w:rPr>
          <w:sz w:val="20"/>
        </w:rPr>
        <w:t>Jarrell </w:t>
      </w:r>
      <w:r>
        <w:rPr>
          <w:i/>
          <w:sz w:val="20"/>
        </w:rPr>
        <w:t>et al. </w:t>
      </w:r>
      <w:r>
        <w:rPr>
          <w:sz w:val="20"/>
        </w:rPr>
        <w:t>(2002) point out that CO</w:t>
      </w:r>
      <w:r>
        <w:rPr>
          <w:position w:val="-6"/>
          <w:sz w:val="11"/>
        </w:rPr>
        <w:t>2</w:t>
      </w:r>
    </w:p>
    <w:p>
      <w:pPr>
        <w:pStyle w:val="BodyText"/>
        <w:spacing w:before="15"/>
        <w:ind w:left="24"/>
      </w:pPr>
      <w:r>
        <w:rPr/>
        <w:br w:type="column"/>
      </w:r>
      <w:r>
        <w:rPr/>
        <w:t>facilities are similar to</w:t>
      </w:r>
    </w:p>
    <w:p>
      <w:pPr>
        <w:spacing w:after="0"/>
        <w:sectPr>
          <w:type w:val="continuous"/>
          <w:pgSz w:w="12240" w:h="15840"/>
          <w:pgMar w:top="400" w:bottom="280" w:left="580" w:right="600"/>
          <w:cols w:num="3" w:equalWidth="0">
            <w:col w:w="5598" w:space="40"/>
            <w:col w:w="3383" w:space="39"/>
            <w:col w:w="2000"/>
          </w:cols>
        </w:sectPr>
      </w:pPr>
    </w:p>
    <w:p>
      <w:pPr>
        <w:pStyle w:val="BodyText"/>
        <w:spacing w:line="193" w:lineRule="exact"/>
        <w:ind w:left="837"/>
        <w:jc w:val="both"/>
      </w:pPr>
      <w:r>
        <w:rPr/>
        <w:t>how much to inject, how to manage water-alternating-gas</w:t>
      </w:r>
    </w:p>
    <w:p>
      <w:pPr>
        <w:pStyle w:val="BodyText"/>
        <w:spacing w:line="228" w:lineRule="exact" w:before="10"/>
        <w:ind w:left="837"/>
        <w:jc w:val="both"/>
      </w:pPr>
      <w:r>
        <w:rPr/>
        <w:t>(WAG), how to maximize sweep efficiency and so on;</w:t>
      </w:r>
    </w:p>
    <w:p>
      <w:pPr>
        <w:pStyle w:val="ListParagraph"/>
        <w:numPr>
          <w:ilvl w:val="1"/>
          <w:numId w:val="10"/>
        </w:numPr>
        <w:tabs>
          <w:tab w:pos="838" w:val="left" w:leader="none"/>
        </w:tabs>
        <w:spacing w:line="249" w:lineRule="auto" w:before="0" w:after="0"/>
        <w:ind w:left="837" w:right="0" w:hanging="284"/>
        <w:jc w:val="both"/>
        <w:rPr>
          <w:sz w:val="20"/>
        </w:rPr>
      </w:pPr>
      <w:r>
        <w:rPr>
          <w:spacing w:val="-4"/>
          <w:sz w:val="20"/>
        </w:rPr>
        <w:t>Well </w:t>
      </w:r>
      <w:r>
        <w:rPr>
          <w:sz w:val="20"/>
        </w:rPr>
        <w:t>management – producing method and remedial work, including selection of workovers, chemical treatment and CO</w:t>
      </w:r>
      <w:r>
        <w:rPr>
          <w:position w:val="-6"/>
          <w:sz w:val="11"/>
        </w:rPr>
        <w:t>2</w:t>
      </w:r>
      <w:r>
        <w:rPr>
          <w:spacing w:val="22"/>
          <w:position w:val="-6"/>
          <w:sz w:val="11"/>
        </w:rPr>
        <w:t> </w:t>
      </w:r>
      <w:r>
        <w:rPr>
          <w:sz w:val="20"/>
        </w:rPr>
        <w:t>breakthrough;</w:t>
      </w:r>
    </w:p>
    <w:p>
      <w:pPr>
        <w:pStyle w:val="BodyText"/>
        <w:spacing w:line="193" w:lineRule="exact"/>
        <w:ind w:left="242"/>
        <w:jc w:val="both"/>
      </w:pPr>
      <w:r>
        <w:rPr/>
        <w:br w:type="column"/>
      </w:r>
      <w:r>
        <w:rPr/>
        <w:t>those used in conventional facilities such as for waterfloods.</w:t>
      </w:r>
    </w:p>
    <w:p>
      <w:pPr>
        <w:pStyle w:val="BodyText"/>
        <w:spacing w:line="240" w:lineRule="exact" w:before="4"/>
        <w:ind w:left="242" w:right="134"/>
        <w:jc w:val="both"/>
      </w:pPr>
      <w:r>
        <w:rPr/>
        <w:t>Differences</w:t>
      </w:r>
      <w:r>
        <w:rPr>
          <w:spacing w:val="-10"/>
        </w:rPr>
        <w:t> </w:t>
      </w:r>
      <w:r>
        <w:rPr/>
        <w:t>result</w:t>
      </w:r>
      <w:r>
        <w:rPr>
          <w:spacing w:val="-9"/>
        </w:rPr>
        <w:t> </w:t>
      </w:r>
      <w:r>
        <w:rPr/>
        <w:t>from</w:t>
      </w:r>
      <w:r>
        <w:rPr>
          <w:spacing w:val="-9"/>
        </w:rPr>
        <w:t> </w:t>
      </w:r>
      <w:r>
        <w:rPr/>
        <w:t>the</w:t>
      </w:r>
      <w:r>
        <w:rPr>
          <w:spacing w:val="-9"/>
        </w:rPr>
        <w:t> </w:t>
      </w:r>
      <w:r>
        <w:rPr/>
        <w:t>effects</w:t>
      </w:r>
      <w:r>
        <w:rPr>
          <w:spacing w:val="-9"/>
        </w:rPr>
        <w:t> </w:t>
      </w:r>
      <w:r>
        <w:rPr/>
        <w:t>of</w:t>
      </w:r>
      <w:r>
        <w:rPr>
          <w:spacing w:val="-9"/>
        </w:rPr>
        <w:t> </w:t>
      </w:r>
      <w:r>
        <w:rPr/>
        <w:t>multiphase</w:t>
      </w:r>
      <w:r>
        <w:rPr>
          <w:spacing w:val="-9"/>
        </w:rPr>
        <w:t> </w:t>
      </w:r>
      <w:r>
        <w:rPr>
          <w:spacing w:val="-4"/>
        </w:rPr>
        <w:t>flow,</w:t>
      </w:r>
      <w:r>
        <w:rPr>
          <w:spacing w:val="-10"/>
        </w:rPr>
        <w:t> </w:t>
      </w:r>
      <w:r>
        <w:rPr/>
        <w:t>selection of different materials and the higher pressure that must be handled.</w:t>
      </w:r>
      <w:r>
        <w:rPr>
          <w:spacing w:val="-12"/>
        </w:rPr>
        <w:t> </w:t>
      </w:r>
      <w:r>
        <w:rPr/>
        <w:t>The</w:t>
      </w:r>
      <w:r>
        <w:rPr>
          <w:spacing w:val="-8"/>
        </w:rPr>
        <w:t> </w:t>
      </w:r>
      <w:r>
        <w:rPr/>
        <w:t>CO</w:t>
      </w:r>
      <w:r>
        <w:rPr>
          <w:position w:val="-6"/>
          <w:sz w:val="11"/>
        </w:rPr>
        <w:t>2</w:t>
      </w:r>
      <w:r>
        <w:rPr>
          <w:spacing w:val="14"/>
          <w:position w:val="-6"/>
          <w:sz w:val="11"/>
        </w:rPr>
        <w:t> </w:t>
      </w:r>
      <w:r>
        <w:rPr/>
        <w:t>field</w:t>
      </w:r>
      <w:r>
        <w:rPr>
          <w:spacing w:val="-9"/>
        </w:rPr>
        <w:t> </w:t>
      </w:r>
      <w:r>
        <w:rPr/>
        <w:t>operation</w:t>
      </w:r>
      <w:r>
        <w:rPr>
          <w:spacing w:val="-8"/>
        </w:rPr>
        <w:t> </w:t>
      </w:r>
      <w:r>
        <w:rPr/>
        <w:t>setup</w:t>
      </w:r>
      <w:r>
        <w:rPr>
          <w:spacing w:val="-9"/>
        </w:rPr>
        <w:t> </w:t>
      </w:r>
      <w:r>
        <w:rPr/>
        <w:t>for</w:t>
      </w:r>
      <w:r>
        <w:rPr>
          <w:spacing w:val="-8"/>
        </w:rPr>
        <w:t> </w:t>
      </w:r>
      <w:r>
        <w:rPr/>
        <w:t>the</w:t>
      </w:r>
      <w:r>
        <w:rPr>
          <w:spacing w:val="-12"/>
        </w:rPr>
        <w:t> </w:t>
      </w:r>
      <w:r>
        <w:rPr>
          <w:spacing w:val="-3"/>
        </w:rPr>
        <w:t>Weyburn</w:t>
      </w:r>
      <w:r>
        <w:rPr>
          <w:spacing w:val="-8"/>
        </w:rPr>
        <w:t> </w:t>
      </w:r>
      <w:r>
        <w:rPr/>
        <w:t>Field</w:t>
      </w:r>
      <w:r>
        <w:rPr>
          <w:spacing w:val="-9"/>
        </w:rPr>
        <w:t> </w:t>
      </w:r>
      <w:r>
        <w:rPr/>
        <w:t>is shown in </w:t>
      </w:r>
      <w:hyperlink w:history="true" w:anchor="_bookmark37">
        <w:r>
          <w:rPr/>
          <w:t>Figure</w:t>
        </w:r>
        <w:r>
          <w:rPr>
            <w:spacing w:val="-3"/>
          </w:rPr>
          <w:t> </w:t>
        </w:r>
        <w:r>
          <w:rPr/>
          <w:t>5.23.</w:t>
        </w:r>
      </w:hyperlink>
    </w:p>
    <w:p>
      <w:pPr>
        <w:spacing w:after="0" w:line="240" w:lineRule="exact"/>
        <w:jc w:val="both"/>
        <w:sectPr>
          <w:type w:val="continuous"/>
          <w:pgSz w:w="12240" w:h="15840"/>
          <w:pgMar w:top="400" w:bottom="280" w:left="580" w:right="600"/>
          <w:cols w:num="2" w:equalWidth="0">
            <w:col w:w="5598" w:space="40"/>
            <w:col w:w="5422"/>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firstLine="283"/>
        <w:jc w:val="both"/>
      </w:pPr>
      <w:bookmarkStart w:name="5.6 Monitoring and verification technolo" w:id="71"/>
      <w:bookmarkEnd w:id="71"/>
      <w:r>
        <w:rPr/>
      </w:r>
      <w:bookmarkStart w:name="5.6.1 Purposes for monitoring" w:id="72"/>
      <w:bookmarkEnd w:id="72"/>
      <w:r>
        <w:rPr/>
      </w:r>
      <w:r>
        <w:rPr/>
        <w:t>It is common to use existing facilities for new CO</w:t>
      </w:r>
      <w:r>
        <w:rPr>
          <w:position w:val="-6"/>
          <w:sz w:val="11"/>
        </w:rPr>
        <w:t>2 </w:t>
      </w:r>
      <w:r>
        <w:rPr/>
        <w:t>projects to</w:t>
      </w:r>
      <w:r>
        <w:rPr>
          <w:spacing w:val="-11"/>
        </w:rPr>
        <w:t> </w:t>
      </w:r>
      <w:r>
        <w:rPr/>
        <w:t>reduce</w:t>
      </w:r>
      <w:r>
        <w:rPr>
          <w:spacing w:val="-10"/>
        </w:rPr>
        <w:t> </w:t>
      </w:r>
      <w:r>
        <w:rPr/>
        <w:t>capital</w:t>
      </w:r>
      <w:r>
        <w:rPr>
          <w:spacing w:val="-10"/>
        </w:rPr>
        <w:t> </w:t>
      </w:r>
      <w:r>
        <w:rPr/>
        <w:t>costs,</w:t>
      </w:r>
      <w:r>
        <w:rPr>
          <w:spacing w:val="-11"/>
        </w:rPr>
        <w:t> </w:t>
      </w:r>
      <w:r>
        <w:rPr/>
        <w:t>although</w:t>
      </w:r>
      <w:r>
        <w:rPr>
          <w:spacing w:val="-10"/>
        </w:rPr>
        <w:t> </w:t>
      </w:r>
      <w:r>
        <w:rPr/>
        <w:t>physical</w:t>
      </w:r>
      <w:r>
        <w:rPr>
          <w:spacing w:val="-10"/>
        </w:rPr>
        <w:t> </w:t>
      </w:r>
      <w:r>
        <w:rPr/>
        <w:t>restrictions</w:t>
      </w:r>
      <w:r>
        <w:rPr>
          <w:spacing w:val="-11"/>
        </w:rPr>
        <w:t> </w:t>
      </w:r>
      <w:r>
        <w:rPr/>
        <w:t>are</w:t>
      </w:r>
      <w:r>
        <w:rPr>
          <w:spacing w:val="-10"/>
        </w:rPr>
        <w:t> </w:t>
      </w:r>
      <w:r>
        <w:rPr>
          <w:spacing w:val="-3"/>
        </w:rPr>
        <w:t>always </w:t>
      </w:r>
      <w:r>
        <w:rPr/>
        <w:t>present.</w:t>
      </w:r>
      <w:r>
        <w:rPr>
          <w:spacing w:val="-11"/>
        </w:rPr>
        <w:t> </w:t>
      </w:r>
      <w:r>
        <w:rPr/>
        <w:t>Starting</w:t>
      </w:r>
      <w:r>
        <w:rPr>
          <w:spacing w:val="-10"/>
        </w:rPr>
        <w:t> </w:t>
      </w:r>
      <w:r>
        <w:rPr/>
        <w:t>a</w:t>
      </w:r>
      <w:r>
        <w:rPr>
          <w:spacing w:val="-10"/>
        </w:rPr>
        <w:t> </w:t>
      </w:r>
      <w:r>
        <w:rPr/>
        <w:t>CO</w:t>
      </w:r>
      <w:r>
        <w:rPr>
          <w:position w:val="-6"/>
          <w:sz w:val="11"/>
        </w:rPr>
        <w:t>2</w:t>
      </w:r>
      <w:r>
        <w:rPr>
          <w:spacing w:val="12"/>
          <w:position w:val="-6"/>
          <w:sz w:val="11"/>
        </w:rPr>
        <w:t> </w:t>
      </w:r>
      <w:r>
        <w:rPr/>
        <w:t>flood</w:t>
      </w:r>
      <w:r>
        <w:rPr>
          <w:spacing w:val="-11"/>
        </w:rPr>
        <w:t> </w:t>
      </w:r>
      <w:r>
        <w:rPr/>
        <w:t>in</w:t>
      </w:r>
      <w:r>
        <w:rPr>
          <w:spacing w:val="-10"/>
        </w:rPr>
        <w:t> </w:t>
      </w:r>
      <w:r>
        <w:rPr/>
        <w:t>an</w:t>
      </w:r>
      <w:r>
        <w:rPr>
          <w:spacing w:val="-10"/>
        </w:rPr>
        <w:t> </w:t>
      </w:r>
      <w:r>
        <w:rPr/>
        <w:t>old</w:t>
      </w:r>
      <w:r>
        <w:rPr>
          <w:spacing w:val="-10"/>
        </w:rPr>
        <w:t> </w:t>
      </w:r>
      <w:r>
        <w:rPr/>
        <w:t>oil</w:t>
      </w:r>
      <w:r>
        <w:rPr>
          <w:spacing w:val="-10"/>
        </w:rPr>
        <w:t> </w:t>
      </w:r>
      <w:r>
        <w:rPr/>
        <w:t>field</w:t>
      </w:r>
      <w:r>
        <w:rPr>
          <w:spacing w:val="-11"/>
        </w:rPr>
        <w:t> </w:t>
      </w:r>
      <w:r>
        <w:rPr/>
        <w:t>can</w:t>
      </w:r>
      <w:r>
        <w:rPr>
          <w:spacing w:val="-10"/>
        </w:rPr>
        <w:t> </w:t>
      </w:r>
      <w:r>
        <w:rPr/>
        <w:t>affect</w:t>
      </w:r>
      <w:r>
        <w:rPr>
          <w:spacing w:val="-10"/>
        </w:rPr>
        <w:t> </w:t>
      </w:r>
      <w:r>
        <w:rPr/>
        <w:t>almost every</w:t>
      </w:r>
      <w:r>
        <w:rPr>
          <w:spacing w:val="25"/>
        </w:rPr>
        <w:t> </w:t>
      </w:r>
      <w:r>
        <w:rPr/>
        <w:t>process</w:t>
      </w:r>
      <w:r>
        <w:rPr>
          <w:spacing w:val="25"/>
        </w:rPr>
        <w:t> </w:t>
      </w:r>
      <w:r>
        <w:rPr/>
        <w:t>and</w:t>
      </w:r>
      <w:r>
        <w:rPr>
          <w:spacing w:val="26"/>
        </w:rPr>
        <w:t> </w:t>
      </w:r>
      <w:r>
        <w:rPr/>
        <w:t>facility</w:t>
      </w:r>
      <w:r>
        <w:rPr>
          <w:spacing w:val="25"/>
        </w:rPr>
        <w:t> </w:t>
      </w:r>
      <w:r>
        <w:rPr/>
        <w:t>(Jarrell</w:t>
      </w:r>
      <w:r>
        <w:rPr>
          <w:spacing w:val="25"/>
        </w:rPr>
        <w:t> </w:t>
      </w:r>
      <w:r>
        <w:rPr>
          <w:i/>
        </w:rPr>
        <w:t>et</w:t>
      </w:r>
      <w:r>
        <w:rPr>
          <w:i/>
          <w:spacing w:val="25"/>
        </w:rPr>
        <w:t> </w:t>
      </w:r>
      <w:r>
        <w:rPr>
          <w:i/>
        </w:rPr>
        <w:t>al.</w:t>
      </w:r>
      <w:r>
        <w:rPr/>
        <w:t>,</w:t>
      </w:r>
      <w:r>
        <w:rPr>
          <w:spacing w:val="26"/>
        </w:rPr>
        <w:t> </w:t>
      </w:r>
      <w:r>
        <w:rPr/>
        <w:t>2002);</w:t>
      </w:r>
      <w:r>
        <w:rPr>
          <w:spacing w:val="25"/>
        </w:rPr>
        <w:t> </w:t>
      </w:r>
      <w:r>
        <w:rPr/>
        <w:t>for</w:t>
      </w:r>
      <w:r>
        <w:rPr>
          <w:spacing w:val="26"/>
        </w:rPr>
        <w:t> </w:t>
      </w:r>
      <w:r>
        <w:rPr/>
        <w:t>example,</w:t>
      </w:r>
    </w:p>
    <w:p>
      <w:pPr>
        <w:pStyle w:val="Heading2"/>
        <w:numPr>
          <w:ilvl w:val="2"/>
          <w:numId w:val="11"/>
        </w:numPr>
        <w:tabs>
          <w:tab w:pos="976" w:val="left" w:leader="none"/>
          <w:tab w:pos="977" w:val="left" w:leader="none"/>
        </w:tabs>
        <w:spacing w:line="240" w:lineRule="auto" w:before="63" w:after="0"/>
        <w:ind w:left="977" w:right="0" w:hanging="820"/>
        <w:jc w:val="left"/>
        <w:rPr>
          <w:i/>
        </w:rPr>
      </w:pPr>
      <w:r>
        <w:rPr>
          <w:i/>
        </w:rPr>
        <w:br w:type="column"/>
        <w:t>Purposes for monitoring</w:t>
      </w:r>
    </w:p>
    <w:p>
      <w:pPr>
        <w:pStyle w:val="BodyText"/>
        <w:spacing w:before="8"/>
        <w:rPr>
          <w:b/>
          <w:i/>
          <w:sz w:val="21"/>
        </w:rPr>
      </w:pPr>
    </w:p>
    <w:p>
      <w:pPr>
        <w:pStyle w:val="BodyText"/>
        <w:spacing w:before="1"/>
        <w:ind w:left="157"/>
      </w:pPr>
      <w:r>
        <w:rPr/>
        <w:t>Monitoring is needed for a wide variety of purposes. Specifically,</w:t>
      </w:r>
    </w:p>
    <w:p>
      <w:pPr>
        <w:pStyle w:val="BodyText"/>
        <w:spacing w:line="225" w:lineRule="exact" w:before="10"/>
        <w:ind w:left="157"/>
      </w:pPr>
      <w:r>
        <w:rPr/>
        <w:t>monitoring can be used to:</w:t>
      </w:r>
    </w:p>
    <w:p>
      <w:pPr>
        <w:spacing w:after="0" w:line="225" w:lineRule="exact"/>
        <w:sectPr>
          <w:type w:val="continuous"/>
          <w:pgSz w:w="12240" w:h="15840"/>
          <w:pgMar w:top="400" w:bottom="280" w:left="580" w:right="600"/>
          <w:cols w:num="2" w:equalWidth="0">
            <w:col w:w="5241" w:space="85"/>
            <w:col w:w="5734"/>
          </w:cols>
        </w:sectPr>
      </w:pPr>
    </w:p>
    <w:p>
      <w:pPr>
        <w:pStyle w:val="BodyText"/>
        <w:spacing w:line="277" w:lineRule="exact" w:before="5"/>
        <w:ind w:left="157"/>
        <w:rPr>
          <w:sz w:val="11"/>
        </w:rPr>
      </w:pPr>
      <w:r>
        <w:rPr/>
        <w:t>(1) the presence of CO</w:t>
      </w:r>
      <w:r>
        <w:rPr>
          <w:position w:val="-6"/>
          <w:sz w:val="11"/>
        </w:rPr>
        <w:t>2</w:t>
      </w:r>
    </w:p>
    <w:p>
      <w:pPr>
        <w:pStyle w:val="BodyText"/>
        <w:spacing w:before="5"/>
        <w:ind w:left="16"/>
      </w:pPr>
      <w:r>
        <w:rPr/>
        <w:br w:type="column"/>
      </w:r>
      <w:r>
        <w:rPr/>
        <w:t>makes the produced water much more</w:t>
      </w:r>
    </w:p>
    <w:p>
      <w:pPr>
        <w:pStyle w:val="ListParagraph"/>
        <w:numPr>
          <w:ilvl w:val="0"/>
          <w:numId w:val="6"/>
        </w:numPr>
        <w:tabs>
          <w:tab w:pos="441" w:val="left" w:leader="none"/>
        </w:tabs>
        <w:spacing w:line="236" w:lineRule="exact" w:before="0" w:after="0"/>
        <w:ind w:left="440" w:right="0" w:hanging="284"/>
        <w:jc w:val="left"/>
        <w:rPr>
          <w:sz w:val="20"/>
        </w:rPr>
      </w:pPr>
      <w:r>
        <w:rPr>
          <w:w w:val="100"/>
          <w:sz w:val="20"/>
        </w:rPr>
        <w:br w:type="column"/>
      </w:r>
      <w:r>
        <w:rPr>
          <w:sz w:val="20"/>
        </w:rPr>
        <w:t>Ensure</w:t>
      </w:r>
      <w:r>
        <w:rPr>
          <w:spacing w:val="14"/>
          <w:sz w:val="20"/>
        </w:rPr>
        <w:t> </w:t>
      </w:r>
      <w:r>
        <w:rPr>
          <w:sz w:val="20"/>
        </w:rPr>
        <w:t>and</w:t>
      </w:r>
      <w:r>
        <w:rPr>
          <w:spacing w:val="14"/>
          <w:sz w:val="20"/>
        </w:rPr>
        <w:t> </w:t>
      </w:r>
      <w:r>
        <w:rPr>
          <w:sz w:val="20"/>
        </w:rPr>
        <w:t>document</w:t>
      </w:r>
      <w:r>
        <w:rPr>
          <w:spacing w:val="15"/>
          <w:sz w:val="20"/>
        </w:rPr>
        <w:t> </w:t>
      </w:r>
      <w:r>
        <w:rPr>
          <w:sz w:val="20"/>
        </w:rPr>
        <w:t>effective</w:t>
      </w:r>
      <w:r>
        <w:rPr>
          <w:spacing w:val="14"/>
          <w:sz w:val="20"/>
        </w:rPr>
        <w:t> </w:t>
      </w:r>
      <w:r>
        <w:rPr>
          <w:sz w:val="20"/>
        </w:rPr>
        <w:t>injection</w:t>
      </w:r>
      <w:r>
        <w:rPr>
          <w:spacing w:val="14"/>
          <w:sz w:val="20"/>
        </w:rPr>
        <w:t> </w:t>
      </w:r>
      <w:r>
        <w:rPr>
          <w:sz w:val="20"/>
        </w:rPr>
        <w:t>well</w:t>
      </w:r>
      <w:r>
        <w:rPr>
          <w:spacing w:val="15"/>
          <w:sz w:val="20"/>
        </w:rPr>
        <w:t> </w:t>
      </w:r>
      <w:r>
        <w:rPr>
          <w:sz w:val="20"/>
        </w:rPr>
        <w:t>controls,</w:t>
      </w:r>
    </w:p>
    <w:p>
      <w:pPr>
        <w:spacing w:after="0" w:line="236" w:lineRule="exact"/>
        <w:jc w:val="left"/>
        <w:rPr>
          <w:sz w:val="20"/>
        </w:rPr>
        <w:sectPr>
          <w:type w:val="continuous"/>
          <w:pgSz w:w="12240" w:h="15840"/>
          <w:pgMar w:top="400" w:bottom="280" w:left="580" w:right="600"/>
          <w:cols w:num="3" w:equalWidth="0">
            <w:col w:w="2063" w:space="40"/>
            <w:col w:w="3138" w:space="85"/>
            <w:col w:w="5734"/>
          </w:cols>
        </w:sectPr>
      </w:pPr>
    </w:p>
    <w:p>
      <w:pPr>
        <w:pStyle w:val="BodyText"/>
        <w:spacing w:line="194" w:lineRule="exact"/>
        <w:ind w:left="157"/>
        <w:jc w:val="both"/>
      </w:pPr>
      <w:r>
        <w:rPr/>
        <w:t>corrosive;</w:t>
      </w:r>
      <w:r>
        <w:rPr>
          <w:spacing w:val="31"/>
        </w:rPr>
        <w:t> </w:t>
      </w:r>
      <w:r>
        <w:rPr/>
        <w:t>(2)</w:t>
      </w:r>
      <w:r>
        <w:rPr>
          <w:spacing w:val="32"/>
        </w:rPr>
        <w:t> </w:t>
      </w:r>
      <w:r>
        <w:rPr/>
        <w:t>makeup</w:t>
      </w:r>
      <w:r>
        <w:rPr>
          <w:spacing w:val="32"/>
        </w:rPr>
        <w:t> </w:t>
      </w:r>
      <w:r>
        <w:rPr/>
        <w:t>water</w:t>
      </w:r>
      <w:r>
        <w:rPr>
          <w:spacing w:val="32"/>
        </w:rPr>
        <w:t> </w:t>
      </w:r>
      <w:r>
        <w:rPr/>
        <w:t>from</w:t>
      </w:r>
      <w:r>
        <w:rPr>
          <w:spacing w:val="31"/>
        </w:rPr>
        <w:t> </w:t>
      </w:r>
      <w:r>
        <w:rPr/>
        <w:t>new</w:t>
      </w:r>
      <w:r>
        <w:rPr>
          <w:spacing w:val="32"/>
        </w:rPr>
        <w:t> </w:t>
      </w:r>
      <w:r>
        <w:rPr/>
        <w:t>sources</w:t>
      </w:r>
      <w:r>
        <w:rPr>
          <w:spacing w:val="32"/>
        </w:rPr>
        <w:t> </w:t>
      </w:r>
      <w:r>
        <w:rPr/>
        <w:t>may</w:t>
      </w:r>
      <w:r>
        <w:rPr>
          <w:spacing w:val="32"/>
        </w:rPr>
        <w:t> </w:t>
      </w:r>
      <w:r>
        <w:rPr/>
        <w:t>interact</w:t>
      </w:r>
    </w:p>
    <w:p>
      <w:pPr>
        <w:pStyle w:val="BodyText"/>
        <w:spacing w:line="240" w:lineRule="exact" w:before="4"/>
        <w:ind w:left="157" w:right="38"/>
        <w:jc w:val="both"/>
      </w:pPr>
      <w:r>
        <w:rPr/>
        <w:t>with formation water to create new problems with scale or corrosion; (3) a CO</w:t>
      </w:r>
      <w:r>
        <w:rPr>
          <w:position w:val="-6"/>
          <w:sz w:val="11"/>
        </w:rPr>
        <w:t>2 </w:t>
      </w:r>
      <w:r>
        <w:rPr/>
        <w:t>flood may cause paraffins and asphaltenes to precipitate out of the oil, which can cause plugging and emulsion problems; and (4) the potentially dramatic increase in production caused by the flood could cause more formation fines</w:t>
      </w:r>
      <w:r>
        <w:rPr>
          <w:spacing w:val="24"/>
        </w:rPr>
        <w:t> </w:t>
      </w:r>
      <w:r>
        <w:rPr/>
        <w:t>to</w:t>
      </w:r>
      <w:r>
        <w:rPr>
          <w:spacing w:val="24"/>
        </w:rPr>
        <w:t> </w:t>
      </w:r>
      <w:r>
        <w:rPr/>
        <w:t>be</w:t>
      </w:r>
      <w:r>
        <w:rPr>
          <w:spacing w:val="25"/>
        </w:rPr>
        <w:t> </w:t>
      </w:r>
      <w:r>
        <w:rPr/>
        <w:t>entrained</w:t>
      </w:r>
      <w:r>
        <w:rPr>
          <w:spacing w:val="24"/>
        </w:rPr>
        <w:t> </w:t>
      </w:r>
      <w:r>
        <w:rPr/>
        <w:t>in</w:t>
      </w:r>
      <w:r>
        <w:rPr>
          <w:spacing w:val="24"/>
        </w:rPr>
        <w:t> </w:t>
      </w:r>
      <w:r>
        <w:rPr/>
        <w:t>the</w:t>
      </w:r>
      <w:r>
        <w:rPr>
          <w:spacing w:val="25"/>
        </w:rPr>
        <w:t> </w:t>
      </w:r>
      <w:r>
        <w:rPr/>
        <w:t>oil,</w:t>
      </w:r>
      <w:r>
        <w:rPr>
          <w:spacing w:val="24"/>
        </w:rPr>
        <w:t> </w:t>
      </w:r>
      <w:r>
        <w:rPr/>
        <w:t>potentially</w:t>
      </w:r>
      <w:r>
        <w:rPr>
          <w:spacing w:val="24"/>
        </w:rPr>
        <w:t> </w:t>
      </w:r>
      <w:r>
        <w:rPr/>
        <w:t>causing</w:t>
      </w:r>
      <w:r>
        <w:rPr>
          <w:spacing w:val="25"/>
        </w:rPr>
        <w:t> </w:t>
      </w:r>
      <w:r>
        <w:rPr/>
        <w:t>plugging,</w:t>
      </w:r>
    </w:p>
    <w:p>
      <w:pPr>
        <w:pStyle w:val="BodyText"/>
        <w:spacing w:line="194" w:lineRule="exact"/>
        <w:ind w:left="157"/>
        <w:jc w:val="both"/>
      </w:pPr>
      <w:r>
        <w:rPr/>
        <w:br w:type="column"/>
      </w:r>
      <w:r>
        <w:rPr/>
        <w:t>specifically for monitoring the condition of the injection</w:t>
      </w:r>
    </w:p>
    <w:p>
      <w:pPr>
        <w:pStyle w:val="BodyText"/>
        <w:spacing w:line="249" w:lineRule="auto" w:before="10"/>
        <w:ind w:left="157" w:right="530"/>
        <w:jc w:val="both"/>
      </w:pPr>
      <w:r>
        <w:rPr/>
        <w:pict>
          <v:shape style="position:absolute;margin-left:455.971313pt;margin-top:80.793434pt;width:2.95pt;height:5.85pt;mso-position-horizontal-relative:page;mso-position-vertical-relative:paragraph;z-index:25171865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well and measuring injection rates, wellhead and formation pressures. Petroleum industry experience suggests that leakage from the injection well itself, resulting from improper completion or deterioration of the casing, packers or cement, is one of the most significant potential failure modes for injection projects (Apps, 2005; Perry, 2005);</w:t>
      </w:r>
    </w:p>
    <w:p>
      <w:pPr>
        <w:spacing w:after="0" w:line="249" w:lineRule="auto"/>
        <w:jc w:val="both"/>
        <w:sectPr>
          <w:type w:val="continuous"/>
          <w:pgSz w:w="12240" w:h="15840"/>
          <w:pgMar w:top="400" w:bottom="280" w:left="580" w:right="600"/>
          <w:cols w:num="2" w:equalWidth="0">
            <w:col w:w="5241" w:space="368"/>
            <w:col w:w="5451"/>
          </w:cols>
        </w:sectPr>
      </w:pPr>
    </w:p>
    <w:p>
      <w:pPr>
        <w:pStyle w:val="BodyText"/>
        <w:spacing w:before="5"/>
        <w:ind w:left="157"/>
      </w:pPr>
      <w:r>
        <w:rPr/>
        <w:t>erosion and processing problems.</w:t>
      </w:r>
    </w:p>
    <w:p>
      <w:pPr>
        <w:pStyle w:val="ListParagraph"/>
        <w:numPr>
          <w:ilvl w:val="0"/>
          <w:numId w:val="6"/>
        </w:numPr>
        <w:tabs>
          <w:tab w:pos="441" w:val="left" w:leader="none"/>
        </w:tabs>
        <w:spacing w:line="236" w:lineRule="exact" w:before="0" w:after="0"/>
        <w:ind w:left="440" w:right="0" w:hanging="284"/>
        <w:jc w:val="left"/>
        <w:rPr>
          <w:sz w:val="20"/>
        </w:rPr>
      </w:pPr>
      <w:r>
        <w:rPr>
          <w:spacing w:val="-23"/>
          <w:w w:val="100"/>
          <w:sz w:val="20"/>
        </w:rPr>
        <w:br w:type="column"/>
      </w:r>
      <w:r>
        <w:rPr>
          <w:spacing w:val="-4"/>
          <w:sz w:val="20"/>
        </w:rPr>
        <w:t>Verify </w:t>
      </w:r>
      <w:r>
        <w:rPr>
          <w:sz w:val="20"/>
        </w:rPr>
        <w:t>the quantity of injected </w:t>
      </w:r>
      <w:r>
        <w:rPr>
          <w:spacing w:val="-9"/>
          <w:sz w:val="20"/>
        </w:rPr>
        <w:t>CO</w:t>
      </w:r>
    </w:p>
    <w:p>
      <w:pPr>
        <w:pStyle w:val="BodyText"/>
        <w:spacing w:before="5"/>
        <w:ind w:left="76"/>
      </w:pPr>
      <w:r>
        <w:rPr/>
        <w:br w:type="column"/>
      </w:r>
      <w:r>
        <w:rPr/>
        <w:t>that has been stored by</w:t>
      </w:r>
    </w:p>
    <w:p>
      <w:pPr>
        <w:spacing w:after="0"/>
        <w:sectPr>
          <w:type w:val="continuous"/>
          <w:pgSz w:w="12240" w:h="15840"/>
          <w:pgMar w:top="400" w:bottom="280" w:left="580" w:right="600"/>
          <w:cols w:num="3" w:equalWidth="0">
            <w:col w:w="2875" w:space="2451"/>
            <w:col w:w="3214" w:space="40"/>
            <w:col w:w="2480"/>
          </w:cols>
        </w:sectPr>
      </w:pPr>
    </w:p>
    <w:p>
      <w:pPr>
        <w:pStyle w:val="BodyText"/>
        <w:spacing w:before="7"/>
        <w:rPr>
          <w:sz w:val="21"/>
        </w:rPr>
      </w:pPr>
    </w:p>
    <w:p>
      <w:pPr>
        <w:pStyle w:val="Heading1"/>
        <w:numPr>
          <w:ilvl w:val="1"/>
          <w:numId w:val="7"/>
        </w:numPr>
        <w:tabs>
          <w:tab w:pos="865" w:val="left" w:leader="none"/>
          <w:tab w:pos="866" w:val="left" w:leader="none"/>
        </w:tabs>
        <w:spacing w:line="240" w:lineRule="auto" w:before="1" w:after="0"/>
        <w:ind w:left="866" w:right="0" w:hanging="709"/>
        <w:jc w:val="left"/>
      </w:pPr>
      <w:r>
        <w:rPr/>
        <w:t>Monitoring and verification</w:t>
      </w:r>
      <w:r>
        <w:rPr>
          <w:spacing w:val="-2"/>
        </w:rPr>
        <w:t> </w:t>
      </w:r>
      <w:r>
        <w:rPr/>
        <w:t>technology</w:t>
      </w:r>
    </w:p>
    <w:p>
      <w:pPr>
        <w:pStyle w:val="BodyText"/>
        <w:spacing w:before="3"/>
        <w:rPr>
          <w:b/>
          <w:sz w:val="21"/>
        </w:rPr>
      </w:pPr>
    </w:p>
    <w:p>
      <w:pPr>
        <w:pStyle w:val="BodyText"/>
        <w:spacing w:line="240" w:lineRule="exact"/>
        <w:ind w:left="157" w:right="38"/>
        <w:jc w:val="both"/>
      </w:pPr>
      <w:r>
        <w:rPr/>
        <w:t>What actually happens to CO</w:t>
      </w:r>
      <w:r>
        <w:rPr>
          <w:position w:val="-6"/>
          <w:sz w:val="11"/>
        </w:rPr>
        <w:t>2 </w:t>
      </w:r>
      <w:r>
        <w:rPr/>
        <w:t>in the subsurface and how do we know what is happening? In other words, can we monitor CO</w:t>
      </w:r>
      <w:r>
        <w:rPr>
          <w:position w:val="-6"/>
          <w:sz w:val="11"/>
        </w:rPr>
        <w:t>2 </w:t>
      </w:r>
      <w:r>
        <w:rPr/>
        <w:t>once it is injected? What techniques are available </w:t>
      </w:r>
      <w:r>
        <w:rPr>
          <w:spacing w:val="-4"/>
        </w:rPr>
        <w:t>for </w:t>
      </w:r>
      <w:r>
        <w:rPr/>
        <w:t>monitoring whether CO</w:t>
      </w:r>
      <w:r>
        <w:rPr>
          <w:position w:val="-6"/>
          <w:sz w:val="11"/>
        </w:rPr>
        <w:t>2 </w:t>
      </w:r>
      <w:r>
        <w:rPr/>
        <w:t>is leaking out of the storage</w:t>
      </w:r>
      <w:r>
        <w:rPr>
          <w:spacing w:val="-22"/>
        </w:rPr>
        <w:t> </w:t>
      </w:r>
      <w:r>
        <w:rPr/>
        <w:t>formation and how sensitive are they? Can we verify that CO</w:t>
      </w:r>
      <w:r>
        <w:rPr>
          <w:position w:val="-6"/>
          <w:sz w:val="11"/>
        </w:rPr>
        <w:t>2 </w:t>
      </w:r>
      <w:r>
        <w:rPr/>
        <w:t>is safely and effectively stored underground? How long is monitoring needed? These questions are addressed in this section of the report.</w:t>
      </w:r>
    </w:p>
    <w:p>
      <w:pPr>
        <w:pStyle w:val="BodyText"/>
        <w:spacing w:line="228" w:lineRule="exact" w:before="9"/>
        <w:ind w:left="440"/>
        <w:jc w:val="both"/>
      </w:pPr>
      <w:r>
        <w:rPr/>
        <w:br w:type="column"/>
      </w:r>
      <w:r>
        <w:rPr/>
        <w:t>various mechanisms;</w:t>
      </w:r>
    </w:p>
    <w:p>
      <w:pPr>
        <w:pStyle w:val="ListParagraph"/>
        <w:numPr>
          <w:ilvl w:val="0"/>
          <w:numId w:val="6"/>
        </w:numPr>
        <w:tabs>
          <w:tab w:pos="441" w:val="left" w:leader="none"/>
        </w:tabs>
        <w:spacing w:line="249" w:lineRule="auto" w:before="0" w:after="0"/>
        <w:ind w:left="440" w:right="531" w:hanging="284"/>
        <w:jc w:val="both"/>
        <w:rPr>
          <w:sz w:val="20"/>
        </w:rPr>
      </w:pPr>
      <w:r>
        <w:rPr>
          <w:sz w:val="20"/>
        </w:rPr>
        <w:t>Optimize the efficiency of the storage project, including utilization of the storage volume, injection pressures and drilling of new injection</w:t>
      </w:r>
      <w:r>
        <w:rPr>
          <w:spacing w:val="-1"/>
          <w:sz w:val="20"/>
        </w:rPr>
        <w:t> </w:t>
      </w:r>
      <w:r>
        <w:rPr>
          <w:sz w:val="20"/>
        </w:rPr>
        <w:t>wells;</w:t>
      </w:r>
    </w:p>
    <w:p>
      <w:pPr>
        <w:pStyle w:val="ListParagraph"/>
        <w:numPr>
          <w:ilvl w:val="0"/>
          <w:numId w:val="6"/>
        </w:numPr>
        <w:tabs>
          <w:tab w:pos="441" w:val="left" w:leader="none"/>
        </w:tabs>
        <w:spacing w:line="232" w:lineRule="exact" w:before="0" w:after="0"/>
        <w:ind w:left="440" w:right="0" w:hanging="284"/>
        <w:jc w:val="both"/>
        <w:rPr>
          <w:sz w:val="20"/>
        </w:rPr>
      </w:pPr>
      <w:r>
        <w:rPr>
          <w:sz w:val="20"/>
        </w:rPr>
        <w:t>Demonstrate</w:t>
      </w:r>
      <w:r>
        <w:rPr>
          <w:spacing w:val="33"/>
          <w:sz w:val="20"/>
        </w:rPr>
        <w:t> </w:t>
      </w:r>
      <w:r>
        <w:rPr>
          <w:sz w:val="20"/>
        </w:rPr>
        <w:t>with</w:t>
      </w:r>
      <w:r>
        <w:rPr>
          <w:spacing w:val="34"/>
          <w:sz w:val="20"/>
        </w:rPr>
        <w:t> </w:t>
      </w:r>
      <w:r>
        <w:rPr>
          <w:sz w:val="20"/>
        </w:rPr>
        <w:t>appropriate</w:t>
      </w:r>
      <w:r>
        <w:rPr>
          <w:spacing w:val="34"/>
          <w:sz w:val="20"/>
        </w:rPr>
        <w:t> </w:t>
      </w:r>
      <w:r>
        <w:rPr>
          <w:sz w:val="20"/>
        </w:rPr>
        <w:t>monitoring</w:t>
      </w:r>
      <w:r>
        <w:rPr>
          <w:spacing w:val="34"/>
          <w:sz w:val="20"/>
        </w:rPr>
        <w:t> </w:t>
      </w:r>
      <w:r>
        <w:rPr>
          <w:sz w:val="20"/>
        </w:rPr>
        <w:t>techniques</w:t>
      </w:r>
      <w:r>
        <w:rPr>
          <w:spacing w:val="34"/>
          <w:sz w:val="20"/>
        </w:rPr>
        <w:t> </w:t>
      </w:r>
      <w:r>
        <w:rPr>
          <w:sz w:val="20"/>
        </w:rPr>
        <w:t>that</w:t>
      </w:r>
    </w:p>
    <w:p>
      <w:pPr>
        <w:pStyle w:val="BodyText"/>
        <w:spacing w:line="240" w:lineRule="exact" w:before="2"/>
        <w:ind w:left="440" w:right="529"/>
        <w:jc w:val="both"/>
      </w:pPr>
      <w:r>
        <w:rPr/>
        <w:t>CO</w:t>
      </w:r>
      <w:r>
        <w:rPr>
          <w:position w:val="-6"/>
          <w:sz w:val="11"/>
        </w:rPr>
        <w:t>2 </w:t>
      </w:r>
      <w:r>
        <w:rPr/>
        <w:t>remains contained in the intended storage</w:t>
      </w:r>
      <w:r>
        <w:rPr>
          <w:spacing w:val="-37"/>
        </w:rPr>
        <w:t> </w:t>
      </w:r>
      <w:r>
        <w:rPr/>
        <w:t>formation(s). This is currently the principal method for assuring that </w:t>
      </w:r>
      <w:r>
        <w:rPr>
          <w:spacing w:val="-5"/>
        </w:rPr>
        <w:t>the </w:t>
      </w:r>
      <w:r>
        <w:rPr/>
        <w:t>CO</w:t>
      </w:r>
      <w:r>
        <w:rPr>
          <w:position w:val="-6"/>
          <w:sz w:val="11"/>
        </w:rPr>
        <w:t>2 </w:t>
      </w:r>
      <w:r>
        <w:rPr/>
        <w:t>remains stored and that performance predictions can</w:t>
      </w:r>
      <w:r>
        <w:rPr>
          <w:spacing w:val="-36"/>
        </w:rPr>
        <w:t> </w:t>
      </w:r>
      <w:r>
        <w:rPr/>
        <w:t>be verified;</w:t>
      </w:r>
    </w:p>
    <w:p>
      <w:pPr>
        <w:pStyle w:val="ListParagraph"/>
        <w:numPr>
          <w:ilvl w:val="0"/>
          <w:numId w:val="6"/>
        </w:numPr>
        <w:tabs>
          <w:tab w:pos="441" w:val="left" w:leader="none"/>
        </w:tabs>
        <w:spacing w:line="249" w:lineRule="auto" w:before="0" w:after="0"/>
        <w:ind w:left="440" w:right="532" w:hanging="284"/>
        <w:jc w:val="both"/>
        <w:rPr>
          <w:sz w:val="20"/>
        </w:rPr>
      </w:pPr>
      <w:r>
        <w:rPr>
          <w:sz w:val="20"/>
        </w:rPr>
        <w:t>Detect</w:t>
      </w:r>
      <w:r>
        <w:rPr>
          <w:spacing w:val="-9"/>
          <w:sz w:val="20"/>
        </w:rPr>
        <w:t> </w:t>
      </w:r>
      <w:r>
        <w:rPr>
          <w:sz w:val="20"/>
        </w:rPr>
        <w:t>leakage</w:t>
      </w:r>
      <w:r>
        <w:rPr>
          <w:spacing w:val="-9"/>
          <w:sz w:val="20"/>
        </w:rPr>
        <w:t> </w:t>
      </w:r>
      <w:r>
        <w:rPr>
          <w:sz w:val="20"/>
        </w:rPr>
        <w:t>and</w:t>
      </w:r>
      <w:r>
        <w:rPr>
          <w:spacing w:val="-9"/>
          <w:sz w:val="20"/>
        </w:rPr>
        <w:t> </w:t>
      </w:r>
      <w:r>
        <w:rPr>
          <w:sz w:val="20"/>
        </w:rPr>
        <w:t>provide</w:t>
      </w:r>
      <w:r>
        <w:rPr>
          <w:spacing w:val="-9"/>
          <w:sz w:val="20"/>
        </w:rPr>
        <w:t> </w:t>
      </w:r>
      <w:r>
        <w:rPr>
          <w:sz w:val="20"/>
        </w:rPr>
        <w:t>an</w:t>
      </w:r>
      <w:r>
        <w:rPr>
          <w:spacing w:val="-9"/>
          <w:sz w:val="20"/>
        </w:rPr>
        <w:t> </w:t>
      </w:r>
      <w:r>
        <w:rPr>
          <w:sz w:val="20"/>
        </w:rPr>
        <w:t>early</w:t>
      </w:r>
      <w:r>
        <w:rPr>
          <w:spacing w:val="-8"/>
          <w:sz w:val="20"/>
        </w:rPr>
        <w:t> </w:t>
      </w:r>
      <w:r>
        <w:rPr>
          <w:sz w:val="20"/>
        </w:rPr>
        <w:t>warning</w:t>
      </w:r>
      <w:r>
        <w:rPr>
          <w:spacing w:val="-9"/>
          <w:sz w:val="20"/>
        </w:rPr>
        <w:t> </w:t>
      </w:r>
      <w:r>
        <w:rPr>
          <w:sz w:val="20"/>
        </w:rPr>
        <w:t>of</w:t>
      </w:r>
      <w:r>
        <w:rPr>
          <w:spacing w:val="-9"/>
          <w:sz w:val="20"/>
        </w:rPr>
        <w:t> </w:t>
      </w:r>
      <w:r>
        <w:rPr>
          <w:sz w:val="20"/>
        </w:rPr>
        <w:t>any</w:t>
      </w:r>
      <w:r>
        <w:rPr>
          <w:spacing w:val="-9"/>
          <w:sz w:val="20"/>
        </w:rPr>
        <w:t> </w:t>
      </w:r>
      <w:r>
        <w:rPr>
          <w:sz w:val="20"/>
        </w:rPr>
        <w:t>seepage or leakage that might require mitigating action.</w:t>
      </w:r>
    </w:p>
    <w:p>
      <w:pPr>
        <w:spacing w:after="0" w:line="249" w:lineRule="auto"/>
        <w:jc w:val="both"/>
        <w:rPr>
          <w:sz w:val="20"/>
        </w:rPr>
        <w:sectPr>
          <w:type w:val="continuous"/>
          <w:pgSz w:w="12240" w:h="15840"/>
          <w:pgMar w:top="400" w:bottom="280" w:left="580" w:right="600"/>
          <w:cols w:num="2" w:equalWidth="0">
            <w:col w:w="5242" w:space="84"/>
            <w:col w:w="5734"/>
          </w:cols>
        </w:sectPr>
      </w:pPr>
    </w:p>
    <w:p>
      <w:pPr>
        <w:pStyle w:val="BodyText"/>
      </w:pPr>
    </w:p>
    <w:p>
      <w:pPr>
        <w:pStyle w:val="BodyText"/>
        <w:spacing w:before="5"/>
        <w:rPr>
          <w:sz w:val="13"/>
        </w:rPr>
      </w:pPr>
    </w:p>
    <w:p>
      <w:pPr>
        <w:pStyle w:val="BodyText"/>
        <w:ind w:left="522"/>
      </w:pPr>
      <w:r>
        <w:rPr/>
        <w:drawing>
          <wp:inline distT="0" distB="0" distL="0" distR="0">
            <wp:extent cx="6128794" cy="4443984"/>
            <wp:effectExtent l="0" t="0" r="0" b="0"/>
            <wp:docPr id="11" name="image222.jpeg"/>
            <wp:cNvGraphicFramePr>
              <a:graphicFrameLocks noChangeAspect="1"/>
            </wp:cNvGraphicFramePr>
            <a:graphic>
              <a:graphicData uri="http://schemas.openxmlformats.org/drawingml/2006/picture">
                <pic:pic>
                  <pic:nvPicPr>
                    <pic:cNvPr id="12" name="image222.jpeg"/>
                    <pic:cNvPicPr/>
                  </pic:nvPicPr>
                  <pic:blipFill>
                    <a:blip r:embed="rId228" cstate="print"/>
                    <a:stretch>
                      <a:fillRect/>
                    </a:stretch>
                  </pic:blipFill>
                  <pic:spPr>
                    <a:xfrm>
                      <a:off x="0" y="0"/>
                      <a:ext cx="6128794" cy="4443984"/>
                    </a:xfrm>
                    <a:prstGeom prst="rect">
                      <a:avLst/>
                    </a:prstGeom>
                  </pic:spPr>
                </pic:pic>
              </a:graphicData>
            </a:graphic>
          </wp:inline>
        </w:drawing>
      </w:r>
      <w:r>
        <w:rPr/>
      </w:r>
    </w:p>
    <w:p>
      <w:pPr>
        <w:spacing w:before="51"/>
        <w:ind w:left="508" w:right="0" w:firstLine="0"/>
        <w:jc w:val="left"/>
        <w:rPr>
          <w:sz w:val="18"/>
        </w:rPr>
      </w:pPr>
      <w:bookmarkStart w:name="_bookmark37" w:id="73"/>
      <w:bookmarkEnd w:id="73"/>
      <w:r>
        <w:rPr/>
      </w:r>
      <w:r>
        <w:rPr>
          <w:b/>
          <w:sz w:val="18"/>
        </w:rPr>
        <w:t>Figure 5.23 </w:t>
      </w:r>
      <w:r>
        <w:rPr>
          <w:sz w:val="18"/>
        </w:rPr>
        <w:t>Typical CO</w:t>
      </w:r>
      <w:r>
        <w:rPr>
          <w:position w:val="-5"/>
          <w:sz w:val="10"/>
        </w:rPr>
        <w:t>2 </w:t>
      </w:r>
      <w:r>
        <w:rPr>
          <w:sz w:val="18"/>
        </w:rPr>
        <w:t>field operation setup: Weyburn surface facilities.</w:t>
      </w:r>
    </w:p>
    <w:p>
      <w:pPr>
        <w:spacing w:after="0"/>
        <w:jc w:val="left"/>
        <w:rPr>
          <w:sz w:val="18"/>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553"/>
        <w:jc w:val="both"/>
      </w:pPr>
      <w:bookmarkStart w:name="5.6.2 Technologies for monitoring inject" w:id="74"/>
      <w:bookmarkEnd w:id="74"/>
      <w:r>
        <w:rPr/>
      </w:r>
      <w:bookmarkStart w:name="5.6.3 Technologies for monitoring subsur" w:id="75"/>
      <w:bookmarkEnd w:id="75"/>
      <w:r>
        <w:rPr/>
      </w:r>
      <w:r>
        <w:rPr/>
        <w:t>In addition to essential elements of a monitoring </w:t>
      </w:r>
      <w:r>
        <w:rPr>
          <w:spacing w:val="-3"/>
        </w:rPr>
        <w:t>strategy, </w:t>
      </w:r>
      <w:r>
        <w:rPr/>
        <w:t>other parameters can be used to optimize storage projects, deal with unintended leakage and address regulatory, legal and social issues.</w:t>
      </w:r>
      <w:r>
        <w:rPr>
          <w:spacing w:val="-30"/>
        </w:rPr>
        <w:t> </w:t>
      </w:r>
      <w:r>
        <w:rPr/>
        <w:t>Other</w:t>
      </w:r>
      <w:r>
        <w:rPr>
          <w:spacing w:val="-29"/>
        </w:rPr>
        <w:t> </w:t>
      </w:r>
      <w:r>
        <w:rPr/>
        <w:t>important</w:t>
      </w:r>
      <w:r>
        <w:rPr>
          <w:spacing w:val="-29"/>
        </w:rPr>
        <w:t> </w:t>
      </w:r>
      <w:r>
        <w:rPr/>
        <w:t>purposes</w:t>
      </w:r>
      <w:r>
        <w:rPr>
          <w:spacing w:val="-29"/>
        </w:rPr>
        <w:t> </w:t>
      </w:r>
      <w:r>
        <w:rPr/>
        <w:t>for</w:t>
      </w:r>
      <w:r>
        <w:rPr>
          <w:spacing w:val="-29"/>
        </w:rPr>
        <w:t> </w:t>
      </w:r>
      <w:r>
        <w:rPr/>
        <w:t>monitoringincludeassessing the integrity of plugged or abandoned wells, calibrating and confirming performance assessment models (including</w:t>
      </w:r>
      <w:r>
        <w:rPr>
          <w:spacing w:val="-33"/>
        </w:rPr>
        <w:t> </w:t>
      </w:r>
      <w:r>
        <w:rPr/>
        <w:t>‘history matching’), establishing baseline parameters for the storage site</w:t>
      </w:r>
      <w:r>
        <w:rPr>
          <w:spacing w:val="-9"/>
        </w:rPr>
        <w:t> </w:t>
      </w:r>
      <w:r>
        <w:rPr/>
        <w:t>to</w:t>
      </w:r>
      <w:r>
        <w:rPr>
          <w:spacing w:val="-8"/>
        </w:rPr>
        <w:t> </w:t>
      </w:r>
      <w:r>
        <w:rPr/>
        <w:t>ensure</w:t>
      </w:r>
      <w:r>
        <w:rPr>
          <w:spacing w:val="-8"/>
        </w:rPr>
        <w:t> </w:t>
      </w:r>
      <w:r>
        <w:rPr/>
        <w:t>that</w:t>
      </w:r>
      <w:r>
        <w:rPr>
          <w:spacing w:val="-8"/>
        </w:rPr>
        <w:t> </w:t>
      </w:r>
      <w:r>
        <w:rPr/>
        <w:t>CO</w:t>
      </w:r>
      <w:r>
        <w:rPr>
          <w:position w:val="-6"/>
          <w:sz w:val="11"/>
        </w:rPr>
        <w:t>2</w:t>
      </w:r>
      <w:r>
        <w:rPr/>
        <w:t>-induced</w:t>
      </w:r>
      <w:r>
        <w:rPr>
          <w:spacing w:val="-8"/>
        </w:rPr>
        <w:t> </w:t>
      </w:r>
      <w:r>
        <w:rPr/>
        <w:t>changes</w:t>
      </w:r>
      <w:r>
        <w:rPr>
          <w:spacing w:val="-8"/>
        </w:rPr>
        <w:t> </w:t>
      </w:r>
      <w:r>
        <w:rPr/>
        <w:t>are</w:t>
      </w:r>
      <w:r>
        <w:rPr>
          <w:spacing w:val="-8"/>
        </w:rPr>
        <w:t> </w:t>
      </w:r>
      <w:r>
        <w:rPr/>
        <w:t>recognized</w:t>
      </w:r>
      <w:r>
        <w:rPr>
          <w:spacing w:val="-8"/>
        </w:rPr>
        <w:t> </w:t>
      </w:r>
      <w:r>
        <w:rPr/>
        <w:t>(Wilson and Monea, 2005), detecting microseismicity associated with a storage project, measuring surface fluxes of CO</w:t>
      </w:r>
      <w:r>
        <w:rPr>
          <w:position w:val="-6"/>
          <w:sz w:val="11"/>
        </w:rPr>
        <w:t>2 </w:t>
      </w:r>
      <w:r>
        <w:rPr/>
        <w:t>and designing and monitoring remediation activities (Benson </w:t>
      </w:r>
      <w:r>
        <w:rPr>
          <w:i/>
        </w:rPr>
        <w:t>et al.</w:t>
      </w:r>
      <w:r>
        <w:rPr/>
        <w:t>,</w:t>
      </w:r>
      <w:r>
        <w:rPr>
          <w:spacing w:val="-3"/>
        </w:rPr>
        <w:t> </w:t>
      </w:r>
      <w:r>
        <w:rPr/>
        <w:t>2004).</w:t>
      </w:r>
    </w:p>
    <w:p>
      <w:pPr>
        <w:pStyle w:val="BodyText"/>
        <w:spacing w:line="240" w:lineRule="exact"/>
        <w:ind w:left="553" w:firstLine="283"/>
        <w:jc w:val="both"/>
      </w:pPr>
      <w:r>
        <w:rPr/>
        <w:t>Before monitoring of subsurface storage can take</w:t>
      </w:r>
      <w:r>
        <w:rPr>
          <w:spacing w:val="28"/>
        </w:rPr>
        <w:t> </w:t>
      </w:r>
      <w:r>
        <w:rPr/>
        <w:t>place effectively, a baseline survey must be taken. This survey provides the point of comparison for subsequent  surveys.  This is particularly true of seismic and other remote-sensing technologies,</w:t>
      </w:r>
      <w:r>
        <w:rPr>
          <w:spacing w:val="-22"/>
        </w:rPr>
        <w:t> </w:t>
      </w:r>
      <w:r>
        <w:rPr/>
        <w:t>where</w:t>
      </w:r>
      <w:r>
        <w:rPr>
          <w:spacing w:val="-22"/>
        </w:rPr>
        <w:t> </w:t>
      </w:r>
      <w:r>
        <w:rPr/>
        <w:t>the</w:t>
      </w:r>
      <w:r>
        <w:rPr>
          <w:spacing w:val="-22"/>
        </w:rPr>
        <w:t> </w:t>
      </w:r>
      <w:r>
        <w:rPr/>
        <w:t>identification</w:t>
      </w:r>
      <w:r>
        <w:rPr>
          <w:spacing w:val="-22"/>
        </w:rPr>
        <w:t> </w:t>
      </w:r>
      <w:r>
        <w:rPr/>
        <w:t>of</w:t>
      </w:r>
      <w:r>
        <w:rPr>
          <w:spacing w:val="-21"/>
        </w:rPr>
        <w:t> </w:t>
      </w:r>
      <w:r>
        <w:rPr/>
        <w:t>saturation</w:t>
      </w:r>
      <w:r>
        <w:rPr>
          <w:spacing w:val="-22"/>
        </w:rPr>
        <w:t> </w:t>
      </w:r>
      <w:r>
        <w:rPr/>
        <w:t>of</w:t>
      </w:r>
      <w:r>
        <w:rPr>
          <w:spacing w:val="-21"/>
        </w:rPr>
        <w:t> </w:t>
      </w:r>
      <w:r>
        <w:rPr/>
        <w:t>fluids</w:t>
      </w:r>
      <w:r>
        <w:rPr>
          <w:spacing w:val="-22"/>
        </w:rPr>
        <w:t> </w:t>
      </w:r>
      <w:r>
        <w:rPr/>
        <w:t>with CO</w:t>
      </w:r>
      <w:r>
        <w:rPr>
          <w:position w:val="-6"/>
          <w:sz w:val="11"/>
        </w:rPr>
        <w:t>2</w:t>
      </w:r>
      <w:r>
        <w:rPr>
          <w:spacing w:val="-6"/>
          <w:position w:val="-6"/>
          <w:sz w:val="11"/>
        </w:rPr>
        <w:t> </w:t>
      </w:r>
      <w:r>
        <w:rPr/>
        <w:t>is</w:t>
      </w:r>
      <w:r>
        <w:rPr>
          <w:spacing w:val="-27"/>
        </w:rPr>
        <w:t> </w:t>
      </w:r>
      <w:r>
        <w:rPr/>
        <w:t>based</w:t>
      </w:r>
      <w:r>
        <w:rPr>
          <w:spacing w:val="-27"/>
        </w:rPr>
        <w:t> </w:t>
      </w:r>
      <w:r>
        <w:rPr/>
        <w:t>on</w:t>
      </w:r>
      <w:r>
        <w:rPr>
          <w:spacing w:val="-28"/>
        </w:rPr>
        <w:t> </w:t>
      </w:r>
      <w:r>
        <w:rPr/>
        <w:t>comparative</w:t>
      </w:r>
      <w:r>
        <w:rPr>
          <w:spacing w:val="-27"/>
        </w:rPr>
        <w:t> </w:t>
      </w:r>
      <w:r>
        <w:rPr/>
        <w:t>analysis.</w:t>
      </w:r>
      <w:r>
        <w:rPr>
          <w:spacing w:val="-27"/>
        </w:rPr>
        <w:t> </w:t>
      </w:r>
      <w:r>
        <w:rPr/>
        <w:t>Baseline</w:t>
      </w:r>
      <w:r>
        <w:rPr>
          <w:spacing w:val="-28"/>
        </w:rPr>
        <w:t> </w:t>
      </w:r>
      <w:r>
        <w:rPr/>
        <w:t>monitoring</w:t>
      </w:r>
      <w:r>
        <w:rPr>
          <w:spacing w:val="-27"/>
        </w:rPr>
        <w:t> </w:t>
      </w:r>
      <w:r>
        <w:rPr/>
        <w:t>is</w:t>
      </w:r>
      <w:r>
        <w:rPr>
          <w:spacing w:val="-27"/>
        </w:rPr>
        <w:t> </w:t>
      </w:r>
      <w:r>
        <w:rPr>
          <w:spacing w:val="-4"/>
        </w:rPr>
        <w:t>also </w:t>
      </w:r>
      <w:r>
        <w:rPr/>
        <w:t>a</w:t>
      </w:r>
      <w:r>
        <w:rPr>
          <w:spacing w:val="-11"/>
        </w:rPr>
        <w:t> </w:t>
      </w:r>
      <w:r>
        <w:rPr/>
        <w:t>prerequisite</w:t>
      </w:r>
      <w:r>
        <w:rPr>
          <w:spacing w:val="-11"/>
        </w:rPr>
        <w:t> </w:t>
      </w:r>
      <w:r>
        <w:rPr/>
        <w:t>for</w:t>
      </w:r>
      <w:r>
        <w:rPr>
          <w:spacing w:val="-10"/>
        </w:rPr>
        <w:t> </w:t>
      </w:r>
      <w:r>
        <w:rPr/>
        <w:t>geochemical</w:t>
      </w:r>
      <w:r>
        <w:rPr>
          <w:spacing w:val="-11"/>
        </w:rPr>
        <w:t> </w:t>
      </w:r>
      <w:r>
        <w:rPr/>
        <w:t>monitoring,</w:t>
      </w:r>
      <w:r>
        <w:rPr>
          <w:spacing w:val="-10"/>
        </w:rPr>
        <w:t> </w:t>
      </w:r>
      <w:r>
        <w:rPr/>
        <w:t>where</w:t>
      </w:r>
      <w:r>
        <w:rPr>
          <w:spacing w:val="-11"/>
        </w:rPr>
        <w:t> </w:t>
      </w:r>
      <w:r>
        <w:rPr/>
        <w:t>anomalies</w:t>
      </w:r>
      <w:r>
        <w:rPr>
          <w:spacing w:val="-10"/>
        </w:rPr>
        <w:t> </w:t>
      </w:r>
      <w:r>
        <w:rPr/>
        <w:t>are identified relative to background concentrations. Additionally, establishing a baseline of CO</w:t>
      </w:r>
      <w:r>
        <w:rPr>
          <w:position w:val="-6"/>
          <w:sz w:val="11"/>
        </w:rPr>
        <w:t>2 </w:t>
      </w:r>
      <w:r>
        <w:rPr/>
        <w:t>fluxes resulting from ecosystem cycling of CO</w:t>
      </w:r>
      <w:r>
        <w:rPr>
          <w:position w:val="-6"/>
          <w:sz w:val="11"/>
        </w:rPr>
        <w:t>2</w:t>
      </w:r>
      <w:r>
        <w:rPr/>
        <w:t>, both on diurnal and annual cycles, are useful for distinguishing natural fluxes from potential storage-related releases.</w:t>
      </w:r>
    </w:p>
    <w:p>
      <w:pPr>
        <w:pStyle w:val="BodyText"/>
        <w:spacing w:line="249" w:lineRule="auto" w:before="5"/>
        <w:ind w:left="553" w:right="1" w:firstLine="283"/>
        <w:jc w:val="both"/>
      </w:pPr>
      <w:r>
        <w:rPr/>
        <w:t>Much of the monitoring technology described below was developed for application in the oil and gas industry. Most </w:t>
      </w:r>
      <w:r>
        <w:rPr>
          <w:spacing w:val="-7"/>
        </w:rPr>
        <w:t>of </w:t>
      </w:r>
      <w:r>
        <w:rPr/>
        <w:t>these techniques can be applied to monitoring storage projects in all types of geological formations, although much </w:t>
      </w:r>
      <w:r>
        <w:rPr>
          <w:spacing w:val="-3"/>
        </w:rPr>
        <w:t>remains </w:t>
      </w:r>
      <w:r>
        <w:rPr/>
        <w:t>to be learned about monitoring coal formations. Monitoring experience from natural gas storage in saline aquifers can also provide a useful industrial analogue.</w:t>
      </w:r>
    </w:p>
    <w:p>
      <w:pPr>
        <w:pStyle w:val="BodyText"/>
        <w:spacing w:before="4"/>
        <w:rPr>
          <w:sz w:val="21"/>
        </w:rPr>
      </w:pPr>
    </w:p>
    <w:p>
      <w:pPr>
        <w:pStyle w:val="Heading2"/>
        <w:numPr>
          <w:ilvl w:val="2"/>
          <w:numId w:val="11"/>
        </w:numPr>
        <w:tabs>
          <w:tab w:pos="1373" w:val="left" w:leader="none"/>
          <w:tab w:pos="1374" w:val="left" w:leader="none"/>
        </w:tabs>
        <w:spacing w:line="249" w:lineRule="auto" w:before="0" w:after="0"/>
        <w:ind w:left="1373" w:right="290" w:hanging="820"/>
        <w:jc w:val="left"/>
      </w:pPr>
      <w:r>
        <w:rPr>
          <w:i/>
        </w:rPr>
        <w:t>Technologies for monitoring injection rates</w:t>
      </w:r>
      <w:r>
        <w:rPr>
          <w:i/>
          <w:spacing w:val="-22"/>
        </w:rPr>
        <w:t> </w:t>
      </w:r>
      <w:r>
        <w:rPr>
          <w:i/>
          <w:spacing w:val="-4"/>
        </w:rPr>
        <w:t>and </w:t>
      </w:r>
      <w:r>
        <w:rPr/>
        <w:t>pressures</w:t>
      </w:r>
    </w:p>
    <w:p>
      <w:pPr>
        <w:pStyle w:val="BodyText"/>
        <w:spacing w:before="7"/>
        <w:rPr>
          <w:b/>
          <w:i/>
        </w:rPr>
      </w:pPr>
    </w:p>
    <w:p>
      <w:pPr>
        <w:pStyle w:val="BodyText"/>
        <w:spacing w:line="240" w:lineRule="exact"/>
        <w:ind w:left="553"/>
        <w:jc w:val="both"/>
      </w:pPr>
      <w:r>
        <w:rPr/>
        <w:t>Measurements of CO</w:t>
      </w:r>
      <w:r>
        <w:rPr>
          <w:position w:val="-6"/>
          <w:sz w:val="11"/>
        </w:rPr>
        <w:t>2 </w:t>
      </w:r>
      <w:r>
        <w:rPr/>
        <w:t>injection  rates  are  a  common  oil  field practice and instruments for this purpose are available commercially. Measurements are made by gauges  either</w:t>
      </w:r>
      <w:r>
        <w:rPr>
          <w:spacing w:val="31"/>
        </w:rPr>
        <w:t> </w:t>
      </w:r>
      <w:r>
        <w:rPr/>
        <w:t>at the injection wellhead or near distribution manifolds. Typical systems use orifice meters or other devices that relate the pressure</w:t>
      </w:r>
      <w:r>
        <w:rPr>
          <w:spacing w:val="-11"/>
        </w:rPr>
        <w:t> </w:t>
      </w:r>
      <w:r>
        <w:rPr/>
        <w:t>drop</w:t>
      </w:r>
      <w:r>
        <w:rPr>
          <w:spacing w:val="-10"/>
        </w:rPr>
        <w:t> </w:t>
      </w:r>
      <w:r>
        <w:rPr/>
        <w:t>across</w:t>
      </w:r>
      <w:r>
        <w:rPr>
          <w:spacing w:val="-10"/>
        </w:rPr>
        <w:t> </w:t>
      </w:r>
      <w:r>
        <w:rPr/>
        <w:t>the</w:t>
      </w:r>
      <w:r>
        <w:rPr>
          <w:spacing w:val="-10"/>
        </w:rPr>
        <w:t> </w:t>
      </w:r>
      <w:r>
        <w:rPr/>
        <w:t>device</w:t>
      </w:r>
      <w:r>
        <w:rPr>
          <w:spacing w:val="-10"/>
        </w:rPr>
        <w:t> </w:t>
      </w:r>
      <w:r>
        <w:rPr/>
        <w:t>to</w:t>
      </w:r>
      <w:r>
        <w:rPr>
          <w:spacing w:val="-10"/>
        </w:rPr>
        <w:t> </w:t>
      </w:r>
      <w:r>
        <w:rPr/>
        <w:t>the</w:t>
      </w:r>
      <w:r>
        <w:rPr>
          <w:spacing w:val="-10"/>
        </w:rPr>
        <w:t> </w:t>
      </w:r>
      <w:r>
        <w:rPr/>
        <w:t>flow</w:t>
      </w:r>
      <w:r>
        <w:rPr>
          <w:spacing w:val="-10"/>
        </w:rPr>
        <w:t> </w:t>
      </w:r>
      <w:r>
        <w:rPr/>
        <w:t>rate.</w:t>
      </w:r>
      <w:r>
        <w:rPr>
          <w:spacing w:val="-14"/>
        </w:rPr>
        <w:t> </w:t>
      </w:r>
      <w:r>
        <w:rPr/>
        <w:t>The</w:t>
      </w:r>
      <w:r>
        <w:rPr>
          <w:spacing w:val="-10"/>
        </w:rPr>
        <w:t> </w:t>
      </w:r>
      <w:r>
        <w:rPr/>
        <w:t>accuracy</w:t>
      </w:r>
      <w:r>
        <w:rPr>
          <w:spacing w:val="-10"/>
        </w:rPr>
        <w:t> </w:t>
      </w:r>
      <w:r>
        <w:rPr>
          <w:spacing w:val="-6"/>
        </w:rPr>
        <w:t>of </w:t>
      </w:r>
      <w:r>
        <w:rPr/>
        <w:t>the</w:t>
      </w:r>
      <w:r>
        <w:rPr>
          <w:spacing w:val="-17"/>
        </w:rPr>
        <w:t> </w:t>
      </w:r>
      <w:r>
        <w:rPr/>
        <w:t>measurements</w:t>
      </w:r>
      <w:r>
        <w:rPr>
          <w:spacing w:val="-17"/>
        </w:rPr>
        <w:t> </w:t>
      </w:r>
      <w:r>
        <w:rPr/>
        <w:t>depends</w:t>
      </w:r>
      <w:r>
        <w:rPr>
          <w:spacing w:val="-17"/>
        </w:rPr>
        <w:t> </w:t>
      </w:r>
      <w:r>
        <w:rPr/>
        <w:t>on</w:t>
      </w:r>
      <w:r>
        <w:rPr>
          <w:spacing w:val="-17"/>
        </w:rPr>
        <w:t> </w:t>
      </w:r>
      <w:r>
        <w:rPr/>
        <w:t>a</w:t>
      </w:r>
      <w:r>
        <w:rPr>
          <w:spacing w:val="-16"/>
        </w:rPr>
        <w:t> </w:t>
      </w:r>
      <w:r>
        <w:rPr/>
        <w:t>number</w:t>
      </w:r>
      <w:r>
        <w:rPr>
          <w:spacing w:val="-17"/>
        </w:rPr>
        <w:t> </w:t>
      </w:r>
      <w:r>
        <w:rPr/>
        <w:t>of</w:t>
      </w:r>
      <w:r>
        <w:rPr>
          <w:spacing w:val="-17"/>
        </w:rPr>
        <w:t> </w:t>
      </w:r>
      <w:r>
        <w:rPr/>
        <w:t>factors</w:t>
      </w:r>
      <w:r>
        <w:rPr>
          <w:spacing w:val="-17"/>
        </w:rPr>
        <w:t> </w:t>
      </w:r>
      <w:r>
        <w:rPr/>
        <w:t>that</w:t>
      </w:r>
      <w:r>
        <w:rPr>
          <w:spacing w:val="-16"/>
        </w:rPr>
        <w:t> </w:t>
      </w:r>
      <w:r>
        <w:rPr/>
        <w:t>have</w:t>
      </w:r>
      <w:r>
        <w:rPr>
          <w:spacing w:val="-17"/>
        </w:rPr>
        <w:t> </w:t>
      </w:r>
      <w:r>
        <w:rPr>
          <w:spacing w:val="-4"/>
        </w:rPr>
        <w:t>been </w:t>
      </w:r>
      <w:r>
        <w:rPr/>
        <w:t>described in general by Morrow </w:t>
      </w:r>
      <w:r>
        <w:rPr>
          <w:i/>
        </w:rPr>
        <w:t>et al. </w:t>
      </w:r>
      <w:r>
        <w:rPr/>
        <w:t>(2003) and specifically for CO</w:t>
      </w:r>
      <w:r>
        <w:rPr>
          <w:position w:val="-6"/>
          <w:sz w:val="11"/>
        </w:rPr>
        <w:t>2 </w:t>
      </w:r>
      <w:r>
        <w:rPr/>
        <w:t>by Wright and Majek (1998). For CO</w:t>
      </w:r>
      <w:r>
        <w:rPr>
          <w:position w:val="-6"/>
          <w:sz w:val="11"/>
        </w:rPr>
        <w:t>2</w:t>
      </w:r>
      <w:r>
        <w:rPr/>
        <w:t>, accurate estimation of the density is most important for improving measurement accuracy. Small changes in temperature,</w:t>
      </w:r>
      <w:r>
        <w:rPr>
          <w:spacing w:val="-30"/>
        </w:rPr>
        <w:t> </w:t>
      </w:r>
      <w:r>
        <w:rPr/>
        <w:t>pressure and composition can have large effects on density. Wright </w:t>
      </w:r>
      <w:r>
        <w:rPr>
          <w:spacing w:val="-5"/>
        </w:rPr>
        <w:t>and </w:t>
      </w:r>
      <w:r>
        <w:rPr/>
        <w:t>Majek (1998) developed an oil field CO</w:t>
      </w:r>
      <w:r>
        <w:rPr>
          <w:position w:val="-6"/>
          <w:sz w:val="11"/>
        </w:rPr>
        <w:t>2 </w:t>
      </w:r>
      <w:r>
        <w:rPr/>
        <w:t>flow rate system by combining pressure, temperature and differential pressure measurements with gas chromatography. The improved</w:t>
      </w:r>
      <w:r>
        <w:rPr>
          <w:spacing w:val="-31"/>
        </w:rPr>
        <w:t> </w:t>
      </w:r>
      <w:r>
        <w:rPr/>
        <w:t>system had an accuracy of 0.6%, compared to 8% for the </w:t>
      </w:r>
      <w:r>
        <w:rPr>
          <w:spacing w:val="-2"/>
        </w:rPr>
        <w:t>conventional </w:t>
      </w:r>
      <w:r>
        <w:rPr/>
        <w:t>system. Standards for measurement accuracy vary and are usually established by governments or industrial </w:t>
      </w:r>
      <w:r>
        <w:rPr>
          <w:spacing w:val="-2"/>
        </w:rPr>
        <w:t>associations. </w:t>
      </w:r>
      <w:r>
        <w:rPr/>
        <w:t>For</w:t>
      </w:r>
      <w:r>
        <w:rPr>
          <w:spacing w:val="-8"/>
        </w:rPr>
        <w:t> </w:t>
      </w:r>
      <w:r>
        <w:rPr/>
        <w:t>example,</w:t>
      </w:r>
      <w:r>
        <w:rPr>
          <w:spacing w:val="-7"/>
        </w:rPr>
        <w:t> </w:t>
      </w:r>
      <w:r>
        <w:rPr/>
        <w:t>in</w:t>
      </w:r>
      <w:r>
        <w:rPr>
          <w:spacing w:val="-8"/>
        </w:rPr>
        <w:t> </w:t>
      </w:r>
      <w:r>
        <w:rPr/>
        <w:t>the</w:t>
      </w:r>
      <w:r>
        <w:rPr>
          <w:spacing w:val="-7"/>
        </w:rPr>
        <w:t> </w:t>
      </w:r>
      <w:r>
        <w:rPr/>
        <w:t>United</w:t>
      </w:r>
      <w:r>
        <w:rPr>
          <w:spacing w:val="-7"/>
        </w:rPr>
        <w:t> </w:t>
      </w:r>
      <w:r>
        <w:rPr/>
        <w:t>States,</w:t>
      </w:r>
      <w:r>
        <w:rPr>
          <w:spacing w:val="-8"/>
        </w:rPr>
        <w:t> </w:t>
      </w:r>
      <w:r>
        <w:rPr/>
        <w:t>current</w:t>
      </w:r>
      <w:r>
        <w:rPr>
          <w:spacing w:val="-7"/>
        </w:rPr>
        <w:t> </w:t>
      </w:r>
      <w:r>
        <w:rPr/>
        <w:t>auditing</w:t>
      </w:r>
      <w:r>
        <w:rPr>
          <w:spacing w:val="-7"/>
        </w:rPr>
        <w:t> </w:t>
      </w:r>
      <w:r>
        <w:rPr/>
        <w:t>practices</w:t>
      </w:r>
      <w:r>
        <w:rPr>
          <w:spacing w:val="-8"/>
        </w:rPr>
        <w:t> </w:t>
      </w:r>
      <w:r>
        <w:rPr/>
        <w:t>for CO</w:t>
      </w:r>
      <w:r>
        <w:rPr>
          <w:position w:val="-6"/>
          <w:sz w:val="11"/>
        </w:rPr>
        <w:t>2</w:t>
      </w:r>
      <w:r>
        <w:rPr/>
        <w:t>-EOR accept flow meter precision of</w:t>
      </w:r>
      <w:r>
        <w:rPr>
          <w:spacing w:val="-3"/>
        </w:rPr>
        <w:t> </w:t>
      </w:r>
      <w:r>
        <w:rPr/>
        <w:t>±4%.</w:t>
      </w:r>
    </w:p>
    <w:p>
      <w:pPr>
        <w:pStyle w:val="BodyText"/>
        <w:spacing w:line="249" w:lineRule="auto" w:before="5"/>
        <w:ind w:left="553" w:right="1" w:firstLine="283"/>
        <w:jc w:val="both"/>
      </w:pPr>
      <w:r>
        <w:rPr/>
        <w:t>Measurements of injection pressure at the surface and in the formation are also routine. Pressure gauges are</w:t>
      </w:r>
      <w:r>
        <w:rPr>
          <w:spacing w:val="13"/>
        </w:rPr>
        <w:t> </w:t>
      </w:r>
      <w:r>
        <w:rPr/>
        <w:t>installed</w:t>
      </w:r>
    </w:p>
    <w:p>
      <w:pPr>
        <w:pStyle w:val="BodyText"/>
        <w:spacing w:line="249" w:lineRule="auto" w:before="63"/>
        <w:ind w:left="241" w:right="133"/>
        <w:jc w:val="both"/>
      </w:pPr>
      <w:r>
        <w:rPr/>
        <w:br w:type="column"/>
      </w:r>
      <w:r>
        <w:rPr/>
        <w:t>on most injection wells through orifices in the surface piping near the wellhead. Downhole pressure measurements are routine, but are used for injection well testing or  </w:t>
      </w:r>
      <w:r>
        <w:rPr>
          <w:spacing w:val="-3"/>
        </w:rPr>
        <w:t>under  </w:t>
      </w:r>
      <w:r>
        <w:rPr/>
        <w:t>special circumstances in which surface measurements do not provide reliable information  about  the  downhole  pressure.  A wide variety of pressure sensors are available and suitable for monitoring pressures at the wellhead or in the formation. Continuous data  are  available  and  typically  transmitted  </w:t>
      </w:r>
      <w:r>
        <w:rPr>
          <w:spacing w:val="-7"/>
        </w:rPr>
        <w:t>to  </w:t>
      </w:r>
      <w:r>
        <w:rPr/>
        <w:t>a central control room. Surface pressure gauges are often connected to shut-off valves that will stop or curtail injection if the pressure exceeds a predetermined safe threshold or if there</w:t>
      </w:r>
      <w:r>
        <w:rPr>
          <w:spacing w:val="-5"/>
        </w:rPr>
        <w:t> </w:t>
      </w:r>
      <w:r>
        <w:rPr/>
        <w:t>is</w:t>
      </w:r>
      <w:r>
        <w:rPr>
          <w:spacing w:val="-5"/>
        </w:rPr>
        <w:t> </w:t>
      </w:r>
      <w:r>
        <w:rPr/>
        <w:t>a</w:t>
      </w:r>
      <w:r>
        <w:rPr>
          <w:spacing w:val="-5"/>
        </w:rPr>
        <w:t> </w:t>
      </w:r>
      <w:r>
        <w:rPr/>
        <w:t>drop</w:t>
      </w:r>
      <w:r>
        <w:rPr>
          <w:spacing w:val="-5"/>
        </w:rPr>
        <w:t> </w:t>
      </w:r>
      <w:r>
        <w:rPr/>
        <w:t>in</w:t>
      </w:r>
      <w:r>
        <w:rPr>
          <w:spacing w:val="-4"/>
        </w:rPr>
        <w:t> </w:t>
      </w:r>
      <w:r>
        <w:rPr/>
        <w:t>pressure</w:t>
      </w:r>
      <w:r>
        <w:rPr>
          <w:spacing w:val="-5"/>
        </w:rPr>
        <w:t> </w:t>
      </w:r>
      <w:r>
        <w:rPr/>
        <w:t>as</w:t>
      </w:r>
      <w:r>
        <w:rPr>
          <w:spacing w:val="-5"/>
        </w:rPr>
        <w:t> </w:t>
      </w:r>
      <w:r>
        <w:rPr/>
        <w:t>a</w:t>
      </w:r>
      <w:r>
        <w:rPr>
          <w:spacing w:val="-5"/>
        </w:rPr>
        <w:t> </w:t>
      </w:r>
      <w:r>
        <w:rPr/>
        <w:t>result</w:t>
      </w:r>
      <w:r>
        <w:rPr>
          <w:spacing w:val="-4"/>
        </w:rPr>
        <w:t> </w:t>
      </w:r>
      <w:r>
        <w:rPr/>
        <w:t>of</w:t>
      </w:r>
      <w:r>
        <w:rPr>
          <w:spacing w:val="-5"/>
        </w:rPr>
        <w:t> </w:t>
      </w:r>
      <w:r>
        <w:rPr/>
        <w:t>a</w:t>
      </w:r>
      <w:r>
        <w:rPr>
          <w:spacing w:val="-5"/>
        </w:rPr>
        <w:t> </w:t>
      </w:r>
      <w:r>
        <w:rPr/>
        <w:t>leak.</w:t>
      </w:r>
      <w:r>
        <w:rPr>
          <w:spacing w:val="-5"/>
        </w:rPr>
        <w:t> </w:t>
      </w:r>
      <w:r>
        <w:rPr/>
        <w:t>In</w:t>
      </w:r>
      <w:r>
        <w:rPr>
          <w:spacing w:val="-4"/>
        </w:rPr>
        <w:t> </w:t>
      </w:r>
      <w:r>
        <w:rPr/>
        <w:t>effect,</w:t>
      </w:r>
      <w:r>
        <w:rPr>
          <w:spacing w:val="-5"/>
        </w:rPr>
        <w:t> </w:t>
      </w:r>
      <w:r>
        <w:rPr/>
        <w:t>surface pressures can be used to ensure that downhole pressures do </w:t>
      </w:r>
      <w:r>
        <w:rPr>
          <w:spacing w:val="-5"/>
        </w:rPr>
        <w:t>not </w:t>
      </w:r>
      <w:r>
        <w:rPr/>
        <w:t>exceed the threshold of reservoir fracture pressure. A</w:t>
      </w:r>
      <w:r>
        <w:rPr>
          <w:spacing w:val="-22"/>
        </w:rPr>
        <w:t> </w:t>
      </w:r>
      <w:r>
        <w:rPr/>
        <w:t>relatively recent</w:t>
      </w:r>
      <w:r>
        <w:rPr>
          <w:spacing w:val="-11"/>
        </w:rPr>
        <w:t> </w:t>
      </w:r>
      <w:r>
        <w:rPr/>
        <w:t>innovation,</w:t>
      </w:r>
      <w:r>
        <w:rPr>
          <w:spacing w:val="-10"/>
        </w:rPr>
        <w:t> </w:t>
      </w:r>
      <w:r>
        <w:rPr/>
        <w:t>fibre-optic</w:t>
      </w:r>
      <w:r>
        <w:rPr>
          <w:spacing w:val="-11"/>
        </w:rPr>
        <w:t> </w:t>
      </w:r>
      <w:r>
        <w:rPr/>
        <w:t>pressure</w:t>
      </w:r>
      <w:r>
        <w:rPr>
          <w:spacing w:val="-10"/>
        </w:rPr>
        <w:t> </w:t>
      </w:r>
      <w:r>
        <w:rPr/>
        <w:t>and</w:t>
      </w:r>
      <w:r>
        <w:rPr>
          <w:spacing w:val="-11"/>
        </w:rPr>
        <w:t> </w:t>
      </w:r>
      <w:r>
        <w:rPr/>
        <w:t>temperature</w:t>
      </w:r>
      <w:r>
        <w:rPr>
          <w:spacing w:val="-10"/>
        </w:rPr>
        <w:t> </w:t>
      </w:r>
      <w:r>
        <w:rPr/>
        <w:t>sensors, is commercially available. Fibre-optic cables are lowered into the</w:t>
      </w:r>
      <w:r>
        <w:rPr>
          <w:spacing w:val="-7"/>
        </w:rPr>
        <w:t> </w:t>
      </w:r>
      <w:r>
        <w:rPr/>
        <w:t>wells,</w:t>
      </w:r>
      <w:r>
        <w:rPr>
          <w:spacing w:val="-7"/>
        </w:rPr>
        <w:t> </w:t>
      </w:r>
      <w:r>
        <w:rPr/>
        <w:t>connected</w:t>
      </w:r>
      <w:r>
        <w:rPr>
          <w:spacing w:val="-6"/>
        </w:rPr>
        <w:t> </w:t>
      </w:r>
      <w:r>
        <w:rPr/>
        <w:t>to</w:t>
      </w:r>
      <w:r>
        <w:rPr>
          <w:spacing w:val="-7"/>
        </w:rPr>
        <w:t> </w:t>
      </w:r>
      <w:r>
        <w:rPr/>
        <w:t>sensors</w:t>
      </w:r>
      <w:r>
        <w:rPr>
          <w:spacing w:val="-6"/>
        </w:rPr>
        <w:t> </w:t>
      </w:r>
      <w:r>
        <w:rPr/>
        <w:t>and</w:t>
      </w:r>
      <w:r>
        <w:rPr>
          <w:spacing w:val="-6"/>
        </w:rPr>
        <w:t> </w:t>
      </w:r>
      <w:r>
        <w:rPr/>
        <w:t>provide</w:t>
      </w:r>
      <w:r>
        <w:rPr>
          <w:spacing w:val="-7"/>
        </w:rPr>
        <w:t> </w:t>
      </w:r>
      <w:r>
        <w:rPr/>
        <w:t>real-time</w:t>
      </w:r>
      <w:r>
        <w:rPr>
          <w:spacing w:val="-6"/>
        </w:rPr>
        <w:t> </w:t>
      </w:r>
      <w:r>
        <w:rPr/>
        <w:t>formation pressure and temperature measurements. These new systems are expected to provide more reliable measurements and well control.</w:t>
      </w:r>
    </w:p>
    <w:p>
      <w:pPr>
        <w:pStyle w:val="BodyText"/>
        <w:spacing w:line="240" w:lineRule="exact" w:before="11"/>
        <w:ind w:left="241" w:right="133" w:firstLine="283"/>
        <w:jc w:val="both"/>
      </w:pPr>
      <w:r>
        <w:rPr/>
        <w:t>The current state of the technology is more than adequate to meet the needs for monitoring injection rates, wellhead and formation</w:t>
      </w:r>
      <w:r>
        <w:rPr>
          <w:spacing w:val="-29"/>
        </w:rPr>
        <w:t> </w:t>
      </w:r>
      <w:r>
        <w:rPr/>
        <w:t>pressures.</w:t>
      </w:r>
      <w:r>
        <w:rPr>
          <w:spacing w:val="-28"/>
        </w:rPr>
        <w:t> </w:t>
      </w:r>
      <w:r>
        <w:rPr/>
        <w:t>Combined</w:t>
      </w:r>
      <w:r>
        <w:rPr>
          <w:spacing w:val="-28"/>
        </w:rPr>
        <w:t> </w:t>
      </w:r>
      <w:r>
        <w:rPr/>
        <w:t>with</w:t>
      </w:r>
      <w:r>
        <w:rPr>
          <w:spacing w:val="-29"/>
        </w:rPr>
        <w:t> </w:t>
      </w:r>
      <w:r>
        <w:rPr/>
        <w:t>temperature</w:t>
      </w:r>
      <w:r>
        <w:rPr>
          <w:spacing w:val="-28"/>
        </w:rPr>
        <w:t> </w:t>
      </w:r>
      <w:r>
        <w:rPr/>
        <w:t>measurements, the collected data will provide information on the state of the CO</w:t>
      </w:r>
      <w:r>
        <w:rPr>
          <w:position w:val="-6"/>
          <w:sz w:val="11"/>
        </w:rPr>
        <w:t>2  </w:t>
      </w:r>
      <w:r>
        <w:rPr/>
        <w:t>(supercritical, liquid or gas) and accurate measurement   of the amount of CO</w:t>
      </w:r>
      <w:r>
        <w:rPr>
          <w:position w:val="-6"/>
          <w:sz w:val="11"/>
        </w:rPr>
        <w:t>2 </w:t>
      </w:r>
      <w:r>
        <w:rPr/>
        <w:t>injected for inventories, reporting </w:t>
      </w:r>
      <w:r>
        <w:rPr>
          <w:spacing w:val="-5"/>
        </w:rPr>
        <w:t>and </w:t>
      </w:r>
      <w:r>
        <w:rPr/>
        <w:t>verification, as well as input to modelling. In the case of the </w:t>
      </w:r>
      <w:r>
        <w:rPr>
          <w:spacing w:val="-3"/>
        </w:rPr>
        <w:t>Weyburn</w:t>
      </w:r>
      <w:r>
        <w:rPr>
          <w:spacing w:val="-12"/>
        </w:rPr>
        <w:t> </w:t>
      </w:r>
      <w:r>
        <w:rPr/>
        <w:t>project,</w:t>
      </w:r>
      <w:r>
        <w:rPr>
          <w:spacing w:val="-12"/>
        </w:rPr>
        <w:t> </w:t>
      </w:r>
      <w:r>
        <w:rPr/>
        <w:t>for</w:t>
      </w:r>
      <w:r>
        <w:rPr>
          <w:spacing w:val="-12"/>
        </w:rPr>
        <w:t> </w:t>
      </w:r>
      <w:r>
        <w:rPr/>
        <w:t>example,</w:t>
      </w:r>
      <w:r>
        <w:rPr>
          <w:spacing w:val="-12"/>
        </w:rPr>
        <w:t> </w:t>
      </w:r>
      <w:r>
        <w:rPr/>
        <w:t>the</w:t>
      </w:r>
      <w:r>
        <w:rPr>
          <w:spacing w:val="-12"/>
        </w:rPr>
        <w:t> </w:t>
      </w:r>
      <w:r>
        <w:rPr/>
        <w:t>gas</w:t>
      </w:r>
      <w:r>
        <w:rPr>
          <w:spacing w:val="-12"/>
        </w:rPr>
        <w:t> </w:t>
      </w:r>
      <w:r>
        <w:rPr/>
        <w:t>stream</w:t>
      </w:r>
      <w:r>
        <w:rPr>
          <w:spacing w:val="-12"/>
        </w:rPr>
        <w:t> </w:t>
      </w:r>
      <w:r>
        <w:rPr/>
        <w:t>is</w:t>
      </w:r>
      <w:r>
        <w:rPr>
          <w:spacing w:val="-12"/>
        </w:rPr>
        <w:t> </w:t>
      </w:r>
      <w:r>
        <w:rPr/>
        <w:t>also</w:t>
      </w:r>
      <w:r>
        <w:rPr>
          <w:spacing w:val="-12"/>
        </w:rPr>
        <w:t> </w:t>
      </w:r>
      <w:r>
        <w:rPr/>
        <w:t>analyzed</w:t>
      </w:r>
      <w:r>
        <w:rPr>
          <w:spacing w:val="-12"/>
        </w:rPr>
        <w:t> </w:t>
      </w:r>
      <w:r>
        <w:rPr/>
        <w:t>to determine</w:t>
      </w:r>
      <w:r>
        <w:rPr>
          <w:spacing w:val="-7"/>
        </w:rPr>
        <w:t> </w:t>
      </w:r>
      <w:r>
        <w:rPr/>
        <w:t>the</w:t>
      </w:r>
      <w:r>
        <w:rPr>
          <w:spacing w:val="-5"/>
        </w:rPr>
        <w:t> </w:t>
      </w:r>
      <w:r>
        <w:rPr/>
        <w:t>impurities</w:t>
      </w:r>
      <w:r>
        <w:rPr>
          <w:spacing w:val="-5"/>
        </w:rPr>
        <w:t> </w:t>
      </w:r>
      <w:r>
        <w:rPr/>
        <w:t>in</w:t>
      </w:r>
      <w:r>
        <w:rPr>
          <w:spacing w:val="-5"/>
        </w:rPr>
        <w:t> </w:t>
      </w:r>
      <w:r>
        <w:rPr/>
        <w:t>the</w:t>
      </w:r>
      <w:r>
        <w:rPr>
          <w:spacing w:val="-6"/>
        </w:rPr>
        <w:t> </w:t>
      </w:r>
      <w:r>
        <w:rPr/>
        <w:t>CO</w:t>
      </w:r>
      <w:r>
        <w:rPr>
          <w:position w:val="-6"/>
          <w:sz w:val="11"/>
        </w:rPr>
        <w:t>2</w:t>
      </w:r>
      <w:r>
        <w:rPr/>
        <w:t>,</w:t>
      </w:r>
      <w:r>
        <w:rPr>
          <w:spacing w:val="-5"/>
        </w:rPr>
        <w:t> </w:t>
      </w:r>
      <w:r>
        <w:rPr/>
        <w:t>thus</w:t>
      </w:r>
      <w:r>
        <w:rPr>
          <w:spacing w:val="-5"/>
        </w:rPr>
        <w:t> </w:t>
      </w:r>
      <w:r>
        <w:rPr/>
        <w:t>allowing</w:t>
      </w:r>
      <w:r>
        <w:rPr>
          <w:spacing w:val="-5"/>
        </w:rPr>
        <w:t> </w:t>
      </w:r>
      <w:r>
        <w:rPr/>
        <w:t>computation of the volume of CO</w:t>
      </w:r>
      <w:r>
        <w:rPr>
          <w:position w:val="-6"/>
          <w:sz w:val="11"/>
        </w:rPr>
        <w:t>2</w:t>
      </w:r>
      <w:r>
        <w:rPr>
          <w:spacing w:val="22"/>
          <w:position w:val="-6"/>
          <w:sz w:val="11"/>
        </w:rPr>
        <w:t> </w:t>
      </w:r>
      <w:r>
        <w:rPr/>
        <w:t>injected.</w:t>
      </w:r>
    </w:p>
    <w:p>
      <w:pPr>
        <w:pStyle w:val="BodyText"/>
        <w:spacing w:before="4"/>
        <w:rPr>
          <w:sz w:val="21"/>
        </w:rPr>
      </w:pPr>
    </w:p>
    <w:p>
      <w:pPr>
        <w:pStyle w:val="Heading2"/>
        <w:numPr>
          <w:ilvl w:val="2"/>
          <w:numId w:val="11"/>
        </w:numPr>
        <w:tabs>
          <w:tab w:pos="1061" w:val="left" w:leader="none"/>
          <w:tab w:pos="1062" w:val="left" w:leader="none"/>
        </w:tabs>
        <w:spacing w:line="249" w:lineRule="auto" w:before="0" w:after="0"/>
        <w:ind w:left="1061" w:right="1058" w:hanging="820"/>
        <w:jc w:val="left"/>
        <w:rPr>
          <w:sz w:val="11"/>
        </w:rPr>
      </w:pPr>
      <w:r>
        <w:rPr>
          <w:i/>
        </w:rPr>
        <w:t>Technologies for monitoring</w:t>
      </w:r>
      <w:r>
        <w:rPr>
          <w:i/>
          <w:spacing w:val="-27"/>
        </w:rPr>
        <w:t> </w:t>
      </w:r>
      <w:r>
        <w:rPr>
          <w:i/>
        </w:rPr>
        <w:t>subsurface </w:t>
      </w:r>
      <w:r>
        <w:rPr/>
        <w:t>distribution of CO</w:t>
      </w:r>
      <w:r>
        <w:rPr>
          <w:position w:val="-6"/>
          <w:sz w:val="11"/>
        </w:rPr>
        <w:t>2</w:t>
      </w:r>
    </w:p>
    <w:p>
      <w:pPr>
        <w:pStyle w:val="BodyText"/>
        <w:spacing w:line="240" w:lineRule="exact" w:before="186"/>
        <w:ind w:left="241" w:right="133"/>
        <w:jc w:val="both"/>
      </w:pPr>
      <w:r>
        <w:rPr/>
        <w:t>A number of techniques can be used to monitor the</w:t>
      </w:r>
      <w:r>
        <w:rPr>
          <w:spacing w:val="-31"/>
        </w:rPr>
        <w:t> </w:t>
      </w:r>
      <w:r>
        <w:rPr/>
        <w:t>distribution and migration of CO</w:t>
      </w:r>
      <w:r>
        <w:rPr>
          <w:position w:val="-6"/>
          <w:sz w:val="11"/>
        </w:rPr>
        <w:t>2 </w:t>
      </w:r>
      <w:r>
        <w:rPr/>
        <w:t>in the subsurface. </w:t>
      </w:r>
      <w:hyperlink w:history="true" w:anchor="_bookmark38">
        <w:r>
          <w:rPr>
            <w:spacing w:val="-3"/>
          </w:rPr>
          <w:t>Table </w:t>
        </w:r>
        <w:r>
          <w:rPr/>
          <w:t>5.4 </w:t>
        </w:r>
      </w:hyperlink>
      <w:r>
        <w:rPr/>
        <w:t>summarizes these techniques and how they can be applied to CO</w:t>
      </w:r>
      <w:r>
        <w:rPr>
          <w:position w:val="-6"/>
          <w:sz w:val="11"/>
        </w:rPr>
        <w:t>2 </w:t>
      </w:r>
      <w:r>
        <w:rPr/>
        <w:t>storage projects. The applicability and sensitivity of these techniques are somewhat site-specific. Detailed descriptions, including limitations and resolution, are provided in Sections 5.6.3.1 and 5.6.3.2.</w:t>
      </w:r>
    </w:p>
    <w:p>
      <w:pPr>
        <w:pStyle w:val="BodyText"/>
        <w:spacing w:before="1"/>
        <w:rPr>
          <w:sz w:val="22"/>
        </w:rPr>
      </w:pPr>
    </w:p>
    <w:p>
      <w:pPr>
        <w:pStyle w:val="ListParagraph"/>
        <w:numPr>
          <w:ilvl w:val="3"/>
          <w:numId w:val="11"/>
        </w:numPr>
        <w:tabs>
          <w:tab w:pos="1061" w:val="left" w:leader="none"/>
          <w:tab w:pos="1062" w:val="left" w:leader="none"/>
        </w:tabs>
        <w:spacing w:line="223" w:lineRule="auto" w:before="1" w:after="0"/>
        <w:ind w:left="241" w:right="133" w:firstLine="0"/>
        <w:jc w:val="left"/>
        <w:rPr>
          <w:sz w:val="20"/>
        </w:rPr>
      </w:pPr>
      <w:r>
        <w:rPr>
          <w:i/>
          <w:sz w:val="20"/>
        </w:rPr>
        <w:t>Direct techniques for monitoring CO</w:t>
      </w:r>
      <w:r>
        <w:rPr>
          <w:i/>
          <w:position w:val="-6"/>
          <w:sz w:val="11"/>
        </w:rPr>
        <w:t>2 </w:t>
      </w:r>
      <w:r>
        <w:rPr>
          <w:i/>
          <w:sz w:val="20"/>
        </w:rPr>
        <w:t>migration </w:t>
      </w:r>
      <w:r>
        <w:rPr>
          <w:sz w:val="20"/>
        </w:rPr>
        <w:t>Direct techniques for monitoring are limited in availability at present.</w:t>
      </w:r>
      <w:r>
        <w:rPr>
          <w:spacing w:val="-16"/>
          <w:sz w:val="20"/>
        </w:rPr>
        <w:t> </w:t>
      </w:r>
      <w:r>
        <w:rPr>
          <w:sz w:val="20"/>
        </w:rPr>
        <w:t>During</w:t>
      </w:r>
      <w:r>
        <w:rPr>
          <w:spacing w:val="-16"/>
          <w:sz w:val="20"/>
        </w:rPr>
        <w:t> </w:t>
      </w:r>
      <w:r>
        <w:rPr>
          <w:sz w:val="20"/>
        </w:rPr>
        <w:t>CO</w:t>
      </w:r>
      <w:r>
        <w:rPr>
          <w:position w:val="-6"/>
          <w:sz w:val="11"/>
        </w:rPr>
        <w:t>2</w:t>
      </w:r>
      <w:r>
        <w:rPr>
          <w:spacing w:val="6"/>
          <w:position w:val="-6"/>
          <w:sz w:val="11"/>
        </w:rPr>
        <w:t> </w:t>
      </w:r>
      <w:r>
        <w:rPr>
          <w:sz w:val="20"/>
        </w:rPr>
        <w:t>injection</w:t>
      </w:r>
      <w:r>
        <w:rPr>
          <w:spacing w:val="-16"/>
          <w:sz w:val="20"/>
        </w:rPr>
        <w:t> </w:t>
      </w:r>
      <w:r>
        <w:rPr>
          <w:sz w:val="20"/>
        </w:rPr>
        <w:t>for</w:t>
      </w:r>
      <w:r>
        <w:rPr>
          <w:spacing w:val="-15"/>
          <w:sz w:val="20"/>
        </w:rPr>
        <w:t> </w:t>
      </w:r>
      <w:r>
        <w:rPr>
          <w:sz w:val="20"/>
        </w:rPr>
        <w:t>EOR,</w:t>
      </w:r>
      <w:r>
        <w:rPr>
          <w:spacing w:val="-16"/>
          <w:sz w:val="20"/>
        </w:rPr>
        <w:t> </w:t>
      </w:r>
      <w:r>
        <w:rPr>
          <w:sz w:val="20"/>
        </w:rPr>
        <w:t>the</w:t>
      </w:r>
      <w:r>
        <w:rPr>
          <w:spacing w:val="-16"/>
          <w:sz w:val="20"/>
        </w:rPr>
        <w:t> </w:t>
      </w:r>
      <w:r>
        <w:rPr>
          <w:sz w:val="20"/>
        </w:rPr>
        <w:t>injected</w:t>
      </w:r>
      <w:r>
        <w:rPr>
          <w:spacing w:val="-16"/>
          <w:sz w:val="20"/>
        </w:rPr>
        <w:t> </w:t>
      </w:r>
      <w:r>
        <w:rPr>
          <w:sz w:val="20"/>
        </w:rPr>
        <w:t>CO</w:t>
      </w:r>
      <w:r>
        <w:rPr>
          <w:position w:val="-6"/>
          <w:sz w:val="11"/>
        </w:rPr>
        <w:t>2</w:t>
      </w:r>
      <w:r>
        <w:rPr>
          <w:spacing w:val="7"/>
          <w:position w:val="-6"/>
          <w:sz w:val="11"/>
        </w:rPr>
        <w:t> </w:t>
      </w:r>
      <w:r>
        <w:rPr>
          <w:sz w:val="20"/>
        </w:rPr>
        <w:t>spreads through the reservoir in a heterogeneous manner, because </w:t>
      </w:r>
      <w:r>
        <w:rPr>
          <w:spacing w:val="-8"/>
          <w:sz w:val="20"/>
        </w:rPr>
        <w:t>of </w:t>
      </w:r>
      <w:r>
        <w:rPr>
          <w:sz w:val="20"/>
        </w:rPr>
        <w:t>permeability</w:t>
      </w:r>
      <w:r>
        <w:rPr>
          <w:spacing w:val="-12"/>
          <w:sz w:val="20"/>
        </w:rPr>
        <w:t> </w:t>
      </w:r>
      <w:r>
        <w:rPr>
          <w:sz w:val="20"/>
        </w:rPr>
        <w:t>variations</w:t>
      </w:r>
      <w:r>
        <w:rPr>
          <w:spacing w:val="-11"/>
          <w:sz w:val="20"/>
        </w:rPr>
        <w:t> </w:t>
      </w:r>
      <w:r>
        <w:rPr>
          <w:sz w:val="20"/>
        </w:rPr>
        <w:t>in</w:t>
      </w:r>
      <w:r>
        <w:rPr>
          <w:spacing w:val="-12"/>
          <w:sz w:val="20"/>
        </w:rPr>
        <w:t> </w:t>
      </w:r>
      <w:r>
        <w:rPr>
          <w:sz w:val="20"/>
        </w:rPr>
        <w:t>the</w:t>
      </w:r>
      <w:r>
        <w:rPr>
          <w:spacing w:val="-11"/>
          <w:sz w:val="20"/>
        </w:rPr>
        <w:t> </w:t>
      </w:r>
      <w:r>
        <w:rPr>
          <w:sz w:val="20"/>
        </w:rPr>
        <w:t>reservoir</w:t>
      </w:r>
      <w:r>
        <w:rPr>
          <w:spacing w:val="-12"/>
          <w:sz w:val="20"/>
        </w:rPr>
        <w:t> </w:t>
      </w:r>
      <w:r>
        <w:rPr>
          <w:sz w:val="20"/>
        </w:rPr>
        <w:t>(Moberg</w:t>
      </w:r>
      <w:r>
        <w:rPr>
          <w:spacing w:val="-11"/>
          <w:sz w:val="20"/>
        </w:rPr>
        <w:t> </w:t>
      </w:r>
      <w:r>
        <w:rPr>
          <w:i/>
          <w:sz w:val="20"/>
        </w:rPr>
        <w:t>et</w:t>
      </w:r>
      <w:r>
        <w:rPr>
          <w:i/>
          <w:spacing w:val="-12"/>
          <w:sz w:val="20"/>
        </w:rPr>
        <w:t> </w:t>
      </w:r>
      <w:r>
        <w:rPr>
          <w:i/>
          <w:sz w:val="20"/>
        </w:rPr>
        <w:t>al.</w:t>
      </w:r>
      <w:r>
        <w:rPr>
          <w:sz w:val="20"/>
        </w:rPr>
        <w:t>,</w:t>
      </w:r>
      <w:r>
        <w:rPr>
          <w:spacing w:val="-11"/>
          <w:sz w:val="20"/>
        </w:rPr>
        <w:t> </w:t>
      </w:r>
      <w:r>
        <w:rPr>
          <w:sz w:val="20"/>
        </w:rPr>
        <w:t>2003).</w:t>
      </w:r>
      <w:r>
        <w:rPr>
          <w:spacing w:val="-12"/>
          <w:sz w:val="20"/>
        </w:rPr>
        <w:t> </w:t>
      </w:r>
      <w:r>
        <w:rPr>
          <w:spacing w:val="-6"/>
          <w:sz w:val="20"/>
        </w:rPr>
        <w:t>In </w:t>
      </w:r>
      <w:r>
        <w:rPr>
          <w:sz w:val="20"/>
        </w:rPr>
        <w:t>the case of CO</w:t>
      </w:r>
      <w:r>
        <w:rPr>
          <w:position w:val="-6"/>
          <w:sz w:val="11"/>
        </w:rPr>
        <w:t>2</w:t>
      </w:r>
      <w:r>
        <w:rPr>
          <w:sz w:val="20"/>
        </w:rPr>
        <w:t>-EOR, once the CO</w:t>
      </w:r>
      <w:r>
        <w:rPr>
          <w:position w:val="-6"/>
          <w:sz w:val="11"/>
        </w:rPr>
        <w:t>2 </w:t>
      </w:r>
      <w:r>
        <w:rPr>
          <w:sz w:val="20"/>
        </w:rPr>
        <w:t>reaches a production well, its produced volume can be readily determined. In the case of Weyburn,</w:t>
      </w:r>
      <w:r>
        <w:rPr>
          <w:spacing w:val="-10"/>
          <w:sz w:val="20"/>
        </w:rPr>
        <w:t> </w:t>
      </w:r>
      <w:r>
        <w:rPr>
          <w:sz w:val="20"/>
        </w:rPr>
        <w:t>the</w:t>
      </w:r>
      <w:r>
        <w:rPr>
          <w:spacing w:val="-10"/>
          <w:sz w:val="20"/>
        </w:rPr>
        <w:t> </w:t>
      </w:r>
      <w:r>
        <w:rPr>
          <w:sz w:val="20"/>
        </w:rPr>
        <w:t>carbon</w:t>
      </w:r>
      <w:r>
        <w:rPr>
          <w:spacing w:val="-10"/>
          <w:sz w:val="20"/>
        </w:rPr>
        <w:t> </w:t>
      </w:r>
      <w:r>
        <w:rPr>
          <w:sz w:val="20"/>
        </w:rPr>
        <w:t>in</w:t>
      </w:r>
      <w:r>
        <w:rPr>
          <w:spacing w:val="-9"/>
          <w:sz w:val="20"/>
        </w:rPr>
        <w:t> </w:t>
      </w:r>
      <w:r>
        <w:rPr>
          <w:sz w:val="20"/>
        </w:rPr>
        <w:t>the</w:t>
      </w:r>
      <w:r>
        <w:rPr>
          <w:spacing w:val="-10"/>
          <w:sz w:val="20"/>
        </w:rPr>
        <w:t> </w:t>
      </w:r>
      <w:r>
        <w:rPr>
          <w:sz w:val="20"/>
        </w:rPr>
        <w:t>injected</w:t>
      </w:r>
      <w:r>
        <w:rPr>
          <w:spacing w:val="-10"/>
          <w:sz w:val="20"/>
        </w:rPr>
        <w:t> </w:t>
      </w:r>
      <w:r>
        <w:rPr>
          <w:sz w:val="20"/>
        </w:rPr>
        <w:t>CO</w:t>
      </w:r>
      <w:r>
        <w:rPr>
          <w:position w:val="-6"/>
          <w:sz w:val="11"/>
        </w:rPr>
        <w:t>2</w:t>
      </w:r>
      <w:r>
        <w:rPr>
          <w:spacing w:val="13"/>
          <w:position w:val="-6"/>
          <w:sz w:val="11"/>
        </w:rPr>
        <w:t> </w:t>
      </w:r>
      <w:r>
        <w:rPr>
          <w:sz w:val="20"/>
        </w:rPr>
        <w:t>has</w:t>
      </w:r>
      <w:r>
        <w:rPr>
          <w:spacing w:val="-10"/>
          <w:sz w:val="20"/>
        </w:rPr>
        <w:t> </w:t>
      </w:r>
      <w:r>
        <w:rPr>
          <w:sz w:val="20"/>
        </w:rPr>
        <w:t>a</w:t>
      </w:r>
      <w:r>
        <w:rPr>
          <w:spacing w:val="-9"/>
          <w:sz w:val="20"/>
        </w:rPr>
        <w:t> </w:t>
      </w:r>
      <w:r>
        <w:rPr>
          <w:sz w:val="20"/>
        </w:rPr>
        <w:t>different</w:t>
      </w:r>
      <w:r>
        <w:rPr>
          <w:spacing w:val="-10"/>
          <w:sz w:val="20"/>
        </w:rPr>
        <w:t> </w:t>
      </w:r>
      <w:r>
        <w:rPr>
          <w:sz w:val="20"/>
        </w:rPr>
        <w:t>isotopic composition from the carbon in the reservoir (Emberley </w:t>
      </w:r>
      <w:r>
        <w:rPr>
          <w:i/>
          <w:sz w:val="20"/>
        </w:rPr>
        <w:t>et </w:t>
      </w:r>
      <w:r>
        <w:rPr>
          <w:i/>
          <w:spacing w:val="-4"/>
          <w:sz w:val="20"/>
        </w:rPr>
        <w:t>al.</w:t>
      </w:r>
      <w:r>
        <w:rPr>
          <w:spacing w:val="-4"/>
          <w:sz w:val="20"/>
        </w:rPr>
        <w:t>, </w:t>
      </w:r>
      <w:r>
        <w:rPr>
          <w:sz w:val="20"/>
        </w:rPr>
        <w:t>2002), so the distribution of the CO</w:t>
      </w:r>
      <w:r>
        <w:rPr>
          <w:position w:val="-6"/>
          <w:sz w:val="11"/>
        </w:rPr>
        <w:t>2 </w:t>
      </w:r>
      <w:r>
        <w:rPr>
          <w:sz w:val="20"/>
        </w:rPr>
        <w:t>can be determined on a gross basis by evaluating the arrival of the introduced CO</w:t>
      </w:r>
      <w:r>
        <w:rPr>
          <w:position w:val="-6"/>
          <w:sz w:val="11"/>
        </w:rPr>
        <w:t>2 </w:t>
      </w:r>
      <w:r>
        <w:rPr>
          <w:sz w:val="20"/>
        </w:rPr>
        <w:t>at different production wells. With multiple injection wells in any producing area, the arrival of CO</w:t>
      </w:r>
      <w:r>
        <w:rPr>
          <w:position w:val="-6"/>
          <w:sz w:val="11"/>
        </w:rPr>
        <w:t>2 </w:t>
      </w:r>
      <w:r>
        <w:rPr>
          <w:sz w:val="20"/>
        </w:rPr>
        <w:t>can give only a general indication of distribution in the</w:t>
      </w:r>
      <w:r>
        <w:rPr>
          <w:spacing w:val="-2"/>
          <w:sz w:val="20"/>
        </w:rPr>
        <w:t> </w:t>
      </w:r>
      <w:r>
        <w:rPr>
          <w:sz w:val="20"/>
        </w:rPr>
        <w:t>reservoir.</w:t>
      </w:r>
    </w:p>
    <w:p>
      <w:pPr>
        <w:spacing w:after="0" w:line="223" w:lineRule="auto"/>
        <w:jc w:val="left"/>
        <w:rPr>
          <w:sz w:val="20"/>
        </w:rPr>
        <w:sectPr>
          <w:type w:val="continuous"/>
          <w:pgSz w:w="12240" w:h="15840"/>
          <w:pgMar w:top="400" w:bottom="280" w:left="580" w:right="600"/>
          <w:cols w:num="2" w:equalWidth="0">
            <w:col w:w="5599" w:space="40"/>
            <w:col w:w="5421"/>
          </w:cols>
        </w:sectPr>
      </w:pPr>
    </w:p>
    <w:p>
      <w:pPr>
        <w:pStyle w:val="BodyText"/>
      </w:pPr>
    </w:p>
    <w:p>
      <w:pPr>
        <w:pStyle w:val="BodyText"/>
        <w:spacing w:before="9"/>
      </w:pPr>
    </w:p>
    <w:p>
      <w:pPr>
        <w:spacing w:before="1"/>
        <w:ind w:left="162" w:right="0" w:firstLine="0"/>
        <w:jc w:val="left"/>
        <w:rPr>
          <w:sz w:val="18"/>
        </w:rPr>
      </w:pPr>
      <w:bookmarkStart w:name="_bookmark38" w:id="76"/>
      <w:bookmarkEnd w:id="76"/>
      <w:r>
        <w:rPr/>
      </w:r>
      <w:r>
        <w:rPr>
          <w:b/>
          <w:spacing w:val="-17"/>
          <w:w w:val="200"/>
          <w:sz w:val="18"/>
        </w:rPr>
        <w:t>t</w:t>
      </w:r>
      <w:r>
        <w:rPr>
          <w:b/>
          <w:sz w:val="18"/>
        </w:rPr>
        <w:t>able 5.4 </w:t>
      </w:r>
      <w:r>
        <w:rPr>
          <w:spacing w:val="-1"/>
          <w:sz w:val="18"/>
        </w:rPr>
        <w:t>Summar</w:t>
      </w:r>
      <w:r>
        <w:rPr>
          <w:sz w:val="18"/>
        </w:rPr>
        <w:t>y</w:t>
      </w:r>
      <w:r>
        <w:rPr>
          <w:spacing w:val="-1"/>
          <w:sz w:val="18"/>
        </w:rPr>
        <w:t> </w:t>
      </w:r>
      <w:r>
        <w:rPr>
          <w:sz w:val="18"/>
        </w:rPr>
        <w:t>of direct and indirect techniques that can be used to monitor C</w:t>
      </w:r>
      <w:r>
        <w:rPr>
          <w:spacing w:val="-2"/>
          <w:sz w:val="18"/>
        </w:rPr>
        <w:t>O</w:t>
      </w:r>
      <w:r>
        <w:rPr>
          <w:w w:val="104"/>
          <w:position w:val="-5"/>
          <w:sz w:val="10"/>
        </w:rPr>
        <w:t>2</w:t>
      </w:r>
      <w:r>
        <w:rPr>
          <w:position w:val="-5"/>
          <w:sz w:val="10"/>
        </w:rPr>
        <w:t> </w:t>
      </w:r>
      <w:r>
        <w:rPr>
          <w:spacing w:val="-5"/>
          <w:position w:val="-5"/>
          <w:sz w:val="10"/>
        </w:rPr>
        <w:t> </w:t>
      </w:r>
      <w:r>
        <w:rPr>
          <w:spacing w:val="-1"/>
          <w:sz w:val="18"/>
        </w:rPr>
        <w:t>storag</w:t>
      </w:r>
      <w:r>
        <w:rPr>
          <w:sz w:val="18"/>
        </w:rPr>
        <w:t>e</w:t>
      </w:r>
      <w:r>
        <w:rPr>
          <w:spacing w:val="-1"/>
          <w:sz w:val="18"/>
        </w:rPr>
        <w:t> </w:t>
      </w:r>
      <w:r>
        <w:rPr>
          <w:sz w:val="18"/>
        </w:rPr>
        <w:t>projects.</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3597"/>
        <w:gridCol w:w="4431"/>
      </w:tblGrid>
      <w:tr>
        <w:trPr>
          <w:trHeight w:val="285" w:hRule="atLeast"/>
        </w:trPr>
        <w:tc>
          <w:tcPr>
            <w:tcW w:w="2359" w:type="dxa"/>
            <w:shd w:val="clear" w:color="auto" w:fill="E0EEE0"/>
          </w:tcPr>
          <w:p>
            <w:pPr>
              <w:pStyle w:val="TableParagraph"/>
              <w:spacing w:before="42"/>
              <w:ind w:left="78"/>
              <w:rPr>
                <w:b/>
                <w:sz w:val="18"/>
              </w:rPr>
            </w:pPr>
            <w:r>
              <w:rPr>
                <w:b/>
                <w:sz w:val="18"/>
              </w:rPr>
              <w:t>measurement technique</w:t>
            </w:r>
          </w:p>
        </w:tc>
        <w:tc>
          <w:tcPr>
            <w:tcW w:w="3597" w:type="dxa"/>
            <w:shd w:val="clear" w:color="auto" w:fill="E0EEE0"/>
          </w:tcPr>
          <w:p>
            <w:pPr>
              <w:pStyle w:val="TableParagraph"/>
              <w:spacing w:before="42"/>
              <w:ind w:left="78"/>
              <w:rPr>
                <w:b/>
                <w:sz w:val="18"/>
              </w:rPr>
            </w:pPr>
            <w:r>
              <w:rPr>
                <w:b/>
                <w:sz w:val="18"/>
              </w:rPr>
              <w:t>measurement parameters</w:t>
            </w:r>
          </w:p>
        </w:tc>
        <w:tc>
          <w:tcPr>
            <w:tcW w:w="4431" w:type="dxa"/>
            <w:shd w:val="clear" w:color="auto" w:fill="E0EEE0"/>
          </w:tcPr>
          <w:p>
            <w:pPr>
              <w:pStyle w:val="TableParagraph"/>
              <w:spacing w:before="42"/>
              <w:ind w:left="79"/>
              <w:rPr>
                <w:b/>
                <w:sz w:val="18"/>
              </w:rPr>
            </w:pPr>
            <w:r>
              <w:rPr>
                <w:b/>
                <w:sz w:val="18"/>
              </w:rPr>
              <w:t>Example applications</w:t>
            </w:r>
          </w:p>
        </w:tc>
      </w:tr>
      <w:tr>
        <w:trPr>
          <w:trHeight w:val="716" w:hRule="atLeast"/>
        </w:trPr>
        <w:tc>
          <w:tcPr>
            <w:tcW w:w="2359" w:type="dxa"/>
            <w:shd w:val="clear" w:color="auto" w:fill="F9FCF9"/>
          </w:tcPr>
          <w:p>
            <w:pPr>
              <w:pStyle w:val="TableParagraph"/>
              <w:spacing w:before="42"/>
              <w:ind w:left="78"/>
              <w:rPr>
                <w:sz w:val="18"/>
              </w:rPr>
            </w:pPr>
            <w:r>
              <w:rPr>
                <w:sz w:val="18"/>
              </w:rPr>
              <w:t>Introduced and natural tracers</w:t>
            </w:r>
          </w:p>
        </w:tc>
        <w:tc>
          <w:tcPr>
            <w:tcW w:w="3597" w:type="dxa"/>
            <w:shd w:val="clear" w:color="auto" w:fill="F9FCF9"/>
          </w:tcPr>
          <w:p>
            <w:pPr>
              <w:pStyle w:val="TableParagraph"/>
              <w:spacing w:before="42"/>
              <w:ind w:left="78"/>
              <w:rPr>
                <w:sz w:val="18"/>
              </w:rPr>
            </w:pPr>
            <w:r>
              <w:rPr>
                <w:sz w:val="18"/>
              </w:rPr>
              <w:t>Travel time</w:t>
            </w:r>
          </w:p>
          <w:p>
            <w:pPr>
              <w:pStyle w:val="TableParagraph"/>
              <w:spacing w:line="216" w:lineRule="exact" w:before="4"/>
              <w:ind w:left="78" w:right="400"/>
              <w:rPr>
                <w:sz w:val="10"/>
              </w:rPr>
            </w:pPr>
            <w:r>
              <w:rPr>
                <w:sz w:val="18"/>
              </w:rPr>
              <w:t>Partitioning of CO</w:t>
            </w:r>
            <w:r>
              <w:rPr>
                <w:position w:val="-5"/>
                <w:sz w:val="10"/>
              </w:rPr>
              <w:t>2 </w:t>
            </w:r>
            <w:r>
              <w:rPr>
                <w:sz w:val="18"/>
              </w:rPr>
              <w:t>into brine or oil Identification sources of CO</w:t>
            </w:r>
            <w:r>
              <w:rPr>
                <w:position w:val="-5"/>
                <w:sz w:val="10"/>
              </w:rPr>
              <w:t>2</w:t>
            </w:r>
          </w:p>
        </w:tc>
        <w:tc>
          <w:tcPr>
            <w:tcW w:w="4431" w:type="dxa"/>
            <w:shd w:val="clear" w:color="auto" w:fill="F9FCF9"/>
          </w:tcPr>
          <w:p>
            <w:pPr>
              <w:pStyle w:val="TableParagraph"/>
              <w:spacing w:line="208" w:lineRule="auto" w:before="58"/>
              <w:ind w:left="79"/>
              <w:rPr>
                <w:sz w:val="18"/>
              </w:rPr>
            </w:pPr>
            <w:r>
              <w:rPr>
                <w:sz w:val="18"/>
              </w:rPr>
              <w:t>Tracing movement of CO</w:t>
            </w:r>
            <w:r>
              <w:rPr>
                <w:position w:val="-5"/>
                <w:sz w:val="10"/>
              </w:rPr>
              <w:t>2 </w:t>
            </w:r>
            <w:r>
              <w:rPr>
                <w:sz w:val="18"/>
              </w:rPr>
              <w:t>in the storage formation Quantifying solubility trapping</w:t>
            </w:r>
          </w:p>
          <w:p>
            <w:pPr>
              <w:pStyle w:val="TableParagraph"/>
              <w:spacing w:before="13"/>
              <w:ind w:left="79"/>
              <w:rPr>
                <w:sz w:val="18"/>
              </w:rPr>
            </w:pPr>
            <w:r>
              <w:rPr>
                <w:sz w:val="18"/>
              </w:rPr>
              <w:t>Tracing leakage</w:t>
            </w:r>
          </w:p>
        </w:tc>
      </w:tr>
      <w:tr>
        <w:trPr>
          <w:trHeight w:val="933" w:hRule="atLeast"/>
        </w:trPr>
        <w:tc>
          <w:tcPr>
            <w:tcW w:w="2359" w:type="dxa"/>
            <w:shd w:val="clear" w:color="auto" w:fill="F9FCF9"/>
          </w:tcPr>
          <w:p>
            <w:pPr>
              <w:pStyle w:val="TableParagraph"/>
              <w:spacing w:before="42"/>
              <w:ind w:left="78"/>
              <w:rPr>
                <w:sz w:val="18"/>
              </w:rPr>
            </w:pPr>
            <w:r>
              <w:rPr>
                <w:sz w:val="18"/>
              </w:rPr>
              <w:t>Water composition</w:t>
            </w:r>
          </w:p>
        </w:tc>
        <w:tc>
          <w:tcPr>
            <w:tcW w:w="3597" w:type="dxa"/>
            <w:shd w:val="clear" w:color="auto" w:fill="F9FCF9"/>
          </w:tcPr>
          <w:p>
            <w:pPr>
              <w:pStyle w:val="TableParagraph"/>
              <w:tabs>
                <w:tab w:pos="855" w:val="left" w:leader="none"/>
                <w:tab w:pos="1340" w:val="right" w:leader="none"/>
              </w:tabs>
              <w:spacing w:line="108" w:lineRule="auto" w:before="134"/>
              <w:ind w:left="328" w:right="2112" w:hanging="251"/>
              <w:rPr>
                <w:sz w:val="10"/>
              </w:rPr>
            </w:pPr>
            <w:r>
              <w:rPr>
                <w:sz w:val="18"/>
              </w:rPr>
              <w:t>CO , HCO </w:t>
            </w:r>
            <w:r>
              <w:rPr>
                <w:position w:val="6"/>
                <w:sz w:val="10"/>
              </w:rPr>
              <w:t>-</w:t>
            </w:r>
            <w:r>
              <w:rPr>
                <w:sz w:val="18"/>
              </w:rPr>
              <w:t>, CO </w:t>
            </w:r>
            <w:r>
              <w:rPr>
                <w:spacing w:val="-4"/>
                <w:position w:val="6"/>
                <w:sz w:val="10"/>
              </w:rPr>
              <w:t>2-</w:t>
            </w:r>
            <w:r>
              <w:rPr>
                <w:spacing w:val="-4"/>
                <w:sz w:val="18"/>
              </w:rPr>
              <w:t>· </w:t>
            </w:r>
            <w:r>
              <w:rPr>
                <w:sz w:val="10"/>
              </w:rPr>
              <w:t>2</w:t>
              <w:tab/>
              <w:t>3</w:t>
              <w:tab/>
              <w:t>3</w:t>
            </w:r>
          </w:p>
          <w:p>
            <w:pPr>
              <w:pStyle w:val="TableParagraph"/>
              <w:spacing w:line="186" w:lineRule="exact" w:before="0"/>
              <w:ind w:left="78"/>
              <w:rPr>
                <w:sz w:val="18"/>
              </w:rPr>
            </w:pPr>
            <w:r>
              <w:rPr>
                <w:sz w:val="18"/>
              </w:rPr>
              <w:t>Major ions</w:t>
            </w:r>
          </w:p>
          <w:p>
            <w:pPr>
              <w:pStyle w:val="TableParagraph"/>
              <w:spacing w:line="249" w:lineRule="auto" w:before="9"/>
              <w:ind w:left="78" w:right="2394"/>
              <w:rPr>
                <w:sz w:val="18"/>
              </w:rPr>
            </w:pPr>
            <w:r>
              <w:rPr>
                <w:sz w:val="18"/>
              </w:rPr>
              <w:t>Trace elements Salinity</w:t>
            </w:r>
          </w:p>
        </w:tc>
        <w:tc>
          <w:tcPr>
            <w:tcW w:w="4431" w:type="dxa"/>
            <w:shd w:val="clear" w:color="auto" w:fill="F9FCF9"/>
          </w:tcPr>
          <w:p>
            <w:pPr>
              <w:pStyle w:val="TableParagraph"/>
              <w:spacing w:line="249" w:lineRule="auto" w:before="42"/>
              <w:ind w:left="79" w:right="1182"/>
              <w:rPr>
                <w:sz w:val="18"/>
              </w:rPr>
            </w:pPr>
            <w:r>
              <w:rPr>
                <w:sz w:val="18"/>
              </w:rPr>
              <w:t>Quantifying solubility and mineral trapping Quantifying CO</w:t>
            </w:r>
            <w:r>
              <w:rPr>
                <w:position w:val="-5"/>
                <w:sz w:val="10"/>
              </w:rPr>
              <w:t>2</w:t>
            </w:r>
            <w:r>
              <w:rPr>
                <w:sz w:val="18"/>
              </w:rPr>
              <w:t>-water-rock interactions</w:t>
            </w:r>
          </w:p>
          <w:p>
            <w:pPr>
              <w:pStyle w:val="TableParagraph"/>
              <w:spacing w:line="166" w:lineRule="exact" w:before="0"/>
              <w:ind w:left="79"/>
              <w:rPr>
                <w:sz w:val="18"/>
              </w:rPr>
            </w:pPr>
            <w:r>
              <w:rPr>
                <w:sz w:val="18"/>
              </w:rPr>
              <w:t>Detecting leakage into shallow groundwater aquifers</w:t>
            </w:r>
          </w:p>
        </w:tc>
      </w:tr>
      <w:tr>
        <w:trPr>
          <w:trHeight w:val="716" w:hRule="atLeast"/>
        </w:trPr>
        <w:tc>
          <w:tcPr>
            <w:tcW w:w="2359" w:type="dxa"/>
            <w:shd w:val="clear" w:color="auto" w:fill="F9FCF9"/>
          </w:tcPr>
          <w:p>
            <w:pPr>
              <w:pStyle w:val="TableParagraph"/>
              <w:spacing w:before="42"/>
              <w:ind w:left="78"/>
              <w:rPr>
                <w:sz w:val="18"/>
              </w:rPr>
            </w:pPr>
            <w:r>
              <w:rPr>
                <w:sz w:val="18"/>
              </w:rPr>
              <w:t>Subsurface pressure</w:t>
            </w:r>
          </w:p>
        </w:tc>
        <w:tc>
          <w:tcPr>
            <w:tcW w:w="3597" w:type="dxa"/>
            <w:shd w:val="clear" w:color="auto" w:fill="F9FCF9"/>
          </w:tcPr>
          <w:p>
            <w:pPr>
              <w:pStyle w:val="TableParagraph"/>
              <w:spacing w:line="249" w:lineRule="auto" w:before="42"/>
              <w:ind w:left="78" w:right="2094"/>
              <w:rPr>
                <w:sz w:val="18"/>
              </w:rPr>
            </w:pPr>
            <w:r>
              <w:rPr>
                <w:sz w:val="18"/>
              </w:rPr>
              <w:t>Formation pressure Annulus pressure</w:t>
            </w:r>
          </w:p>
          <w:p>
            <w:pPr>
              <w:pStyle w:val="TableParagraph"/>
              <w:spacing w:before="1"/>
              <w:ind w:left="78"/>
              <w:rPr>
                <w:sz w:val="18"/>
              </w:rPr>
            </w:pPr>
            <w:r>
              <w:rPr>
                <w:sz w:val="18"/>
              </w:rPr>
              <w:t>Groundwater aquifer pressure</w:t>
            </w:r>
          </w:p>
        </w:tc>
        <w:tc>
          <w:tcPr>
            <w:tcW w:w="4431" w:type="dxa"/>
            <w:shd w:val="clear" w:color="auto" w:fill="F9FCF9"/>
          </w:tcPr>
          <w:p>
            <w:pPr>
              <w:pStyle w:val="TableParagraph"/>
              <w:spacing w:line="249" w:lineRule="auto" w:before="42"/>
              <w:ind w:left="79"/>
              <w:rPr>
                <w:sz w:val="18"/>
              </w:rPr>
            </w:pPr>
            <w:r>
              <w:rPr>
                <w:sz w:val="18"/>
              </w:rPr>
              <w:t>Control of formation pressure below fracture gradient Wellbore and injection tubing condition</w:t>
            </w:r>
          </w:p>
          <w:p>
            <w:pPr>
              <w:pStyle w:val="TableParagraph"/>
              <w:spacing w:before="1"/>
              <w:ind w:left="79"/>
              <w:rPr>
                <w:sz w:val="18"/>
              </w:rPr>
            </w:pPr>
            <w:r>
              <w:rPr>
                <w:sz w:val="18"/>
              </w:rPr>
              <w:t>Leakage out of the storage formation</w:t>
            </w:r>
          </w:p>
        </w:tc>
      </w:tr>
      <w:tr>
        <w:trPr>
          <w:trHeight w:val="717" w:hRule="atLeast"/>
        </w:trPr>
        <w:tc>
          <w:tcPr>
            <w:tcW w:w="2359" w:type="dxa"/>
            <w:shd w:val="clear" w:color="auto" w:fill="F9FCF9"/>
          </w:tcPr>
          <w:p>
            <w:pPr>
              <w:pStyle w:val="TableParagraph"/>
              <w:spacing w:before="42"/>
              <w:ind w:left="78"/>
              <w:rPr>
                <w:sz w:val="18"/>
              </w:rPr>
            </w:pPr>
            <w:r>
              <w:rPr>
                <w:sz w:val="18"/>
              </w:rPr>
              <w:t>Well logs</w:t>
            </w:r>
          </w:p>
        </w:tc>
        <w:tc>
          <w:tcPr>
            <w:tcW w:w="3597" w:type="dxa"/>
            <w:shd w:val="clear" w:color="auto" w:fill="F9FCF9"/>
          </w:tcPr>
          <w:p>
            <w:pPr>
              <w:pStyle w:val="TableParagraph"/>
              <w:spacing w:line="216" w:lineRule="exact" w:before="37"/>
              <w:ind w:left="78" w:right="2394"/>
              <w:rPr>
                <w:sz w:val="18"/>
              </w:rPr>
            </w:pPr>
            <w:r>
              <w:rPr>
                <w:sz w:val="18"/>
              </w:rPr>
              <w:t>Brine salinity Sonic velocity CO</w:t>
            </w:r>
            <w:r>
              <w:rPr>
                <w:position w:val="-5"/>
                <w:sz w:val="10"/>
              </w:rPr>
              <w:t>2 </w:t>
            </w:r>
            <w:r>
              <w:rPr>
                <w:sz w:val="18"/>
              </w:rPr>
              <w:t>saturation</w:t>
            </w:r>
          </w:p>
        </w:tc>
        <w:tc>
          <w:tcPr>
            <w:tcW w:w="4431" w:type="dxa"/>
            <w:shd w:val="clear" w:color="auto" w:fill="F9FCF9"/>
          </w:tcPr>
          <w:p>
            <w:pPr>
              <w:pStyle w:val="TableParagraph"/>
              <w:spacing w:line="228" w:lineRule="auto" w:before="48"/>
              <w:ind w:left="79"/>
              <w:rPr>
                <w:sz w:val="18"/>
              </w:rPr>
            </w:pPr>
            <w:r>
              <w:rPr>
                <w:sz w:val="18"/>
              </w:rPr>
              <w:t>Tracking CO</w:t>
            </w:r>
            <w:r>
              <w:rPr>
                <w:position w:val="-5"/>
                <w:sz w:val="10"/>
              </w:rPr>
              <w:t>2 </w:t>
            </w:r>
            <w:r>
              <w:rPr>
                <w:sz w:val="18"/>
              </w:rPr>
              <w:t>movement in and above storage formation Tracking migration of brine into shallow aquifers Calibrating seismic velocities for 3D seismic surveys</w:t>
            </w:r>
          </w:p>
        </w:tc>
      </w:tr>
      <w:tr>
        <w:trPr>
          <w:trHeight w:val="717" w:hRule="atLeast"/>
        </w:trPr>
        <w:tc>
          <w:tcPr>
            <w:tcW w:w="2359" w:type="dxa"/>
            <w:shd w:val="clear" w:color="auto" w:fill="F9FCF9"/>
          </w:tcPr>
          <w:p>
            <w:pPr>
              <w:pStyle w:val="TableParagraph"/>
              <w:spacing w:line="249" w:lineRule="auto" w:before="42"/>
              <w:ind w:left="78" w:right="591"/>
              <w:rPr>
                <w:sz w:val="18"/>
              </w:rPr>
            </w:pPr>
            <w:r>
              <w:rPr>
                <w:sz w:val="18"/>
              </w:rPr>
              <w:t>Time-lapse 3D seismic imaging</w:t>
            </w:r>
          </w:p>
        </w:tc>
        <w:tc>
          <w:tcPr>
            <w:tcW w:w="3597" w:type="dxa"/>
            <w:shd w:val="clear" w:color="auto" w:fill="F9FCF9"/>
          </w:tcPr>
          <w:p>
            <w:pPr>
              <w:pStyle w:val="TableParagraph"/>
              <w:spacing w:line="249" w:lineRule="auto" w:before="42"/>
              <w:ind w:left="78" w:right="1889"/>
              <w:rPr>
                <w:sz w:val="18"/>
              </w:rPr>
            </w:pPr>
            <w:r>
              <w:rPr>
                <w:sz w:val="18"/>
              </w:rPr>
              <w:t>P and S wave velocity Reflection horizons</w:t>
            </w:r>
          </w:p>
          <w:p>
            <w:pPr>
              <w:pStyle w:val="TableParagraph"/>
              <w:spacing w:before="1"/>
              <w:ind w:left="78"/>
              <w:rPr>
                <w:sz w:val="18"/>
              </w:rPr>
            </w:pPr>
            <w:r>
              <w:rPr>
                <w:sz w:val="18"/>
              </w:rPr>
              <w:t>Seismic amplitude attenuation</w:t>
            </w:r>
          </w:p>
        </w:tc>
        <w:tc>
          <w:tcPr>
            <w:tcW w:w="4431" w:type="dxa"/>
            <w:shd w:val="clear" w:color="auto" w:fill="F9FCF9"/>
          </w:tcPr>
          <w:p>
            <w:pPr>
              <w:pStyle w:val="TableParagraph"/>
              <w:spacing w:before="42"/>
              <w:ind w:left="79"/>
              <w:rPr>
                <w:sz w:val="18"/>
              </w:rPr>
            </w:pPr>
            <w:r>
              <w:rPr>
                <w:sz w:val="18"/>
              </w:rPr>
              <w:t>Tracking CO</w:t>
            </w:r>
            <w:r>
              <w:rPr>
                <w:position w:val="-5"/>
                <w:sz w:val="10"/>
              </w:rPr>
              <w:t>2 </w:t>
            </w:r>
            <w:r>
              <w:rPr>
                <w:sz w:val="18"/>
              </w:rPr>
              <w:t>movement in and above storage formation</w:t>
            </w:r>
          </w:p>
        </w:tc>
      </w:tr>
      <w:tr>
        <w:trPr>
          <w:trHeight w:val="717" w:hRule="atLeast"/>
        </w:trPr>
        <w:tc>
          <w:tcPr>
            <w:tcW w:w="2359" w:type="dxa"/>
            <w:shd w:val="clear" w:color="auto" w:fill="F9FCF9"/>
          </w:tcPr>
          <w:p>
            <w:pPr>
              <w:pStyle w:val="TableParagraph"/>
              <w:spacing w:line="249" w:lineRule="auto" w:before="42"/>
              <w:ind w:left="78"/>
              <w:rPr>
                <w:sz w:val="18"/>
              </w:rPr>
            </w:pPr>
            <w:r>
              <w:rPr>
                <w:sz w:val="18"/>
              </w:rPr>
              <w:t>Vertical seismic profiling and crosswell seismic imaging</w:t>
            </w:r>
          </w:p>
        </w:tc>
        <w:tc>
          <w:tcPr>
            <w:tcW w:w="3597" w:type="dxa"/>
            <w:shd w:val="clear" w:color="auto" w:fill="F9FCF9"/>
          </w:tcPr>
          <w:p>
            <w:pPr>
              <w:pStyle w:val="TableParagraph"/>
              <w:spacing w:line="249" w:lineRule="auto" w:before="42"/>
              <w:ind w:left="78" w:right="1889"/>
              <w:rPr>
                <w:sz w:val="18"/>
              </w:rPr>
            </w:pPr>
            <w:r>
              <w:rPr>
                <w:sz w:val="18"/>
              </w:rPr>
              <w:t>P and S wave velocity Reflection horizons</w:t>
            </w:r>
          </w:p>
          <w:p>
            <w:pPr>
              <w:pStyle w:val="TableParagraph"/>
              <w:spacing w:before="1"/>
              <w:ind w:left="78"/>
              <w:rPr>
                <w:sz w:val="18"/>
              </w:rPr>
            </w:pPr>
            <w:r>
              <w:rPr>
                <w:sz w:val="18"/>
              </w:rPr>
              <w:t>Seismic amplitude attenuation</w:t>
            </w:r>
          </w:p>
        </w:tc>
        <w:tc>
          <w:tcPr>
            <w:tcW w:w="4431" w:type="dxa"/>
            <w:shd w:val="clear" w:color="auto" w:fill="F9FCF9"/>
          </w:tcPr>
          <w:p>
            <w:pPr>
              <w:pStyle w:val="TableParagraph"/>
              <w:spacing w:line="208" w:lineRule="auto" w:before="58"/>
              <w:ind w:left="79"/>
              <w:rPr>
                <w:sz w:val="18"/>
              </w:rPr>
            </w:pPr>
            <w:r>
              <w:rPr>
                <w:sz w:val="18"/>
              </w:rPr>
              <w:t>Detecting detailed distribution of CO</w:t>
            </w:r>
            <w:r>
              <w:rPr>
                <w:position w:val="-5"/>
                <w:sz w:val="10"/>
              </w:rPr>
              <w:t>2 </w:t>
            </w:r>
            <w:r>
              <w:rPr>
                <w:sz w:val="18"/>
              </w:rPr>
              <w:t>in the storage formation</w:t>
            </w:r>
          </w:p>
          <w:p>
            <w:pPr>
              <w:pStyle w:val="TableParagraph"/>
              <w:spacing w:before="13"/>
              <w:ind w:left="79"/>
              <w:rPr>
                <w:sz w:val="18"/>
              </w:rPr>
            </w:pPr>
            <w:r>
              <w:rPr>
                <w:sz w:val="18"/>
              </w:rPr>
              <w:t>Detection leakage through faults and fractures</w:t>
            </w:r>
          </w:p>
        </w:tc>
      </w:tr>
      <w:tr>
        <w:trPr>
          <w:trHeight w:val="500" w:hRule="atLeast"/>
        </w:trPr>
        <w:tc>
          <w:tcPr>
            <w:tcW w:w="2359" w:type="dxa"/>
            <w:shd w:val="clear" w:color="auto" w:fill="F9FCF9"/>
          </w:tcPr>
          <w:p>
            <w:pPr>
              <w:pStyle w:val="TableParagraph"/>
              <w:spacing w:before="42"/>
              <w:ind w:left="78"/>
              <w:rPr>
                <w:sz w:val="18"/>
              </w:rPr>
            </w:pPr>
            <w:r>
              <w:rPr>
                <w:sz w:val="18"/>
              </w:rPr>
              <w:t>Passive seismic monitoring</w:t>
            </w:r>
          </w:p>
        </w:tc>
        <w:tc>
          <w:tcPr>
            <w:tcW w:w="3597" w:type="dxa"/>
            <w:shd w:val="clear" w:color="auto" w:fill="F9FCF9"/>
          </w:tcPr>
          <w:p>
            <w:pPr>
              <w:pStyle w:val="TableParagraph"/>
              <w:spacing w:line="249" w:lineRule="auto" w:before="42"/>
              <w:ind w:left="78"/>
              <w:rPr>
                <w:sz w:val="18"/>
              </w:rPr>
            </w:pPr>
            <w:r>
              <w:rPr>
                <w:sz w:val="18"/>
              </w:rPr>
              <w:t>Location, magnitude and source characteristics of seismic events</w:t>
            </w:r>
          </w:p>
        </w:tc>
        <w:tc>
          <w:tcPr>
            <w:tcW w:w="4431" w:type="dxa"/>
            <w:shd w:val="clear" w:color="auto" w:fill="F9FCF9"/>
          </w:tcPr>
          <w:p>
            <w:pPr>
              <w:pStyle w:val="TableParagraph"/>
              <w:spacing w:line="216" w:lineRule="exact" w:before="37"/>
              <w:ind w:left="79" w:right="288"/>
              <w:rPr>
                <w:sz w:val="18"/>
              </w:rPr>
            </w:pPr>
            <w:r>
              <w:rPr>
                <w:sz w:val="18"/>
              </w:rPr>
              <w:t>Development of microfractures in formation or caprock CO</w:t>
            </w:r>
            <w:r>
              <w:rPr>
                <w:position w:val="-5"/>
                <w:sz w:val="10"/>
              </w:rPr>
              <w:t>2 </w:t>
            </w:r>
            <w:r>
              <w:rPr>
                <w:sz w:val="18"/>
              </w:rPr>
              <w:t>migration pathways</w:t>
            </w:r>
          </w:p>
        </w:tc>
      </w:tr>
      <w:tr>
        <w:trPr>
          <w:trHeight w:val="717" w:hRule="atLeast"/>
        </w:trPr>
        <w:tc>
          <w:tcPr>
            <w:tcW w:w="2359" w:type="dxa"/>
            <w:shd w:val="clear" w:color="auto" w:fill="F9FCF9"/>
          </w:tcPr>
          <w:p>
            <w:pPr>
              <w:pStyle w:val="TableParagraph"/>
              <w:spacing w:line="249" w:lineRule="auto" w:before="42"/>
              <w:ind w:left="78" w:right="62"/>
              <w:rPr>
                <w:sz w:val="18"/>
              </w:rPr>
            </w:pPr>
            <w:r>
              <w:rPr>
                <w:sz w:val="18"/>
              </w:rPr>
              <w:t>Electrical and electromagnetic techniques</w:t>
            </w:r>
          </w:p>
        </w:tc>
        <w:tc>
          <w:tcPr>
            <w:tcW w:w="3597" w:type="dxa"/>
            <w:shd w:val="clear" w:color="auto" w:fill="F9FCF9"/>
          </w:tcPr>
          <w:p>
            <w:pPr>
              <w:pStyle w:val="TableParagraph"/>
              <w:spacing w:line="249" w:lineRule="auto" w:before="42"/>
              <w:ind w:left="78" w:right="1584"/>
              <w:rPr>
                <w:sz w:val="18"/>
              </w:rPr>
            </w:pPr>
            <w:r>
              <w:rPr>
                <w:sz w:val="18"/>
              </w:rPr>
              <w:t>Formation conductivity Electromagnetic induction</w:t>
            </w:r>
          </w:p>
        </w:tc>
        <w:tc>
          <w:tcPr>
            <w:tcW w:w="4431" w:type="dxa"/>
            <w:shd w:val="clear" w:color="auto" w:fill="F9FCF9"/>
          </w:tcPr>
          <w:p>
            <w:pPr>
              <w:pStyle w:val="TableParagraph"/>
              <w:spacing w:line="208" w:lineRule="auto" w:before="58"/>
              <w:ind w:left="79"/>
              <w:rPr>
                <w:sz w:val="18"/>
              </w:rPr>
            </w:pPr>
            <w:r>
              <w:rPr>
                <w:sz w:val="18"/>
              </w:rPr>
              <w:t>Tracking movement of CO</w:t>
            </w:r>
            <w:r>
              <w:rPr>
                <w:position w:val="-5"/>
                <w:sz w:val="10"/>
              </w:rPr>
              <w:t>2 </w:t>
            </w:r>
            <w:r>
              <w:rPr>
                <w:sz w:val="18"/>
              </w:rPr>
              <w:t>in and above the storage formation</w:t>
            </w:r>
          </w:p>
          <w:p>
            <w:pPr>
              <w:pStyle w:val="TableParagraph"/>
              <w:spacing w:before="13"/>
              <w:ind w:left="79"/>
              <w:rPr>
                <w:sz w:val="18"/>
              </w:rPr>
            </w:pPr>
            <w:r>
              <w:rPr>
                <w:sz w:val="18"/>
              </w:rPr>
              <w:t>Detecting migration of brine into shallow aquifers</w:t>
            </w:r>
          </w:p>
        </w:tc>
      </w:tr>
      <w:tr>
        <w:trPr>
          <w:trHeight w:val="501" w:hRule="atLeast"/>
        </w:trPr>
        <w:tc>
          <w:tcPr>
            <w:tcW w:w="2359" w:type="dxa"/>
            <w:shd w:val="clear" w:color="auto" w:fill="F9FCF9"/>
          </w:tcPr>
          <w:p>
            <w:pPr>
              <w:pStyle w:val="TableParagraph"/>
              <w:spacing w:line="249" w:lineRule="auto" w:before="42"/>
              <w:ind w:left="78" w:right="886"/>
              <w:rPr>
                <w:sz w:val="18"/>
              </w:rPr>
            </w:pPr>
            <w:r>
              <w:rPr>
                <w:sz w:val="18"/>
              </w:rPr>
              <w:t>Time-lapse gravity measurements</w:t>
            </w:r>
          </w:p>
        </w:tc>
        <w:tc>
          <w:tcPr>
            <w:tcW w:w="3597" w:type="dxa"/>
            <w:shd w:val="clear" w:color="auto" w:fill="F9FCF9"/>
          </w:tcPr>
          <w:p>
            <w:pPr>
              <w:pStyle w:val="TableParagraph"/>
              <w:spacing w:before="42"/>
              <w:ind w:left="78"/>
              <w:rPr>
                <w:sz w:val="18"/>
              </w:rPr>
            </w:pPr>
            <w:r>
              <w:rPr>
                <w:sz w:val="18"/>
              </w:rPr>
              <w:t>Density changes caused by fluid displacement</w:t>
            </w:r>
          </w:p>
        </w:tc>
        <w:tc>
          <w:tcPr>
            <w:tcW w:w="4431" w:type="dxa"/>
            <w:shd w:val="clear" w:color="auto" w:fill="F9FCF9"/>
          </w:tcPr>
          <w:p>
            <w:pPr>
              <w:pStyle w:val="TableParagraph"/>
              <w:spacing w:line="216" w:lineRule="exact" w:before="37"/>
              <w:ind w:left="79" w:right="288"/>
              <w:rPr>
                <w:sz w:val="18"/>
              </w:rPr>
            </w:pPr>
            <w:r>
              <w:rPr>
                <w:sz w:val="18"/>
              </w:rPr>
              <w:t>Detect CO</w:t>
            </w:r>
            <w:r>
              <w:rPr>
                <w:position w:val="-5"/>
                <w:sz w:val="10"/>
              </w:rPr>
              <w:t>2 </w:t>
            </w:r>
            <w:r>
              <w:rPr>
                <w:sz w:val="18"/>
              </w:rPr>
              <w:t>movement in or above storage formation CO</w:t>
            </w:r>
            <w:r>
              <w:rPr>
                <w:position w:val="-5"/>
                <w:sz w:val="10"/>
              </w:rPr>
              <w:t>2 </w:t>
            </w:r>
            <w:r>
              <w:rPr>
                <w:sz w:val="18"/>
              </w:rPr>
              <w:t>mass balance in the subsurface</w:t>
            </w:r>
          </w:p>
        </w:tc>
      </w:tr>
      <w:tr>
        <w:trPr>
          <w:trHeight w:val="716" w:hRule="atLeast"/>
        </w:trPr>
        <w:tc>
          <w:tcPr>
            <w:tcW w:w="2359" w:type="dxa"/>
            <w:shd w:val="clear" w:color="auto" w:fill="F9FCF9"/>
          </w:tcPr>
          <w:p>
            <w:pPr>
              <w:pStyle w:val="TableParagraph"/>
              <w:spacing w:before="42"/>
              <w:ind w:left="78"/>
              <w:rPr>
                <w:sz w:val="18"/>
              </w:rPr>
            </w:pPr>
            <w:r>
              <w:rPr>
                <w:sz w:val="18"/>
              </w:rPr>
              <w:t>Land surface deformation</w:t>
            </w:r>
          </w:p>
        </w:tc>
        <w:tc>
          <w:tcPr>
            <w:tcW w:w="3597" w:type="dxa"/>
            <w:shd w:val="clear" w:color="auto" w:fill="F9FCF9"/>
          </w:tcPr>
          <w:p>
            <w:pPr>
              <w:pStyle w:val="TableParagraph"/>
              <w:spacing w:before="42"/>
              <w:ind w:left="78"/>
              <w:rPr>
                <w:sz w:val="18"/>
              </w:rPr>
            </w:pPr>
            <w:r>
              <w:rPr>
                <w:sz w:val="18"/>
              </w:rPr>
              <w:t>Tilt</w:t>
            </w:r>
          </w:p>
          <w:p>
            <w:pPr>
              <w:pStyle w:val="TableParagraph"/>
              <w:spacing w:line="249" w:lineRule="auto" w:before="9"/>
              <w:ind w:left="78" w:right="400"/>
              <w:rPr>
                <w:sz w:val="18"/>
              </w:rPr>
            </w:pPr>
            <w:r>
              <w:rPr>
                <w:sz w:val="18"/>
              </w:rPr>
              <w:t>Vertical and horizontal displacement using interferometry and GPS</w:t>
            </w:r>
          </w:p>
        </w:tc>
        <w:tc>
          <w:tcPr>
            <w:tcW w:w="4431" w:type="dxa"/>
            <w:shd w:val="clear" w:color="auto" w:fill="F9FCF9"/>
          </w:tcPr>
          <w:p>
            <w:pPr>
              <w:pStyle w:val="TableParagraph"/>
              <w:spacing w:line="249" w:lineRule="auto" w:before="42"/>
              <w:ind w:left="79"/>
              <w:rPr>
                <w:sz w:val="18"/>
              </w:rPr>
            </w:pPr>
            <w:r>
              <w:rPr>
                <w:sz w:val="18"/>
              </w:rPr>
              <w:t>Detect geomechanical effects on storage formation and caprock</w:t>
            </w:r>
          </w:p>
          <w:p>
            <w:pPr>
              <w:pStyle w:val="TableParagraph"/>
              <w:spacing w:line="223" w:lineRule="exact" w:before="1"/>
              <w:ind w:left="79"/>
              <w:rPr>
                <w:sz w:val="18"/>
              </w:rPr>
            </w:pPr>
            <w:r>
              <w:rPr>
                <w:sz w:val="18"/>
              </w:rPr>
              <w:t>Locate CO</w:t>
            </w:r>
            <w:r>
              <w:rPr>
                <w:position w:val="-5"/>
                <w:sz w:val="10"/>
              </w:rPr>
              <w:t>2 </w:t>
            </w:r>
            <w:r>
              <w:rPr>
                <w:sz w:val="18"/>
              </w:rPr>
              <w:t>migration pathways</w:t>
            </w:r>
          </w:p>
        </w:tc>
      </w:tr>
      <w:tr>
        <w:trPr>
          <w:trHeight w:val="501" w:hRule="atLeast"/>
        </w:trPr>
        <w:tc>
          <w:tcPr>
            <w:tcW w:w="2359" w:type="dxa"/>
            <w:shd w:val="clear" w:color="auto" w:fill="F9FCF9"/>
          </w:tcPr>
          <w:p>
            <w:pPr>
              <w:pStyle w:val="TableParagraph"/>
              <w:spacing w:line="249" w:lineRule="auto" w:before="42"/>
              <w:ind w:left="78" w:right="176"/>
              <w:rPr>
                <w:sz w:val="18"/>
              </w:rPr>
            </w:pPr>
            <w:r>
              <w:rPr>
                <w:sz w:val="18"/>
              </w:rPr>
              <w:t>Visible and infrared imaging from satellite or planes</w:t>
            </w:r>
          </w:p>
        </w:tc>
        <w:tc>
          <w:tcPr>
            <w:tcW w:w="3597" w:type="dxa"/>
            <w:shd w:val="clear" w:color="auto" w:fill="F9FCF9"/>
          </w:tcPr>
          <w:p>
            <w:pPr>
              <w:pStyle w:val="TableParagraph"/>
              <w:spacing w:before="42"/>
              <w:ind w:left="78"/>
              <w:rPr>
                <w:sz w:val="18"/>
              </w:rPr>
            </w:pPr>
            <w:r>
              <w:rPr>
                <w:sz w:val="18"/>
              </w:rPr>
              <w:t>Hyperspectral imaging of land surface</w:t>
            </w:r>
          </w:p>
        </w:tc>
        <w:tc>
          <w:tcPr>
            <w:tcW w:w="4431" w:type="dxa"/>
            <w:shd w:val="clear" w:color="auto" w:fill="F9FCF9"/>
          </w:tcPr>
          <w:p>
            <w:pPr>
              <w:pStyle w:val="TableParagraph"/>
              <w:spacing w:before="42"/>
              <w:ind w:left="79"/>
              <w:rPr>
                <w:sz w:val="18"/>
              </w:rPr>
            </w:pPr>
            <w:r>
              <w:rPr>
                <w:sz w:val="18"/>
              </w:rPr>
              <w:t>Detect vegetative stress</w:t>
            </w:r>
          </w:p>
        </w:tc>
      </w:tr>
      <w:tr>
        <w:trPr>
          <w:trHeight w:val="716" w:hRule="atLeast"/>
        </w:trPr>
        <w:tc>
          <w:tcPr>
            <w:tcW w:w="2359" w:type="dxa"/>
            <w:shd w:val="clear" w:color="auto" w:fill="F9FCF9"/>
          </w:tcPr>
          <w:p>
            <w:pPr>
              <w:pStyle w:val="TableParagraph"/>
              <w:spacing w:line="228" w:lineRule="auto" w:before="48"/>
              <w:ind w:left="78" w:right="192"/>
              <w:rPr>
                <w:sz w:val="18"/>
              </w:rPr>
            </w:pPr>
            <w:r>
              <w:rPr>
                <w:sz w:val="18"/>
              </w:rPr>
              <w:t>CO</w:t>
            </w:r>
            <w:r>
              <w:rPr>
                <w:position w:val="-5"/>
                <w:sz w:val="10"/>
              </w:rPr>
              <w:t>2 </w:t>
            </w:r>
            <w:r>
              <w:rPr>
                <w:sz w:val="18"/>
              </w:rPr>
              <w:t>land surface flux monitoring using flux chambers or eddycovariance</w:t>
            </w:r>
          </w:p>
        </w:tc>
        <w:tc>
          <w:tcPr>
            <w:tcW w:w="3597" w:type="dxa"/>
            <w:shd w:val="clear" w:color="auto" w:fill="F9FCF9"/>
          </w:tcPr>
          <w:p>
            <w:pPr>
              <w:pStyle w:val="TableParagraph"/>
              <w:spacing w:line="208" w:lineRule="auto" w:before="58"/>
              <w:ind w:left="78"/>
              <w:rPr>
                <w:sz w:val="18"/>
              </w:rPr>
            </w:pPr>
            <w:r>
              <w:rPr>
                <w:sz w:val="18"/>
              </w:rPr>
              <w:t>CO</w:t>
            </w:r>
            <w:r>
              <w:rPr>
                <w:position w:val="-5"/>
                <w:sz w:val="10"/>
              </w:rPr>
              <w:t>2 </w:t>
            </w:r>
            <w:r>
              <w:rPr>
                <w:sz w:val="18"/>
              </w:rPr>
              <w:t>fluxes between the land surface and atmosphere</w:t>
            </w:r>
          </w:p>
        </w:tc>
        <w:tc>
          <w:tcPr>
            <w:tcW w:w="4431" w:type="dxa"/>
            <w:shd w:val="clear" w:color="auto" w:fill="F9FCF9"/>
          </w:tcPr>
          <w:p>
            <w:pPr>
              <w:pStyle w:val="TableParagraph"/>
              <w:spacing w:before="42"/>
              <w:ind w:left="79"/>
              <w:rPr>
                <w:sz w:val="18"/>
              </w:rPr>
            </w:pPr>
            <w:r>
              <w:rPr>
                <w:sz w:val="18"/>
              </w:rPr>
              <w:t>Detect, locate and quantify CO</w:t>
            </w:r>
            <w:r>
              <w:rPr>
                <w:position w:val="-5"/>
                <w:sz w:val="10"/>
              </w:rPr>
              <w:t>2 </w:t>
            </w:r>
            <w:r>
              <w:rPr>
                <w:sz w:val="18"/>
              </w:rPr>
              <w:t>releases</w:t>
            </w:r>
          </w:p>
        </w:tc>
      </w:tr>
      <w:tr>
        <w:trPr>
          <w:trHeight w:val="717" w:hRule="atLeast"/>
        </w:trPr>
        <w:tc>
          <w:tcPr>
            <w:tcW w:w="2359" w:type="dxa"/>
            <w:shd w:val="clear" w:color="auto" w:fill="F9FCF9"/>
          </w:tcPr>
          <w:p>
            <w:pPr>
              <w:pStyle w:val="TableParagraph"/>
              <w:spacing w:before="42"/>
              <w:ind w:left="78"/>
              <w:rPr>
                <w:sz w:val="18"/>
              </w:rPr>
            </w:pPr>
            <w:r>
              <w:rPr>
                <w:sz w:val="18"/>
              </w:rPr>
              <w:t>Soil gas sampling</w:t>
            </w:r>
          </w:p>
        </w:tc>
        <w:tc>
          <w:tcPr>
            <w:tcW w:w="3597" w:type="dxa"/>
            <w:shd w:val="clear" w:color="auto" w:fill="F9FCF9"/>
          </w:tcPr>
          <w:p>
            <w:pPr>
              <w:pStyle w:val="TableParagraph"/>
              <w:spacing w:line="249" w:lineRule="auto" w:before="42"/>
              <w:ind w:left="78" w:right="1744"/>
              <w:rPr>
                <w:sz w:val="10"/>
              </w:rPr>
            </w:pPr>
            <w:r>
              <w:rPr>
                <w:sz w:val="18"/>
              </w:rPr>
              <w:t>Soil gas composition Isotopic analysis of CO</w:t>
            </w:r>
            <w:r>
              <w:rPr>
                <w:position w:val="-5"/>
                <w:sz w:val="10"/>
              </w:rPr>
              <w:t>2</w:t>
            </w:r>
          </w:p>
        </w:tc>
        <w:tc>
          <w:tcPr>
            <w:tcW w:w="4431" w:type="dxa"/>
            <w:shd w:val="clear" w:color="auto" w:fill="F9FCF9"/>
          </w:tcPr>
          <w:p>
            <w:pPr>
              <w:pStyle w:val="TableParagraph"/>
              <w:spacing w:line="233" w:lineRule="exact" w:before="42"/>
              <w:ind w:left="79"/>
              <w:rPr>
                <w:sz w:val="10"/>
              </w:rPr>
            </w:pPr>
            <w:r>
              <w:rPr>
                <w:sz w:val="18"/>
              </w:rPr>
              <w:t>Detect elevated levels of CO</w:t>
            </w:r>
            <w:r>
              <w:rPr>
                <w:position w:val="-5"/>
                <w:sz w:val="10"/>
              </w:rPr>
              <w:t>2</w:t>
            </w:r>
          </w:p>
          <w:p>
            <w:pPr>
              <w:pStyle w:val="TableParagraph"/>
              <w:spacing w:line="208" w:lineRule="auto" w:before="0"/>
              <w:ind w:left="79" w:right="1182"/>
              <w:rPr>
                <w:sz w:val="18"/>
              </w:rPr>
            </w:pPr>
            <w:r>
              <w:rPr>
                <w:sz w:val="18"/>
              </w:rPr>
              <w:t>Identify source of elevated soil gas CO</w:t>
            </w:r>
            <w:r>
              <w:rPr>
                <w:position w:val="-5"/>
                <w:sz w:val="10"/>
              </w:rPr>
              <w:t>2 </w:t>
            </w:r>
            <w:r>
              <w:rPr>
                <w:sz w:val="18"/>
              </w:rPr>
              <w:t>Evaluate ecosystem impacts</w:t>
            </w:r>
          </w:p>
        </w:tc>
      </w:tr>
    </w:tbl>
    <w:p>
      <w:pPr>
        <w:pStyle w:val="BodyText"/>
        <w:spacing w:before="3"/>
        <w:rPr>
          <w:sz w:val="19"/>
        </w:rPr>
      </w:pPr>
    </w:p>
    <w:p>
      <w:pPr>
        <w:spacing w:after="0"/>
        <w:rPr>
          <w:sz w:val="19"/>
        </w:rPr>
        <w:sectPr>
          <w:pgSz w:w="12240" w:h="15840"/>
          <w:pgMar w:header="567" w:footer="0" w:top="760" w:bottom="280" w:left="580" w:right="600"/>
        </w:sectPr>
      </w:pPr>
    </w:p>
    <w:p>
      <w:pPr>
        <w:pStyle w:val="BodyText"/>
        <w:spacing w:line="240" w:lineRule="exact" w:before="59"/>
        <w:ind w:left="157" w:right="38" w:firstLine="283"/>
        <w:jc w:val="both"/>
      </w:pPr>
      <w:r>
        <w:rPr/>
        <w:t>A more accurate approach is to use tracers (gases or </w:t>
      </w:r>
      <w:r>
        <w:rPr>
          <w:spacing w:val="-4"/>
        </w:rPr>
        <w:t>gas </w:t>
      </w:r>
      <w:r>
        <w:rPr/>
        <w:t>isotopes</w:t>
      </w:r>
      <w:r>
        <w:rPr>
          <w:spacing w:val="-24"/>
        </w:rPr>
        <w:t> </w:t>
      </w:r>
      <w:r>
        <w:rPr/>
        <w:t>not</w:t>
      </w:r>
      <w:r>
        <w:rPr>
          <w:spacing w:val="-24"/>
        </w:rPr>
        <w:t> </w:t>
      </w:r>
      <w:r>
        <w:rPr/>
        <w:t>present</w:t>
      </w:r>
      <w:r>
        <w:rPr>
          <w:spacing w:val="-23"/>
        </w:rPr>
        <w:t> </w:t>
      </w:r>
      <w:r>
        <w:rPr/>
        <w:t>in</w:t>
      </w:r>
      <w:r>
        <w:rPr>
          <w:spacing w:val="-24"/>
        </w:rPr>
        <w:t> </w:t>
      </w:r>
      <w:r>
        <w:rPr/>
        <w:t>the</w:t>
      </w:r>
      <w:r>
        <w:rPr>
          <w:spacing w:val="-23"/>
        </w:rPr>
        <w:t> </w:t>
      </w:r>
      <w:r>
        <w:rPr/>
        <w:t>reservoir</w:t>
      </w:r>
      <w:r>
        <w:rPr>
          <w:spacing w:val="-24"/>
        </w:rPr>
        <w:t> </w:t>
      </w:r>
      <w:r>
        <w:rPr/>
        <w:t>system)</w:t>
      </w:r>
      <w:r>
        <w:rPr>
          <w:spacing w:val="-23"/>
        </w:rPr>
        <w:t> </w:t>
      </w:r>
      <w:r>
        <w:rPr/>
        <w:t>injected</w:t>
      </w:r>
      <w:r>
        <w:rPr>
          <w:spacing w:val="-24"/>
        </w:rPr>
        <w:t> </w:t>
      </w:r>
      <w:r>
        <w:rPr/>
        <w:t>into</w:t>
      </w:r>
      <w:r>
        <w:rPr>
          <w:spacing w:val="-23"/>
        </w:rPr>
        <w:t> </w:t>
      </w:r>
      <w:r>
        <w:rPr/>
        <w:t>specific wells. The timing of the arrival of the tracers at production    or monitoring wells will indicate the path the CO</w:t>
      </w:r>
      <w:r>
        <w:rPr>
          <w:position w:val="-6"/>
          <w:sz w:val="11"/>
        </w:rPr>
        <w:t>2 </w:t>
      </w:r>
      <w:r>
        <w:rPr/>
        <w:t>is taking through the reservoir. Monitoring wells may also be used to passively record the movement of CO</w:t>
      </w:r>
      <w:r>
        <w:rPr>
          <w:position w:val="-6"/>
          <w:sz w:val="11"/>
        </w:rPr>
        <w:t>2 </w:t>
      </w:r>
      <w:r>
        <w:rPr/>
        <w:t>past the well, although it should be noted that the use of such invasive techniques potentially</w:t>
      </w:r>
      <w:r>
        <w:rPr>
          <w:spacing w:val="-11"/>
        </w:rPr>
        <w:t> </w:t>
      </w:r>
      <w:r>
        <w:rPr/>
        <w:t>creates</w:t>
      </w:r>
      <w:r>
        <w:rPr>
          <w:spacing w:val="-11"/>
        </w:rPr>
        <w:t> </w:t>
      </w:r>
      <w:r>
        <w:rPr/>
        <w:t>new</w:t>
      </w:r>
      <w:r>
        <w:rPr>
          <w:spacing w:val="-11"/>
        </w:rPr>
        <w:t> </w:t>
      </w:r>
      <w:r>
        <w:rPr/>
        <w:t>pathways</w:t>
      </w:r>
      <w:r>
        <w:rPr>
          <w:spacing w:val="-11"/>
        </w:rPr>
        <w:t> </w:t>
      </w:r>
      <w:r>
        <w:rPr/>
        <w:t>for</w:t>
      </w:r>
      <w:r>
        <w:rPr>
          <w:spacing w:val="-10"/>
        </w:rPr>
        <w:t> </w:t>
      </w:r>
      <w:r>
        <w:rPr/>
        <w:t>leakage</w:t>
      </w:r>
      <w:r>
        <w:rPr>
          <w:spacing w:val="-11"/>
        </w:rPr>
        <w:t> </w:t>
      </w:r>
      <w:r>
        <w:rPr/>
        <w:t>to</w:t>
      </w:r>
      <w:r>
        <w:rPr>
          <w:spacing w:val="-11"/>
        </w:rPr>
        <w:t> </w:t>
      </w:r>
      <w:r>
        <w:rPr/>
        <w:t>the</w:t>
      </w:r>
      <w:r>
        <w:rPr>
          <w:spacing w:val="-11"/>
        </w:rPr>
        <w:t> </w:t>
      </w:r>
      <w:r>
        <w:rPr/>
        <w:t>surface.</w:t>
      </w:r>
      <w:r>
        <w:rPr>
          <w:spacing w:val="-14"/>
        </w:rPr>
        <w:t> </w:t>
      </w:r>
      <w:r>
        <w:rPr/>
        <w:t>The movement</w:t>
      </w:r>
      <w:r>
        <w:rPr>
          <w:spacing w:val="-6"/>
        </w:rPr>
        <w:t> </w:t>
      </w:r>
      <w:r>
        <w:rPr/>
        <w:t>of</w:t>
      </w:r>
      <w:r>
        <w:rPr>
          <w:spacing w:val="-5"/>
        </w:rPr>
        <w:t> </w:t>
      </w:r>
      <w:r>
        <w:rPr/>
        <w:t>tracers</w:t>
      </w:r>
      <w:r>
        <w:rPr>
          <w:spacing w:val="-5"/>
        </w:rPr>
        <w:t> </w:t>
      </w:r>
      <w:r>
        <w:rPr/>
        <w:t>or</w:t>
      </w:r>
      <w:r>
        <w:rPr>
          <w:spacing w:val="-5"/>
        </w:rPr>
        <w:t> </w:t>
      </w:r>
      <w:r>
        <w:rPr/>
        <w:t>isotopically</w:t>
      </w:r>
      <w:r>
        <w:rPr>
          <w:spacing w:val="-6"/>
        </w:rPr>
        <w:t> </w:t>
      </w:r>
      <w:r>
        <w:rPr/>
        <w:t>distinct</w:t>
      </w:r>
      <w:r>
        <w:rPr>
          <w:spacing w:val="-5"/>
        </w:rPr>
        <w:t> </w:t>
      </w:r>
      <w:r>
        <w:rPr/>
        <w:t>carbon</w:t>
      </w:r>
      <w:r>
        <w:rPr>
          <w:spacing w:val="-5"/>
        </w:rPr>
        <w:t> </w:t>
      </w:r>
      <w:r>
        <w:rPr/>
        <w:t>(in</w:t>
      </w:r>
      <w:r>
        <w:rPr>
          <w:spacing w:val="-5"/>
        </w:rPr>
        <w:t> </w:t>
      </w:r>
      <w:r>
        <w:rPr/>
        <w:t>the</w:t>
      </w:r>
      <w:r>
        <w:rPr>
          <w:spacing w:val="-5"/>
        </w:rPr>
        <w:t> CO</w:t>
      </w:r>
      <w:r>
        <w:rPr>
          <w:spacing w:val="-5"/>
          <w:position w:val="-6"/>
          <w:sz w:val="11"/>
        </w:rPr>
        <w:t>2</w:t>
      </w:r>
      <w:r>
        <w:rPr>
          <w:spacing w:val="-5"/>
        </w:rPr>
        <w:t>) </w:t>
      </w:r>
      <w:r>
        <w:rPr/>
        <w:t>to production or monitoring wells provides some indication of the</w:t>
      </w:r>
      <w:r>
        <w:rPr>
          <w:spacing w:val="-8"/>
        </w:rPr>
        <w:t> </w:t>
      </w:r>
      <w:r>
        <w:rPr/>
        <w:t>lateral</w:t>
      </w:r>
      <w:r>
        <w:rPr>
          <w:spacing w:val="-7"/>
        </w:rPr>
        <w:t> </w:t>
      </w:r>
      <w:r>
        <w:rPr/>
        <w:t>distribution</w:t>
      </w:r>
      <w:r>
        <w:rPr>
          <w:spacing w:val="-7"/>
        </w:rPr>
        <w:t> </w:t>
      </w:r>
      <w:r>
        <w:rPr/>
        <w:t>of</w:t>
      </w:r>
      <w:r>
        <w:rPr>
          <w:spacing w:val="-8"/>
        </w:rPr>
        <w:t> </w:t>
      </w:r>
      <w:r>
        <w:rPr/>
        <w:t>the</w:t>
      </w:r>
      <w:r>
        <w:rPr>
          <w:spacing w:val="-7"/>
        </w:rPr>
        <w:t> </w:t>
      </w:r>
      <w:r>
        <w:rPr/>
        <w:t>CO</w:t>
      </w:r>
      <w:r>
        <w:rPr>
          <w:position w:val="-6"/>
          <w:sz w:val="11"/>
        </w:rPr>
        <w:t>2</w:t>
      </w:r>
      <w:r>
        <w:rPr>
          <w:spacing w:val="15"/>
          <w:position w:val="-6"/>
          <w:sz w:val="11"/>
        </w:rPr>
        <w:t> </w:t>
      </w:r>
      <w:r>
        <w:rPr/>
        <w:t>in</w:t>
      </w:r>
      <w:r>
        <w:rPr>
          <w:spacing w:val="-7"/>
        </w:rPr>
        <w:t> </w:t>
      </w:r>
      <w:r>
        <w:rPr/>
        <w:t>a</w:t>
      </w:r>
      <w:r>
        <w:rPr>
          <w:spacing w:val="-7"/>
        </w:rPr>
        <w:t> </w:t>
      </w:r>
      <w:r>
        <w:rPr/>
        <w:t>storage</w:t>
      </w:r>
      <w:r>
        <w:rPr>
          <w:spacing w:val="-8"/>
        </w:rPr>
        <w:t> </w:t>
      </w:r>
      <w:r>
        <w:rPr/>
        <w:t>reservoir.</w:t>
      </w:r>
      <w:r>
        <w:rPr>
          <w:spacing w:val="-7"/>
        </w:rPr>
        <w:t> </w:t>
      </w:r>
      <w:r>
        <w:rPr/>
        <w:t>In</w:t>
      </w:r>
      <w:r>
        <w:rPr>
          <w:spacing w:val="-7"/>
        </w:rPr>
        <w:t> </w:t>
      </w:r>
      <w:r>
        <w:rPr/>
        <w:t>thick formations, multiple sampling along vertical monitoring or production wells would provide some indication of the vertical distribution of the CO</w:t>
      </w:r>
      <w:r>
        <w:rPr>
          <w:position w:val="-6"/>
          <w:sz w:val="11"/>
        </w:rPr>
        <w:t>2 </w:t>
      </w:r>
      <w:r>
        <w:rPr/>
        <w:t>in the formation. With many wells and frequently</w:t>
      </w:r>
      <w:r>
        <w:rPr>
          <w:spacing w:val="29"/>
        </w:rPr>
        <w:t> </w:t>
      </w:r>
      <w:r>
        <w:rPr/>
        <w:t>in</w:t>
      </w:r>
      <w:r>
        <w:rPr>
          <w:spacing w:val="29"/>
        </w:rPr>
        <w:t> </w:t>
      </w:r>
      <w:r>
        <w:rPr/>
        <w:t>horizontal</w:t>
      </w:r>
      <w:r>
        <w:rPr>
          <w:spacing w:val="30"/>
        </w:rPr>
        <w:t> </w:t>
      </w:r>
      <w:r>
        <w:rPr/>
        <w:t>wells,</w:t>
      </w:r>
      <w:r>
        <w:rPr>
          <w:spacing w:val="29"/>
        </w:rPr>
        <w:t> </w:t>
      </w:r>
      <w:r>
        <w:rPr/>
        <w:t>the</w:t>
      </w:r>
      <w:r>
        <w:rPr>
          <w:spacing w:val="30"/>
        </w:rPr>
        <w:t> </w:t>
      </w:r>
      <w:r>
        <w:rPr/>
        <w:t>lack</w:t>
      </w:r>
      <w:r>
        <w:rPr>
          <w:spacing w:val="29"/>
        </w:rPr>
        <w:t> </w:t>
      </w:r>
      <w:r>
        <w:rPr/>
        <w:t>of</w:t>
      </w:r>
      <w:r>
        <w:rPr>
          <w:spacing w:val="30"/>
        </w:rPr>
        <w:t> </w:t>
      </w:r>
      <w:r>
        <w:rPr/>
        <w:t>casing</w:t>
      </w:r>
      <w:r>
        <w:rPr>
          <w:spacing w:val="29"/>
        </w:rPr>
        <w:t> </w:t>
      </w:r>
      <w:r>
        <w:rPr/>
        <w:t>(open</w:t>
      </w:r>
      <w:r>
        <w:rPr>
          <w:spacing w:val="30"/>
        </w:rPr>
        <w:t> </w:t>
      </w:r>
      <w:r>
        <w:rPr/>
        <w:t>hole</w:t>
      </w:r>
    </w:p>
    <w:p>
      <w:pPr>
        <w:pStyle w:val="BodyText"/>
        <w:spacing w:line="240" w:lineRule="exact" w:before="59"/>
        <w:ind w:left="157" w:right="530"/>
        <w:jc w:val="right"/>
      </w:pPr>
      <w:r>
        <w:rPr/>
        <w:br w:type="column"/>
      </w:r>
      <w:r>
        <w:rPr/>
        <w:t>completion)</w:t>
      </w:r>
      <w:r>
        <w:rPr>
          <w:spacing w:val="30"/>
        </w:rPr>
        <w:t> </w:t>
      </w:r>
      <w:r>
        <w:rPr/>
        <w:t>precludes</w:t>
      </w:r>
      <w:r>
        <w:rPr>
          <w:spacing w:val="30"/>
        </w:rPr>
        <w:t> </w:t>
      </w:r>
      <w:r>
        <w:rPr/>
        <w:t>direct</w:t>
      </w:r>
      <w:r>
        <w:rPr>
          <w:spacing w:val="30"/>
        </w:rPr>
        <w:t> </w:t>
      </w:r>
      <w:r>
        <w:rPr/>
        <w:t>measurement</w:t>
      </w:r>
      <w:r>
        <w:rPr>
          <w:spacing w:val="30"/>
        </w:rPr>
        <w:t> </w:t>
      </w:r>
      <w:r>
        <w:rPr/>
        <w:t>of</w:t>
      </w:r>
      <w:r>
        <w:rPr>
          <w:spacing w:val="31"/>
        </w:rPr>
        <w:t> </w:t>
      </w:r>
      <w:r>
        <w:rPr/>
        <w:t>the</w:t>
      </w:r>
      <w:r>
        <w:rPr>
          <w:spacing w:val="31"/>
        </w:rPr>
        <w:t> </w:t>
      </w:r>
      <w:r>
        <w:rPr/>
        <w:t>location</w:t>
      </w:r>
      <w:r>
        <w:rPr>
          <w:spacing w:val="30"/>
        </w:rPr>
        <w:t> </w:t>
      </w:r>
      <w:r>
        <w:rPr>
          <w:spacing w:val="-6"/>
        </w:rPr>
        <w:t>of</w:t>
      </w:r>
      <w:r>
        <w:rPr/>
        <w:t> CO</w:t>
      </w:r>
      <w:r>
        <w:rPr>
          <w:position w:val="-6"/>
          <w:sz w:val="11"/>
        </w:rPr>
        <w:t>2</w:t>
      </w:r>
      <w:r>
        <w:rPr>
          <w:spacing w:val="25"/>
          <w:position w:val="-6"/>
          <w:sz w:val="11"/>
        </w:rPr>
        <w:t> </w:t>
      </w:r>
      <w:r>
        <w:rPr/>
        <w:t>influx</w:t>
      </w:r>
      <w:r>
        <w:rPr>
          <w:spacing w:val="31"/>
        </w:rPr>
        <w:t> </w:t>
      </w:r>
      <w:r>
        <w:rPr/>
        <w:t>along</w:t>
      </w:r>
      <w:r>
        <w:rPr>
          <w:spacing w:val="31"/>
        </w:rPr>
        <w:t> </w:t>
      </w:r>
      <w:r>
        <w:rPr/>
        <w:t>the</w:t>
      </w:r>
      <w:r>
        <w:rPr>
          <w:spacing w:val="31"/>
        </w:rPr>
        <w:t> </w:t>
      </w:r>
      <w:r>
        <w:rPr/>
        <w:t>length</w:t>
      </w:r>
      <w:r>
        <w:rPr>
          <w:spacing w:val="30"/>
        </w:rPr>
        <w:t> </w:t>
      </w:r>
      <w:r>
        <w:rPr/>
        <w:t>of</w:t>
      </w:r>
      <w:r>
        <w:rPr>
          <w:spacing w:val="31"/>
        </w:rPr>
        <w:t> </w:t>
      </w:r>
      <w:r>
        <w:rPr/>
        <w:t>the</w:t>
      </w:r>
      <w:r>
        <w:rPr>
          <w:spacing w:val="31"/>
        </w:rPr>
        <w:t> </w:t>
      </w:r>
      <w:r>
        <w:rPr/>
        <w:t>well,</w:t>
      </w:r>
      <w:r>
        <w:rPr>
          <w:spacing w:val="30"/>
        </w:rPr>
        <w:t> </w:t>
      </w:r>
      <w:r>
        <w:rPr/>
        <w:t>although</w:t>
      </w:r>
      <w:r>
        <w:rPr>
          <w:spacing w:val="29"/>
        </w:rPr>
        <w:t> </w:t>
      </w:r>
      <w:r>
        <w:rPr/>
        <w:t>it</w:t>
      </w:r>
      <w:r>
        <w:rPr>
          <w:spacing w:val="31"/>
        </w:rPr>
        <w:t> </w:t>
      </w:r>
      <w:r>
        <w:rPr/>
        <w:t>may</w:t>
      </w:r>
      <w:r>
        <w:rPr>
          <w:spacing w:val="31"/>
        </w:rPr>
        <w:t> </w:t>
      </w:r>
      <w:r>
        <w:rPr/>
        <w:t>be possible to run surveys to identify the location of</w:t>
      </w:r>
      <w:r>
        <w:rPr>
          <w:spacing w:val="-17"/>
        </w:rPr>
        <w:t> </w:t>
      </w:r>
      <w:r>
        <w:rPr/>
        <w:t>major</w:t>
      </w:r>
      <w:r>
        <w:rPr>
          <w:spacing w:val="-1"/>
        </w:rPr>
        <w:t> </w:t>
      </w:r>
      <w:r>
        <w:rPr/>
        <w:t>influx.</w:t>
      </w:r>
      <w:r>
        <w:rPr>
          <w:w w:val="97"/>
        </w:rPr>
        <w:t> </w:t>
      </w:r>
      <w:r>
        <w:rPr/>
        <w:t>Direct</w:t>
      </w:r>
      <w:r>
        <w:rPr>
          <w:spacing w:val="26"/>
        </w:rPr>
        <w:t> </w:t>
      </w:r>
      <w:r>
        <w:rPr/>
        <w:t>measurement</w:t>
      </w:r>
      <w:r>
        <w:rPr>
          <w:spacing w:val="28"/>
        </w:rPr>
        <w:t> </w:t>
      </w:r>
      <w:r>
        <w:rPr/>
        <w:t>of</w:t>
      </w:r>
      <w:r>
        <w:rPr>
          <w:spacing w:val="28"/>
        </w:rPr>
        <w:t> </w:t>
      </w:r>
      <w:r>
        <w:rPr/>
        <w:t>migration</w:t>
      </w:r>
      <w:r>
        <w:rPr>
          <w:spacing w:val="28"/>
        </w:rPr>
        <w:t> </w:t>
      </w:r>
      <w:r>
        <w:rPr/>
        <w:t>beyond</w:t>
      </w:r>
      <w:r>
        <w:rPr>
          <w:spacing w:val="28"/>
        </w:rPr>
        <w:t> </w:t>
      </w:r>
      <w:r>
        <w:rPr/>
        <w:t>the</w:t>
      </w:r>
      <w:r>
        <w:rPr>
          <w:spacing w:val="28"/>
        </w:rPr>
        <w:t> </w:t>
      </w:r>
      <w:r>
        <w:rPr/>
        <w:t>storage</w:t>
      </w:r>
      <w:r>
        <w:rPr>
          <w:spacing w:val="27"/>
        </w:rPr>
        <w:t> </w:t>
      </w:r>
      <w:r>
        <w:rPr/>
        <w:t>site</w:t>
      </w:r>
      <w:r>
        <w:rPr>
          <w:spacing w:val="-1"/>
        </w:rPr>
        <w:t> </w:t>
      </w:r>
      <w:r>
        <w:rPr/>
        <w:t>can be achieved in a number of ways, depending on</w:t>
      </w:r>
      <w:r>
        <w:rPr>
          <w:spacing w:val="2"/>
        </w:rPr>
        <w:t> </w:t>
      </w:r>
      <w:r>
        <w:rPr/>
        <w:t>where</w:t>
      </w:r>
      <w:r>
        <w:rPr>
          <w:spacing w:val="5"/>
        </w:rPr>
        <w:t> </w:t>
      </w:r>
      <w:r>
        <w:rPr/>
        <w:t>the migration</w:t>
      </w:r>
      <w:r>
        <w:rPr>
          <w:spacing w:val="-7"/>
        </w:rPr>
        <w:t> </w:t>
      </w:r>
      <w:r>
        <w:rPr/>
        <w:t>takes</w:t>
      </w:r>
      <w:r>
        <w:rPr>
          <w:spacing w:val="-7"/>
        </w:rPr>
        <w:t> </w:t>
      </w:r>
      <w:r>
        <w:rPr/>
        <w:t>the</w:t>
      </w:r>
      <w:r>
        <w:rPr>
          <w:spacing w:val="-7"/>
        </w:rPr>
        <w:t> </w:t>
      </w:r>
      <w:r>
        <w:rPr/>
        <w:t>CO</w:t>
      </w:r>
      <w:r>
        <w:rPr>
          <w:position w:val="-6"/>
          <w:sz w:val="11"/>
        </w:rPr>
        <w:t>2</w:t>
      </w:r>
      <w:r>
        <w:rPr/>
        <w:t>.</w:t>
      </w:r>
      <w:r>
        <w:rPr>
          <w:spacing w:val="-6"/>
        </w:rPr>
        <w:t> </w:t>
      </w:r>
      <w:r>
        <w:rPr/>
        <w:t>Comparison</w:t>
      </w:r>
      <w:r>
        <w:rPr>
          <w:spacing w:val="-7"/>
        </w:rPr>
        <w:t> </w:t>
      </w:r>
      <w:r>
        <w:rPr/>
        <w:t>between</w:t>
      </w:r>
      <w:r>
        <w:rPr>
          <w:spacing w:val="-7"/>
        </w:rPr>
        <w:t> </w:t>
      </w:r>
      <w:r>
        <w:rPr/>
        <w:t>baseline</w:t>
      </w:r>
      <w:r>
        <w:rPr>
          <w:spacing w:val="-6"/>
        </w:rPr>
        <w:t> </w:t>
      </w:r>
      <w:r>
        <w:rPr/>
        <w:t>surveys</w:t>
      </w:r>
      <w:r>
        <w:rPr>
          <w:spacing w:val="-1"/>
        </w:rPr>
        <w:t> </w:t>
      </w:r>
      <w:r>
        <w:rPr/>
        <w:t>of</w:t>
      </w:r>
      <w:r>
        <w:rPr>
          <w:spacing w:val="32"/>
        </w:rPr>
        <w:t> </w:t>
      </w:r>
      <w:r>
        <w:rPr/>
        <w:t>water</w:t>
      </w:r>
      <w:r>
        <w:rPr>
          <w:spacing w:val="33"/>
        </w:rPr>
        <w:t> </w:t>
      </w:r>
      <w:r>
        <w:rPr/>
        <w:t>quality</w:t>
      </w:r>
      <w:r>
        <w:rPr>
          <w:spacing w:val="32"/>
        </w:rPr>
        <w:t> </w:t>
      </w:r>
      <w:r>
        <w:rPr/>
        <w:t>and/or</w:t>
      </w:r>
      <w:r>
        <w:rPr>
          <w:spacing w:val="33"/>
        </w:rPr>
        <w:t> </w:t>
      </w:r>
      <w:r>
        <w:rPr/>
        <w:t>isotopic</w:t>
      </w:r>
      <w:r>
        <w:rPr>
          <w:spacing w:val="32"/>
        </w:rPr>
        <w:t> </w:t>
      </w:r>
      <w:r>
        <w:rPr/>
        <w:t>composition</w:t>
      </w:r>
      <w:r>
        <w:rPr>
          <w:spacing w:val="33"/>
        </w:rPr>
        <w:t> </w:t>
      </w:r>
      <w:r>
        <w:rPr/>
        <w:t>can</w:t>
      </w:r>
      <w:r>
        <w:rPr>
          <w:spacing w:val="32"/>
        </w:rPr>
        <w:t> </w:t>
      </w:r>
      <w:r>
        <w:rPr/>
        <w:t>be</w:t>
      </w:r>
      <w:r>
        <w:rPr>
          <w:spacing w:val="33"/>
        </w:rPr>
        <w:t> </w:t>
      </w:r>
      <w:r>
        <w:rPr/>
        <w:t>used</w:t>
      </w:r>
      <w:r>
        <w:rPr>
          <w:spacing w:val="33"/>
        </w:rPr>
        <w:t> </w:t>
      </w:r>
      <w:r>
        <w:rPr/>
        <w:t>to identify new CO</w:t>
      </w:r>
      <w:r>
        <w:rPr>
          <w:position w:val="-6"/>
          <w:sz w:val="11"/>
        </w:rPr>
        <w:t>2 </w:t>
      </w:r>
      <w:r>
        <w:rPr/>
        <w:t>arrival at a specific location from</w:t>
      </w:r>
      <w:r>
        <w:rPr>
          <w:spacing w:val="-26"/>
        </w:rPr>
        <w:t> </w:t>
      </w:r>
      <w:r>
        <w:rPr/>
        <w:t>natural</w:t>
      </w:r>
      <w:r>
        <w:rPr>
          <w:spacing w:val="-5"/>
        </w:rPr>
        <w:t> </w:t>
      </w:r>
      <w:r>
        <w:rPr/>
        <w:t>CO</w:t>
      </w:r>
      <w:r>
        <w:rPr>
          <w:position w:val="-6"/>
          <w:sz w:val="11"/>
        </w:rPr>
        <w:t>2</w:t>
      </w:r>
      <w:r>
        <w:rPr>
          <w:w w:val="106"/>
          <w:position w:val="-6"/>
          <w:sz w:val="11"/>
        </w:rPr>
        <w:t> </w:t>
      </w:r>
      <w:r>
        <w:rPr/>
        <w:t>pre-existing</w:t>
      </w:r>
      <w:r>
        <w:rPr>
          <w:spacing w:val="-25"/>
        </w:rPr>
        <w:t> </w:t>
      </w:r>
      <w:r>
        <w:rPr/>
        <w:t>at</w:t>
      </w:r>
      <w:r>
        <w:rPr>
          <w:spacing w:val="-25"/>
        </w:rPr>
        <w:t> </w:t>
      </w:r>
      <w:r>
        <w:rPr/>
        <w:t>that</w:t>
      </w:r>
      <w:r>
        <w:rPr>
          <w:spacing w:val="-24"/>
        </w:rPr>
        <w:t> </w:t>
      </w:r>
      <w:r>
        <w:rPr/>
        <w:t>site.</w:t>
      </w:r>
      <w:r>
        <w:rPr>
          <w:spacing w:val="-25"/>
        </w:rPr>
        <w:t> </w:t>
      </w:r>
      <w:r>
        <w:rPr/>
        <w:t>Geochemical</w:t>
      </w:r>
      <w:r>
        <w:rPr>
          <w:spacing w:val="-24"/>
        </w:rPr>
        <w:t> </w:t>
      </w:r>
      <w:r>
        <w:rPr/>
        <w:t>techniques</w:t>
      </w:r>
      <w:r>
        <w:rPr>
          <w:spacing w:val="-25"/>
        </w:rPr>
        <w:t> </w:t>
      </w:r>
      <w:r>
        <w:rPr/>
        <w:t>can</w:t>
      </w:r>
      <w:r>
        <w:rPr>
          <w:spacing w:val="-24"/>
        </w:rPr>
        <w:t> </w:t>
      </w:r>
      <w:r>
        <w:rPr/>
        <w:t>also</w:t>
      </w:r>
      <w:r>
        <w:rPr>
          <w:spacing w:val="-25"/>
        </w:rPr>
        <w:t> </w:t>
      </w:r>
      <w:r>
        <w:rPr/>
        <w:t>be</w:t>
      </w:r>
      <w:r>
        <w:rPr>
          <w:spacing w:val="-24"/>
        </w:rPr>
        <w:t> </w:t>
      </w:r>
      <w:r>
        <w:rPr/>
        <w:t>used to</w:t>
      </w:r>
      <w:r>
        <w:rPr>
          <w:spacing w:val="18"/>
        </w:rPr>
        <w:t> </w:t>
      </w:r>
      <w:r>
        <w:rPr/>
        <w:t>understand</w:t>
      </w:r>
      <w:r>
        <w:rPr>
          <w:spacing w:val="19"/>
        </w:rPr>
        <w:t> </w:t>
      </w:r>
      <w:r>
        <w:rPr/>
        <w:t>more</w:t>
      </w:r>
      <w:r>
        <w:rPr>
          <w:spacing w:val="19"/>
        </w:rPr>
        <w:t> </w:t>
      </w:r>
      <w:r>
        <w:rPr/>
        <w:t>about</w:t>
      </w:r>
      <w:r>
        <w:rPr>
          <w:spacing w:val="18"/>
        </w:rPr>
        <w:t> </w:t>
      </w:r>
      <w:r>
        <w:rPr/>
        <w:t>the</w:t>
      </w:r>
      <w:r>
        <w:rPr>
          <w:spacing w:val="19"/>
        </w:rPr>
        <w:t> </w:t>
      </w:r>
      <w:r>
        <w:rPr/>
        <w:t>CO</w:t>
      </w:r>
      <w:r>
        <w:rPr>
          <w:position w:val="-6"/>
          <w:sz w:val="11"/>
        </w:rPr>
        <w:t>2</w:t>
      </w:r>
      <w:r>
        <w:rPr>
          <w:spacing w:val="13"/>
          <w:position w:val="-6"/>
          <w:sz w:val="11"/>
        </w:rPr>
        <w:t> </w:t>
      </w:r>
      <w:r>
        <w:rPr/>
        <w:t>and</w:t>
      </w:r>
      <w:r>
        <w:rPr>
          <w:spacing w:val="19"/>
        </w:rPr>
        <w:t> </w:t>
      </w:r>
      <w:r>
        <w:rPr/>
        <w:t>its</w:t>
      </w:r>
      <w:r>
        <w:rPr>
          <w:spacing w:val="19"/>
        </w:rPr>
        <w:t> </w:t>
      </w:r>
      <w:r>
        <w:rPr/>
        <w:t>movement</w:t>
      </w:r>
      <w:r>
        <w:rPr>
          <w:spacing w:val="18"/>
        </w:rPr>
        <w:t> </w:t>
      </w:r>
      <w:r>
        <w:rPr/>
        <w:t>through the</w:t>
      </w:r>
      <w:r>
        <w:rPr>
          <w:spacing w:val="-7"/>
        </w:rPr>
        <w:t> </w:t>
      </w:r>
      <w:r>
        <w:rPr/>
        <w:t>reservoir</w:t>
      </w:r>
      <w:r>
        <w:rPr>
          <w:spacing w:val="-7"/>
        </w:rPr>
        <w:t> </w:t>
      </w:r>
      <w:r>
        <w:rPr/>
        <w:t>(Czernichowski-Lauriol</w:t>
      </w:r>
      <w:r>
        <w:rPr>
          <w:spacing w:val="-7"/>
        </w:rPr>
        <w:t> </w:t>
      </w:r>
      <w:r>
        <w:rPr>
          <w:i/>
        </w:rPr>
        <w:t>et</w:t>
      </w:r>
      <w:r>
        <w:rPr>
          <w:i/>
          <w:spacing w:val="-7"/>
        </w:rPr>
        <w:t> </w:t>
      </w:r>
      <w:r>
        <w:rPr>
          <w:i/>
        </w:rPr>
        <w:t>al.</w:t>
      </w:r>
      <w:r>
        <w:rPr/>
        <w:t>,</w:t>
      </w:r>
      <w:r>
        <w:rPr>
          <w:spacing w:val="-7"/>
        </w:rPr>
        <w:t> </w:t>
      </w:r>
      <w:r>
        <w:rPr/>
        <w:t>1996;</w:t>
      </w:r>
      <w:r>
        <w:rPr>
          <w:spacing w:val="-7"/>
        </w:rPr>
        <w:t> </w:t>
      </w:r>
      <w:r>
        <w:rPr/>
        <w:t>Gunter</w:t>
      </w:r>
      <w:r>
        <w:rPr>
          <w:spacing w:val="-7"/>
        </w:rPr>
        <w:t> </w:t>
      </w:r>
      <w:r>
        <w:rPr>
          <w:i/>
        </w:rPr>
        <w:t>et</w:t>
      </w:r>
      <w:r>
        <w:rPr>
          <w:i/>
          <w:spacing w:val="-6"/>
        </w:rPr>
        <w:t> </w:t>
      </w:r>
      <w:r>
        <w:rPr>
          <w:i/>
        </w:rPr>
        <w:t>al.</w:t>
      </w:r>
      <w:r>
        <w:rPr/>
        <w:t>, 2000; Wilson and Monea, 2005). The chemical</w:t>
      </w:r>
      <w:r>
        <w:rPr>
          <w:spacing w:val="-15"/>
        </w:rPr>
        <w:t> </w:t>
      </w:r>
      <w:r>
        <w:rPr/>
        <w:t>changes</w:t>
      </w:r>
      <w:r>
        <w:rPr>
          <w:spacing w:val="28"/>
        </w:rPr>
        <w:t> </w:t>
      </w:r>
      <w:r>
        <w:rPr/>
        <w:t>that occur in the reservoir fluids indicate the increase in</w:t>
      </w:r>
      <w:r>
        <w:rPr>
          <w:spacing w:val="3"/>
        </w:rPr>
        <w:t> </w:t>
      </w:r>
      <w:r>
        <w:rPr/>
        <w:t>acidity</w:t>
      </w:r>
      <w:r>
        <w:rPr>
          <w:spacing w:val="1"/>
        </w:rPr>
        <w:t> </w:t>
      </w:r>
      <w:r>
        <w:rPr/>
        <w:t>and the</w:t>
      </w:r>
      <w:r>
        <w:rPr>
          <w:spacing w:val="-10"/>
        </w:rPr>
        <w:t> </w:t>
      </w:r>
      <w:r>
        <w:rPr/>
        <w:t>chemical</w:t>
      </w:r>
      <w:r>
        <w:rPr>
          <w:spacing w:val="-9"/>
        </w:rPr>
        <w:t> </w:t>
      </w:r>
      <w:r>
        <w:rPr/>
        <w:t>effects</w:t>
      </w:r>
      <w:r>
        <w:rPr>
          <w:spacing w:val="-10"/>
        </w:rPr>
        <w:t> </w:t>
      </w:r>
      <w:r>
        <w:rPr/>
        <w:t>of</w:t>
      </w:r>
      <w:r>
        <w:rPr>
          <w:spacing w:val="-9"/>
        </w:rPr>
        <w:t> </w:t>
      </w:r>
      <w:r>
        <w:rPr/>
        <w:t>this</w:t>
      </w:r>
      <w:r>
        <w:rPr>
          <w:spacing w:val="-10"/>
        </w:rPr>
        <w:t> </w:t>
      </w:r>
      <w:r>
        <w:rPr/>
        <w:t>change,</w:t>
      </w:r>
      <w:r>
        <w:rPr>
          <w:spacing w:val="-9"/>
        </w:rPr>
        <w:t> </w:t>
      </w:r>
      <w:r>
        <w:rPr/>
        <w:t>in</w:t>
      </w:r>
      <w:r>
        <w:rPr>
          <w:spacing w:val="-10"/>
        </w:rPr>
        <w:t> </w:t>
      </w:r>
      <w:r>
        <w:rPr/>
        <w:t>particular</w:t>
      </w:r>
      <w:r>
        <w:rPr>
          <w:spacing w:val="-9"/>
        </w:rPr>
        <w:t> </w:t>
      </w:r>
      <w:r>
        <w:rPr/>
        <w:t>the</w:t>
      </w:r>
      <w:r>
        <w:rPr>
          <w:spacing w:val="-9"/>
        </w:rPr>
        <w:t> </w:t>
      </w:r>
      <w:r>
        <w:rPr/>
        <w:t>bicarbonate ion levels in the fluids. At the surface, direct measurement</w:t>
      </w:r>
      <w:r>
        <w:rPr>
          <w:spacing w:val="24"/>
        </w:rPr>
        <w:t> </w:t>
      </w:r>
      <w:r>
        <w:rPr/>
        <w:t>can</w:t>
      </w:r>
    </w:p>
    <w:p>
      <w:pPr>
        <w:spacing w:after="0" w:line="240" w:lineRule="exact"/>
        <w:jc w:val="right"/>
        <w:sectPr>
          <w:type w:val="continuous"/>
          <w:pgSz w:w="12240" w:h="15840"/>
          <w:pgMar w:top="400" w:bottom="280" w:left="580" w:right="600"/>
          <w:cols w:num="2" w:equalWidth="0">
            <w:col w:w="5241" w:space="85"/>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25" w:lineRule="auto" w:before="71"/>
        <w:ind w:left="553" w:right="1"/>
        <w:jc w:val="both"/>
      </w:pPr>
      <w:r>
        <w:rPr/>
        <w:t>be undertaken by sampling for CO</w:t>
      </w:r>
      <w:r>
        <w:rPr>
          <w:position w:val="-6"/>
          <w:sz w:val="11"/>
        </w:rPr>
        <w:t>2 </w:t>
      </w:r>
      <w:r>
        <w:rPr/>
        <w:t>or tracers in soil gas and near surface water-bearing horizons (from existing water wells or new observation wells). Surface CO</w:t>
      </w:r>
      <w:r>
        <w:rPr>
          <w:position w:val="-6"/>
          <w:sz w:val="11"/>
        </w:rPr>
        <w:t>2 </w:t>
      </w:r>
      <w:r>
        <w:rPr/>
        <w:t>fluxes may be directly measurable by techniques such as infrared spectroscopy</w:t>
      </w:r>
      <w:r>
        <w:rPr>
          <w:spacing w:val="-21"/>
        </w:rPr>
        <w:t> </w:t>
      </w:r>
      <w:r>
        <w:rPr/>
        <w:t>(Miles </w:t>
      </w:r>
      <w:r>
        <w:rPr>
          <w:i/>
        </w:rPr>
        <w:t>et al.</w:t>
      </w:r>
      <w:r>
        <w:rPr/>
        <w:t>, 2005; Pickles, 2005; Shuler and </w:t>
      </w:r>
      <w:r>
        <w:rPr>
          <w:spacing w:val="-3"/>
        </w:rPr>
        <w:t>Tang,</w:t>
      </w:r>
      <w:r>
        <w:rPr>
          <w:spacing w:val="-10"/>
        </w:rPr>
        <w:t> </w:t>
      </w:r>
      <w:r>
        <w:rPr/>
        <w:t>2005).</w:t>
      </w:r>
    </w:p>
    <w:p>
      <w:pPr>
        <w:pStyle w:val="BodyText"/>
        <w:spacing w:before="3"/>
        <w:rPr>
          <w:sz w:val="21"/>
        </w:rPr>
      </w:pPr>
    </w:p>
    <w:p>
      <w:pPr>
        <w:pStyle w:val="ListParagraph"/>
        <w:numPr>
          <w:ilvl w:val="3"/>
          <w:numId w:val="11"/>
        </w:numPr>
        <w:tabs>
          <w:tab w:pos="1373" w:val="left" w:leader="none"/>
          <w:tab w:pos="1374" w:val="left" w:leader="none"/>
        </w:tabs>
        <w:spacing w:line="240" w:lineRule="exact" w:before="0" w:after="0"/>
        <w:ind w:left="553" w:right="0" w:hanging="1"/>
        <w:jc w:val="left"/>
        <w:rPr>
          <w:sz w:val="20"/>
        </w:rPr>
      </w:pPr>
      <w:r>
        <w:rPr>
          <w:i/>
          <w:sz w:val="20"/>
        </w:rPr>
        <w:t>Indirect techniques for monitoring CO</w:t>
      </w:r>
      <w:r>
        <w:rPr>
          <w:i/>
          <w:position w:val="-6"/>
          <w:sz w:val="11"/>
        </w:rPr>
        <w:t>2 </w:t>
      </w:r>
      <w:r>
        <w:rPr>
          <w:i/>
          <w:sz w:val="20"/>
        </w:rPr>
        <w:t>migration </w:t>
      </w:r>
      <w:r>
        <w:rPr>
          <w:sz w:val="20"/>
        </w:rPr>
        <w:t>Indirect techniques for measuring CO</w:t>
      </w:r>
      <w:r>
        <w:rPr>
          <w:position w:val="-6"/>
          <w:sz w:val="11"/>
        </w:rPr>
        <w:t>2 </w:t>
      </w:r>
      <w:r>
        <w:rPr>
          <w:sz w:val="20"/>
        </w:rPr>
        <w:t>distribution in </w:t>
      </w:r>
      <w:r>
        <w:rPr>
          <w:spacing w:val="-6"/>
          <w:sz w:val="20"/>
        </w:rPr>
        <w:t>the </w:t>
      </w:r>
      <w:r>
        <w:rPr>
          <w:sz w:val="20"/>
        </w:rPr>
        <w:t>subsurface include a variety of seismic and non-seismic geophysical and geochemical techniques (Benson </w:t>
      </w:r>
      <w:r>
        <w:rPr>
          <w:i/>
          <w:sz w:val="20"/>
        </w:rPr>
        <w:t>et al.</w:t>
      </w:r>
      <w:r>
        <w:rPr>
          <w:sz w:val="20"/>
        </w:rPr>
        <w:t>, </w:t>
      </w:r>
      <w:r>
        <w:rPr>
          <w:spacing w:val="-3"/>
          <w:sz w:val="20"/>
        </w:rPr>
        <w:t>2004; </w:t>
      </w:r>
      <w:r>
        <w:rPr>
          <w:sz w:val="20"/>
        </w:rPr>
        <w:t>Arts</w:t>
      </w:r>
      <w:r>
        <w:rPr>
          <w:spacing w:val="-17"/>
          <w:sz w:val="20"/>
        </w:rPr>
        <w:t> </w:t>
      </w:r>
      <w:r>
        <w:rPr>
          <w:sz w:val="20"/>
        </w:rPr>
        <w:t>and</w:t>
      </w:r>
      <w:r>
        <w:rPr>
          <w:spacing w:val="-21"/>
          <w:sz w:val="20"/>
        </w:rPr>
        <w:t> </w:t>
      </w:r>
      <w:r>
        <w:rPr>
          <w:sz w:val="20"/>
        </w:rPr>
        <w:t>Winthaegen,</w:t>
      </w:r>
      <w:r>
        <w:rPr>
          <w:spacing w:val="-17"/>
          <w:sz w:val="20"/>
        </w:rPr>
        <w:t> </w:t>
      </w:r>
      <w:r>
        <w:rPr>
          <w:sz w:val="20"/>
        </w:rPr>
        <w:t>2005;</w:t>
      </w:r>
      <w:r>
        <w:rPr>
          <w:spacing w:val="-17"/>
          <w:sz w:val="20"/>
        </w:rPr>
        <w:t> </w:t>
      </w:r>
      <w:r>
        <w:rPr>
          <w:sz w:val="20"/>
        </w:rPr>
        <w:t>Hoversten</w:t>
      </w:r>
      <w:r>
        <w:rPr>
          <w:spacing w:val="-17"/>
          <w:sz w:val="20"/>
        </w:rPr>
        <w:t> </w:t>
      </w:r>
      <w:r>
        <w:rPr>
          <w:sz w:val="20"/>
        </w:rPr>
        <w:t>and</w:t>
      </w:r>
      <w:r>
        <w:rPr>
          <w:spacing w:val="-17"/>
          <w:sz w:val="20"/>
        </w:rPr>
        <w:t> </w:t>
      </w:r>
      <w:r>
        <w:rPr>
          <w:sz w:val="20"/>
        </w:rPr>
        <w:t>Gasperikova,</w:t>
      </w:r>
      <w:r>
        <w:rPr>
          <w:spacing w:val="-17"/>
          <w:sz w:val="20"/>
        </w:rPr>
        <w:t> </w:t>
      </w:r>
      <w:r>
        <w:rPr>
          <w:sz w:val="20"/>
        </w:rPr>
        <w:t>2005). Seismic techniques basically measure the velocity and energy absorption of waves, generated artificially or naturally,</w:t>
      </w:r>
      <w:r>
        <w:rPr>
          <w:spacing w:val="-36"/>
          <w:sz w:val="20"/>
        </w:rPr>
        <w:t> </w:t>
      </w:r>
      <w:r>
        <w:rPr>
          <w:sz w:val="20"/>
        </w:rPr>
        <w:t>through rocks. The transmission is modified by the nature of the </w:t>
      </w:r>
      <w:r>
        <w:rPr>
          <w:spacing w:val="-3"/>
          <w:sz w:val="20"/>
        </w:rPr>
        <w:t>rock </w:t>
      </w:r>
      <w:r>
        <w:rPr>
          <w:sz w:val="20"/>
        </w:rPr>
        <w:t>and</w:t>
      </w:r>
      <w:r>
        <w:rPr>
          <w:spacing w:val="-6"/>
          <w:sz w:val="20"/>
        </w:rPr>
        <w:t> </w:t>
      </w:r>
      <w:r>
        <w:rPr>
          <w:sz w:val="20"/>
        </w:rPr>
        <w:t>its</w:t>
      </w:r>
      <w:r>
        <w:rPr>
          <w:spacing w:val="-6"/>
          <w:sz w:val="20"/>
        </w:rPr>
        <w:t> </w:t>
      </w:r>
      <w:r>
        <w:rPr>
          <w:sz w:val="20"/>
        </w:rPr>
        <w:t>contained</w:t>
      </w:r>
      <w:r>
        <w:rPr>
          <w:spacing w:val="-5"/>
          <w:sz w:val="20"/>
        </w:rPr>
        <w:t> </w:t>
      </w:r>
      <w:r>
        <w:rPr>
          <w:sz w:val="20"/>
        </w:rPr>
        <w:t>fluids.</w:t>
      </w:r>
      <w:r>
        <w:rPr>
          <w:spacing w:val="-6"/>
          <w:sz w:val="20"/>
        </w:rPr>
        <w:t> </w:t>
      </w:r>
      <w:r>
        <w:rPr>
          <w:sz w:val="20"/>
        </w:rPr>
        <w:t>In</w:t>
      </w:r>
      <w:r>
        <w:rPr>
          <w:spacing w:val="-6"/>
          <w:sz w:val="20"/>
        </w:rPr>
        <w:t> </w:t>
      </w:r>
      <w:r>
        <w:rPr>
          <w:sz w:val="20"/>
        </w:rPr>
        <w:t>general,</w:t>
      </w:r>
      <w:r>
        <w:rPr>
          <w:spacing w:val="-5"/>
          <w:sz w:val="20"/>
        </w:rPr>
        <w:t> </w:t>
      </w:r>
      <w:r>
        <w:rPr>
          <w:sz w:val="20"/>
        </w:rPr>
        <w:t>energy</w:t>
      </w:r>
      <w:r>
        <w:rPr>
          <w:spacing w:val="-6"/>
          <w:sz w:val="20"/>
        </w:rPr>
        <w:t> </w:t>
      </w:r>
      <w:r>
        <w:rPr>
          <w:sz w:val="20"/>
        </w:rPr>
        <w:t>waves</w:t>
      </w:r>
      <w:r>
        <w:rPr>
          <w:spacing w:val="-6"/>
          <w:sz w:val="20"/>
        </w:rPr>
        <w:t> </w:t>
      </w:r>
      <w:r>
        <w:rPr>
          <w:sz w:val="20"/>
        </w:rPr>
        <w:t>are</w:t>
      </w:r>
      <w:r>
        <w:rPr>
          <w:spacing w:val="-5"/>
          <w:sz w:val="20"/>
        </w:rPr>
        <w:t> </w:t>
      </w:r>
      <w:r>
        <w:rPr>
          <w:sz w:val="20"/>
        </w:rPr>
        <w:t>generated artificially by explosions or ground vibration. </w:t>
      </w:r>
      <w:r>
        <w:rPr>
          <w:spacing w:val="-4"/>
          <w:sz w:val="20"/>
        </w:rPr>
        <w:t>Wave </w:t>
      </w:r>
      <w:r>
        <w:rPr>
          <w:sz w:val="20"/>
        </w:rPr>
        <w:t>generators and sensors may be on the surface (conventional seismic) or modified with the sensors in wells within the subsurface and the source on the surface (vertical seismic profiling). It is also possible to place both sensors and sources in the subsurface   to transmit the wave pulses horizontally through the reservoir (inter-well or cross-well tomography). By taking a series of surveys over time, it is possible to trace the distribution of    the CO</w:t>
      </w:r>
      <w:r>
        <w:rPr>
          <w:position w:val="-6"/>
          <w:sz w:val="11"/>
        </w:rPr>
        <w:t>2 </w:t>
      </w:r>
      <w:r>
        <w:rPr>
          <w:sz w:val="20"/>
        </w:rPr>
        <w:t>in the reservoir, assuming the free-phase CO</w:t>
      </w:r>
      <w:r>
        <w:rPr>
          <w:position w:val="-6"/>
          <w:sz w:val="11"/>
        </w:rPr>
        <w:t>2 </w:t>
      </w:r>
      <w:r>
        <w:rPr>
          <w:spacing w:val="-3"/>
          <w:sz w:val="20"/>
        </w:rPr>
        <w:t>volume </w:t>
      </w:r>
      <w:r>
        <w:rPr>
          <w:sz w:val="20"/>
        </w:rPr>
        <w:t>at the site is sufficiently high to identify from the processed data. A baseline survey with no CO</w:t>
      </w:r>
      <w:r>
        <w:rPr>
          <w:position w:val="-6"/>
          <w:sz w:val="11"/>
        </w:rPr>
        <w:t>2 </w:t>
      </w:r>
      <w:r>
        <w:rPr>
          <w:sz w:val="20"/>
        </w:rPr>
        <w:t>present provides the basis against which comparisons can be made. It would appear that relatively low volumes of free-phase CO</w:t>
      </w:r>
      <w:r>
        <w:rPr>
          <w:position w:val="-6"/>
          <w:sz w:val="11"/>
        </w:rPr>
        <w:t>2 </w:t>
      </w:r>
      <w:r>
        <w:rPr>
          <w:sz w:val="20"/>
        </w:rPr>
        <w:t>(approximately </w:t>
      </w:r>
      <w:r>
        <w:rPr>
          <w:spacing w:val="-7"/>
          <w:sz w:val="20"/>
        </w:rPr>
        <w:t>5% </w:t>
      </w:r>
      <w:r>
        <w:rPr>
          <w:sz w:val="20"/>
        </w:rPr>
        <w:t>or more) may be identified by these seismic techniques; at present,</w:t>
      </w:r>
      <w:r>
        <w:rPr>
          <w:spacing w:val="-6"/>
          <w:sz w:val="20"/>
        </w:rPr>
        <w:t> </w:t>
      </w:r>
      <w:r>
        <w:rPr>
          <w:sz w:val="20"/>
        </w:rPr>
        <w:t>attempts</w:t>
      </w:r>
      <w:r>
        <w:rPr>
          <w:spacing w:val="-6"/>
          <w:sz w:val="20"/>
        </w:rPr>
        <w:t> </w:t>
      </w:r>
      <w:r>
        <w:rPr>
          <w:sz w:val="20"/>
        </w:rPr>
        <w:t>are</w:t>
      </w:r>
      <w:r>
        <w:rPr>
          <w:spacing w:val="-6"/>
          <w:sz w:val="20"/>
        </w:rPr>
        <w:t> </w:t>
      </w:r>
      <w:r>
        <w:rPr>
          <w:sz w:val="20"/>
        </w:rPr>
        <w:t>being</w:t>
      </w:r>
      <w:r>
        <w:rPr>
          <w:spacing w:val="-6"/>
          <w:sz w:val="20"/>
        </w:rPr>
        <w:t> </w:t>
      </w:r>
      <w:r>
        <w:rPr>
          <w:sz w:val="20"/>
        </w:rPr>
        <w:t>made</w:t>
      </w:r>
      <w:r>
        <w:rPr>
          <w:spacing w:val="-5"/>
          <w:sz w:val="20"/>
        </w:rPr>
        <w:t> </w:t>
      </w:r>
      <w:r>
        <w:rPr>
          <w:sz w:val="20"/>
        </w:rPr>
        <w:t>to</w:t>
      </w:r>
      <w:r>
        <w:rPr>
          <w:spacing w:val="-6"/>
          <w:sz w:val="20"/>
        </w:rPr>
        <w:t> </w:t>
      </w:r>
      <w:r>
        <w:rPr>
          <w:sz w:val="20"/>
        </w:rPr>
        <w:t>quantify</w:t>
      </w:r>
      <w:r>
        <w:rPr>
          <w:spacing w:val="-6"/>
          <w:sz w:val="20"/>
        </w:rPr>
        <w:t> </w:t>
      </w:r>
      <w:r>
        <w:rPr>
          <w:sz w:val="20"/>
        </w:rPr>
        <w:t>the</w:t>
      </w:r>
      <w:r>
        <w:rPr>
          <w:spacing w:val="-6"/>
          <w:sz w:val="20"/>
        </w:rPr>
        <w:t> </w:t>
      </w:r>
      <w:r>
        <w:rPr>
          <w:sz w:val="20"/>
        </w:rPr>
        <w:t>amount</w:t>
      </w:r>
      <w:r>
        <w:rPr>
          <w:spacing w:val="-5"/>
          <w:sz w:val="20"/>
        </w:rPr>
        <w:t> </w:t>
      </w:r>
      <w:r>
        <w:rPr>
          <w:sz w:val="20"/>
        </w:rPr>
        <w:t>of</w:t>
      </w:r>
      <w:r>
        <w:rPr>
          <w:spacing w:val="-6"/>
          <w:sz w:val="20"/>
        </w:rPr>
        <w:t> </w:t>
      </w:r>
      <w:r>
        <w:rPr>
          <w:sz w:val="20"/>
        </w:rPr>
        <w:t>CO</w:t>
      </w:r>
      <w:r>
        <w:rPr>
          <w:position w:val="-6"/>
          <w:sz w:val="11"/>
        </w:rPr>
        <w:t>2</w:t>
      </w:r>
      <w:r>
        <w:rPr>
          <w:sz w:val="11"/>
        </w:rPr>
        <w:t> </w:t>
      </w:r>
      <w:r>
        <w:rPr>
          <w:sz w:val="20"/>
        </w:rPr>
        <w:t>in the pore space of the rocks and the distribution within the reservoir</w:t>
      </w:r>
      <w:r>
        <w:rPr>
          <w:spacing w:val="-8"/>
          <w:sz w:val="20"/>
        </w:rPr>
        <w:t> </w:t>
      </w:r>
      <w:r>
        <w:rPr>
          <w:sz w:val="20"/>
        </w:rPr>
        <w:t>(Hoversten</w:t>
      </w:r>
      <w:r>
        <w:rPr>
          <w:spacing w:val="-7"/>
          <w:sz w:val="20"/>
        </w:rPr>
        <w:t> </w:t>
      </w:r>
      <w:r>
        <w:rPr>
          <w:i/>
          <w:sz w:val="20"/>
        </w:rPr>
        <w:t>et</w:t>
      </w:r>
      <w:r>
        <w:rPr>
          <w:i/>
          <w:spacing w:val="-7"/>
          <w:sz w:val="20"/>
        </w:rPr>
        <w:t> </w:t>
      </w:r>
      <w:r>
        <w:rPr>
          <w:i/>
          <w:sz w:val="20"/>
        </w:rPr>
        <w:t>al.</w:t>
      </w:r>
      <w:r>
        <w:rPr>
          <w:sz w:val="20"/>
        </w:rPr>
        <w:t>,</w:t>
      </w:r>
      <w:r>
        <w:rPr>
          <w:spacing w:val="-7"/>
          <w:sz w:val="20"/>
        </w:rPr>
        <w:t> </w:t>
      </w:r>
      <w:r>
        <w:rPr>
          <w:sz w:val="20"/>
        </w:rPr>
        <w:t>2003).</w:t>
      </w:r>
      <w:r>
        <w:rPr>
          <w:spacing w:val="-18"/>
          <w:sz w:val="20"/>
        </w:rPr>
        <w:t> </w:t>
      </w:r>
      <w:r>
        <w:rPr>
          <w:sz w:val="20"/>
        </w:rPr>
        <w:t>A</w:t>
      </w:r>
      <w:r>
        <w:rPr>
          <w:spacing w:val="-18"/>
          <w:sz w:val="20"/>
        </w:rPr>
        <w:t> </w:t>
      </w:r>
      <w:r>
        <w:rPr>
          <w:sz w:val="20"/>
        </w:rPr>
        <w:t>number</w:t>
      </w:r>
      <w:r>
        <w:rPr>
          <w:spacing w:val="-7"/>
          <w:sz w:val="20"/>
        </w:rPr>
        <w:t> </w:t>
      </w:r>
      <w:r>
        <w:rPr>
          <w:sz w:val="20"/>
        </w:rPr>
        <w:t>of</w:t>
      </w:r>
      <w:r>
        <w:rPr>
          <w:spacing w:val="-7"/>
          <w:sz w:val="20"/>
        </w:rPr>
        <w:t> </w:t>
      </w:r>
      <w:r>
        <w:rPr>
          <w:sz w:val="20"/>
        </w:rPr>
        <w:t>techniques</w:t>
      </w:r>
      <w:r>
        <w:rPr>
          <w:spacing w:val="-7"/>
          <w:sz w:val="20"/>
        </w:rPr>
        <w:t> </w:t>
      </w:r>
      <w:r>
        <w:rPr>
          <w:sz w:val="20"/>
        </w:rPr>
        <w:t>have been actively tested at </w:t>
      </w:r>
      <w:r>
        <w:rPr>
          <w:spacing w:val="-3"/>
          <w:sz w:val="20"/>
        </w:rPr>
        <w:t>Weyburn </w:t>
      </w:r>
      <w:r>
        <w:rPr>
          <w:sz w:val="20"/>
        </w:rPr>
        <w:t>(Section 5.6.3.3), including time-lapse surface three-dimensional seismic (both 3- and 9- component), at one-year intervals (baseline and baseline </w:t>
      </w:r>
      <w:r>
        <w:rPr>
          <w:spacing w:val="-4"/>
          <w:sz w:val="20"/>
        </w:rPr>
        <w:t>plus </w:t>
      </w:r>
      <w:r>
        <w:rPr>
          <w:sz w:val="20"/>
        </w:rPr>
        <w:t>one and two years), vertical seismic profiling and cross-well (horizontal and vertical) tomography between pairs of</w:t>
      </w:r>
      <w:r>
        <w:rPr>
          <w:spacing w:val="-4"/>
          <w:sz w:val="20"/>
        </w:rPr>
        <w:t> </w:t>
      </w:r>
      <w:r>
        <w:rPr>
          <w:sz w:val="20"/>
        </w:rPr>
        <w:t>wells.</w:t>
      </w:r>
    </w:p>
    <w:p>
      <w:pPr>
        <w:pStyle w:val="BodyText"/>
        <w:spacing w:line="240" w:lineRule="exact"/>
        <w:ind w:left="553" w:firstLine="283"/>
        <w:jc w:val="both"/>
      </w:pPr>
      <w:r>
        <w:rPr/>
        <w:t>For deep accumulations of CO</w:t>
      </w:r>
      <w:r>
        <w:rPr>
          <w:position w:val="-6"/>
          <w:sz w:val="11"/>
        </w:rPr>
        <w:t>2 </w:t>
      </w:r>
      <w:r>
        <w:rPr/>
        <w:t>in the subsurface, where CO</w:t>
      </w:r>
      <w:r>
        <w:rPr>
          <w:position w:val="-6"/>
          <w:sz w:val="11"/>
        </w:rPr>
        <w:t>2 </w:t>
      </w:r>
      <w:r>
        <w:rPr/>
        <w:t>density approaches the density of fluids in the storage formation, the sensitivity of surface seismic profiles would suggest that resolution on the order of 2500–10,000 t of free- phase CO</w:t>
      </w:r>
      <w:r>
        <w:rPr>
          <w:position w:val="-6"/>
          <w:sz w:val="11"/>
        </w:rPr>
        <w:t>2 </w:t>
      </w:r>
      <w:r>
        <w:rPr/>
        <w:t>can be identified (Myer </w:t>
      </w:r>
      <w:r>
        <w:rPr>
          <w:i/>
        </w:rPr>
        <w:t>et al.</w:t>
      </w:r>
      <w:r>
        <w:rPr/>
        <w:t>, 2003; White </w:t>
      </w:r>
      <w:r>
        <w:rPr>
          <w:i/>
        </w:rPr>
        <w:t>et al.</w:t>
      </w:r>
      <w:r>
        <w:rPr/>
        <w:t>, 2004; Arts </w:t>
      </w:r>
      <w:r>
        <w:rPr>
          <w:i/>
        </w:rPr>
        <w:t>et al.</w:t>
      </w:r>
      <w:r>
        <w:rPr/>
        <w:t>, 2005). At Weyburn, areas with low injection rates (&lt;2% hydrocarbon pore volume) demonstrate little or </w:t>
      </w:r>
      <w:r>
        <w:rPr>
          <w:spacing w:val="-7"/>
        </w:rPr>
        <w:t>no </w:t>
      </w:r>
      <w:r>
        <w:rPr/>
        <w:t>visible seismic response. In areas with high injection rates (3– 13% hydrocarbon pore volume), significant seismic anomalies are observed. </w:t>
      </w:r>
      <w:r>
        <w:rPr>
          <w:spacing w:val="-4"/>
        </w:rPr>
        <w:t>Work </w:t>
      </w:r>
      <w:r>
        <w:rPr/>
        <w:t>at Sleipner shows that the CO</w:t>
      </w:r>
      <w:r>
        <w:rPr>
          <w:position w:val="-6"/>
          <w:sz w:val="11"/>
        </w:rPr>
        <w:t>2 </w:t>
      </w:r>
      <w:r>
        <w:rPr/>
        <w:t>plume comprises several distinct layers of CO</w:t>
      </w:r>
      <w:r>
        <w:rPr>
          <w:position w:val="-6"/>
          <w:sz w:val="11"/>
        </w:rPr>
        <w:t>2</w:t>
      </w:r>
      <w:r>
        <w:rPr/>
        <w:t>, each up to about 10 m thick. These are mostly beneath the strict limit of seismic resolution, but amplitude studies suggest that layer thicknesses as low as 1 m can be mapped (Arts </w:t>
      </w:r>
      <w:r>
        <w:rPr>
          <w:i/>
        </w:rPr>
        <w:t>et al.</w:t>
      </w:r>
      <w:r>
        <w:rPr/>
        <w:t>, 2005; Chadwick </w:t>
      </w:r>
      <w:r>
        <w:rPr>
          <w:i/>
          <w:spacing w:val="-8"/>
        </w:rPr>
        <w:t>et </w:t>
      </w:r>
      <w:r>
        <w:rPr>
          <w:i/>
        </w:rPr>
        <w:t>al.</w:t>
      </w:r>
      <w:r>
        <w:rPr/>
        <w:t>, 2005). Seismic resolution will decrease with depth and certain other rock-related properties, so the above discussion</w:t>
      </w:r>
      <w:r>
        <w:rPr>
          <w:spacing w:val="-32"/>
        </w:rPr>
        <w:t> </w:t>
      </w:r>
      <w:r>
        <w:rPr>
          <w:spacing w:val="-7"/>
        </w:rPr>
        <w:t>of </w:t>
      </w:r>
      <w:r>
        <w:rPr/>
        <w:t>resolution</w:t>
      </w:r>
      <w:r>
        <w:rPr>
          <w:spacing w:val="-12"/>
        </w:rPr>
        <w:t> </w:t>
      </w:r>
      <w:r>
        <w:rPr/>
        <w:t>will</w:t>
      </w:r>
      <w:r>
        <w:rPr>
          <w:spacing w:val="-11"/>
        </w:rPr>
        <w:t> </w:t>
      </w:r>
      <w:r>
        <w:rPr/>
        <w:t>not</w:t>
      </w:r>
      <w:r>
        <w:rPr>
          <w:spacing w:val="-11"/>
        </w:rPr>
        <w:t> </w:t>
      </w:r>
      <w:r>
        <w:rPr/>
        <w:t>apply</w:t>
      </w:r>
      <w:r>
        <w:rPr>
          <w:spacing w:val="-11"/>
        </w:rPr>
        <w:t> </w:t>
      </w:r>
      <w:r>
        <w:rPr/>
        <w:t>uniformly</w:t>
      </w:r>
      <w:r>
        <w:rPr>
          <w:spacing w:val="-11"/>
        </w:rPr>
        <w:t> </w:t>
      </w:r>
      <w:r>
        <w:rPr/>
        <w:t>in</w:t>
      </w:r>
      <w:r>
        <w:rPr>
          <w:spacing w:val="-12"/>
        </w:rPr>
        <w:t> </w:t>
      </w:r>
      <w:r>
        <w:rPr/>
        <w:t>all</w:t>
      </w:r>
      <w:r>
        <w:rPr>
          <w:spacing w:val="-11"/>
        </w:rPr>
        <w:t> </w:t>
      </w:r>
      <w:r>
        <w:rPr/>
        <w:t>storage</w:t>
      </w:r>
      <w:r>
        <w:rPr>
          <w:spacing w:val="-11"/>
        </w:rPr>
        <w:t> </w:t>
      </w:r>
      <w:r>
        <w:rPr/>
        <w:t>scenarios.</w:t>
      </w:r>
      <w:r>
        <w:rPr>
          <w:spacing w:val="-11"/>
        </w:rPr>
        <w:t> </w:t>
      </w:r>
      <w:r>
        <w:rPr/>
        <w:t>One possible way of increasing the accuracy of surveys over time is</w:t>
      </w:r>
      <w:r>
        <w:rPr>
          <w:spacing w:val="16"/>
        </w:rPr>
        <w:t> </w:t>
      </w:r>
      <w:r>
        <w:rPr/>
        <w:t>to</w:t>
      </w:r>
      <w:r>
        <w:rPr>
          <w:spacing w:val="17"/>
        </w:rPr>
        <w:t> </w:t>
      </w:r>
      <w:r>
        <w:rPr/>
        <w:t>create</w:t>
      </w:r>
      <w:r>
        <w:rPr>
          <w:spacing w:val="17"/>
        </w:rPr>
        <w:t> </w:t>
      </w:r>
      <w:r>
        <w:rPr/>
        <w:t>a</w:t>
      </w:r>
      <w:r>
        <w:rPr>
          <w:spacing w:val="17"/>
        </w:rPr>
        <w:t> </w:t>
      </w:r>
      <w:r>
        <w:rPr/>
        <w:t>permanent</w:t>
      </w:r>
      <w:r>
        <w:rPr>
          <w:spacing w:val="17"/>
        </w:rPr>
        <w:t> </w:t>
      </w:r>
      <w:r>
        <w:rPr/>
        <w:t>array</w:t>
      </w:r>
      <w:r>
        <w:rPr>
          <w:spacing w:val="17"/>
        </w:rPr>
        <w:t> </w:t>
      </w:r>
      <w:r>
        <w:rPr/>
        <w:t>of</w:t>
      </w:r>
      <w:r>
        <w:rPr>
          <w:spacing w:val="17"/>
        </w:rPr>
        <w:t> </w:t>
      </w:r>
      <w:r>
        <w:rPr/>
        <w:t>sensors</w:t>
      </w:r>
      <w:r>
        <w:rPr>
          <w:spacing w:val="17"/>
        </w:rPr>
        <w:t> </w:t>
      </w:r>
      <w:r>
        <w:rPr/>
        <w:t>or</w:t>
      </w:r>
      <w:r>
        <w:rPr>
          <w:spacing w:val="17"/>
        </w:rPr>
        <w:t> </w:t>
      </w:r>
      <w:r>
        <w:rPr/>
        <w:t>even</w:t>
      </w:r>
      <w:r>
        <w:rPr>
          <w:spacing w:val="17"/>
        </w:rPr>
        <w:t> </w:t>
      </w:r>
      <w:r>
        <w:rPr/>
        <w:t>sensors</w:t>
      </w:r>
      <w:r>
        <w:rPr>
          <w:spacing w:val="17"/>
        </w:rPr>
        <w:t> </w:t>
      </w:r>
      <w:r>
        <w:rPr/>
        <w:t>and</w:t>
      </w:r>
    </w:p>
    <w:p>
      <w:pPr>
        <w:pStyle w:val="BodyText"/>
        <w:spacing w:line="249" w:lineRule="auto" w:before="63"/>
        <w:ind w:left="241" w:right="135"/>
        <w:jc w:val="both"/>
      </w:pPr>
      <w:r>
        <w:rPr/>
        <w:br w:type="column"/>
      </w:r>
      <w:r>
        <w:rPr/>
        <w:t>energy</w:t>
      </w:r>
      <w:r>
        <w:rPr>
          <w:spacing w:val="-5"/>
        </w:rPr>
        <w:t> </w:t>
      </w:r>
      <w:r>
        <w:rPr/>
        <w:t>sources</w:t>
      </w:r>
      <w:r>
        <w:rPr>
          <w:spacing w:val="-6"/>
        </w:rPr>
        <w:t> </w:t>
      </w:r>
      <w:r>
        <w:rPr/>
        <w:t>(US</w:t>
      </w:r>
      <w:r>
        <w:rPr>
          <w:spacing w:val="-5"/>
        </w:rPr>
        <w:t> </w:t>
      </w:r>
      <w:r>
        <w:rPr/>
        <w:t>Patent</w:t>
      </w:r>
      <w:r>
        <w:rPr>
          <w:spacing w:val="-6"/>
        </w:rPr>
        <w:t> </w:t>
      </w:r>
      <w:r>
        <w:rPr/>
        <w:t>6813566),</w:t>
      </w:r>
      <w:r>
        <w:rPr>
          <w:spacing w:val="-4"/>
        </w:rPr>
        <w:t> </w:t>
      </w:r>
      <w:r>
        <w:rPr/>
        <w:t>to</w:t>
      </w:r>
      <w:r>
        <w:rPr>
          <w:spacing w:val="-6"/>
        </w:rPr>
        <w:t> </w:t>
      </w:r>
      <w:r>
        <w:rPr/>
        <w:t>eliminate</w:t>
      </w:r>
      <w:r>
        <w:rPr>
          <w:spacing w:val="-6"/>
        </w:rPr>
        <w:t> </w:t>
      </w:r>
      <w:r>
        <w:rPr/>
        <w:t>the</w:t>
      </w:r>
      <w:r>
        <w:rPr>
          <w:spacing w:val="-6"/>
        </w:rPr>
        <w:t> </w:t>
      </w:r>
      <w:r>
        <w:rPr/>
        <w:t>problems associated with surveying locations for sensors and</w:t>
      </w:r>
      <w:r>
        <w:rPr>
          <w:spacing w:val="29"/>
        </w:rPr>
        <w:t> </w:t>
      </w:r>
      <w:r>
        <w:rPr/>
        <w:t>energy sources.</w:t>
      </w:r>
    </w:p>
    <w:p>
      <w:pPr>
        <w:pStyle w:val="BodyText"/>
        <w:spacing w:line="225" w:lineRule="auto" w:before="11"/>
        <w:ind w:left="241" w:right="134" w:firstLine="283"/>
        <w:jc w:val="both"/>
      </w:pPr>
      <w:r>
        <w:rPr/>
        <w:t>For</w:t>
      </w:r>
      <w:r>
        <w:rPr>
          <w:spacing w:val="-7"/>
        </w:rPr>
        <w:t> </w:t>
      </w:r>
      <w:r>
        <w:rPr/>
        <w:t>CO</w:t>
      </w:r>
      <w:r>
        <w:rPr>
          <w:position w:val="-6"/>
          <w:sz w:val="11"/>
        </w:rPr>
        <w:t>2</w:t>
      </w:r>
      <w:r>
        <w:rPr>
          <w:spacing w:val="15"/>
          <w:position w:val="-6"/>
          <w:sz w:val="11"/>
        </w:rPr>
        <w:t> </w:t>
      </w:r>
      <w:r>
        <w:rPr/>
        <w:t>that</w:t>
      </w:r>
      <w:r>
        <w:rPr>
          <w:spacing w:val="-7"/>
        </w:rPr>
        <w:t> </w:t>
      </w:r>
      <w:r>
        <w:rPr/>
        <w:t>has</w:t>
      </w:r>
      <w:r>
        <w:rPr>
          <w:spacing w:val="-6"/>
        </w:rPr>
        <w:t> </w:t>
      </w:r>
      <w:r>
        <w:rPr/>
        <w:t>migrated</w:t>
      </w:r>
      <w:r>
        <w:rPr>
          <w:spacing w:val="-7"/>
        </w:rPr>
        <w:t> </w:t>
      </w:r>
      <w:r>
        <w:rPr/>
        <w:t>even</w:t>
      </w:r>
      <w:r>
        <w:rPr>
          <w:spacing w:val="-7"/>
        </w:rPr>
        <w:t> </w:t>
      </w:r>
      <w:r>
        <w:rPr/>
        <w:t>shallower</w:t>
      </w:r>
      <w:r>
        <w:rPr>
          <w:spacing w:val="-7"/>
        </w:rPr>
        <w:t> </w:t>
      </w:r>
      <w:r>
        <w:rPr/>
        <w:t>in</w:t>
      </w:r>
      <w:r>
        <w:rPr>
          <w:spacing w:val="-7"/>
        </w:rPr>
        <w:t> </w:t>
      </w:r>
      <w:r>
        <w:rPr/>
        <w:t>the</w:t>
      </w:r>
      <w:r>
        <w:rPr>
          <w:spacing w:val="-7"/>
        </w:rPr>
        <w:t> </w:t>
      </w:r>
      <w:r>
        <w:rPr/>
        <w:t>subsurface, its gas-like properties will vastly increase the detection limit; hence, even smaller threshold levels of resolution are</w:t>
      </w:r>
      <w:r>
        <w:rPr>
          <w:spacing w:val="-30"/>
        </w:rPr>
        <w:t> </w:t>
      </w:r>
      <w:r>
        <w:rPr/>
        <w:t>expected.</w:t>
      </w:r>
    </w:p>
    <w:p>
      <w:pPr>
        <w:pStyle w:val="BodyText"/>
        <w:spacing w:line="240" w:lineRule="exact" w:before="7"/>
        <w:ind w:left="241" w:right="133"/>
        <w:jc w:val="both"/>
      </w:pPr>
      <w:r>
        <w:rPr>
          <w:spacing w:val="-7"/>
        </w:rPr>
        <w:t>To</w:t>
      </w:r>
      <w:r>
        <w:rPr>
          <w:spacing w:val="-17"/>
        </w:rPr>
        <w:t> </w:t>
      </w:r>
      <w:r>
        <w:rPr/>
        <w:t>date,</w:t>
      </w:r>
      <w:r>
        <w:rPr>
          <w:spacing w:val="-17"/>
        </w:rPr>
        <w:t> </w:t>
      </w:r>
      <w:r>
        <w:rPr/>
        <w:t>no</w:t>
      </w:r>
      <w:r>
        <w:rPr>
          <w:spacing w:val="-16"/>
        </w:rPr>
        <w:t> </w:t>
      </w:r>
      <w:r>
        <w:rPr/>
        <w:t>quantitative</w:t>
      </w:r>
      <w:r>
        <w:rPr>
          <w:spacing w:val="-17"/>
        </w:rPr>
        <w:t> </w:t>
      </w:r>
      <w:r>
        <w:rPr/>
        <w:t>studies</w:t>
      </w:r>
      <w:r>
        <w:rPr>
          <w:spacing w:val="-17"/>
        </w:rPr>
        <w:t> </w:t>
      </w:r>
      <w:r>
        <w:rPr/>
        <w:t>have</w:t>
      </w:r>
      <w:r>
        <w:rPr>
          <w:spacing w:val="-16"/>
        </w:rPr>
        <w:t> </w:t>
      </w:r>
      <w:r>
        <w:rPr/>
        <w:t>been</w:t>
      </w:r>
      <w:r>
        <w:rPr>
          <w:spacing w:val="-17"/>
        </w:rPr>
        <w:t> </w:t>
      </w:r>
      <w:r>
        <w:rPr/>
        <w:t>performed</w:t>
      </w:r>
      <w:r>
        <w:rPr>
          <w:spacing w:val="-17"/>
        </w:rPr>
        <w:t> </w:t>
      </w:r>
      <w:r>
        <w:rPr/>
        <w:t>to</w:t>
      </w:r>
      <w:r>
        <w:rPr>
          <w:spacing w:val="-16"/>
        </w:rPr>
        <w:t> </w:t>
      </w:r>
      <w:r>
        <w:rPr/>
        <w:t>establish precise detection levels. However, the high compressibility of CO</w:t>
      </w:r>
      <w:r>
        <w:rPr>
          <w:position w:val="-6"/>
          <w:sz w:val="11"/>
        </w:rPr>
        <w:t>2 </w:t>
      </w:r>
      <w:r>
        <w:rPr/>
        <w:t>gas, combined with its low density, indicate that much lower levels of detection should be</w:t>
      </w:r>
      <w:r>
        <w:rPr>
          <w:spacing w:val="-2"/>
        </w:rPr>
        <w:t> </w:t>
      </w:r>
      <w:r>
        <w:rPr/>
        <w:t>possible.</w:t>
      </w:r>
    </w:p>
    <w:p>
      <w:pPr>
        <w:pStyle w:val="BodyText"/>
        <w:spacing w:line="249" w:lineRule="auto" w:before="5"/>
        <w:ind w:left="241" w:right="133" w:firstLine="283"/>
        <w:jc w:val="both"/>
      </w:pPr>
      <w:r>
        <w:rPr/>
        <w:t>The use of passive seismic  (microseismic)  techniques  also has potential value. Passive seismic monitoring detects microseismic events induced in the reservoir by </w:t>
      </w:r>
      <w:r>
        <w:rPr>
          <w:spacing w:val="-3"/>
        </w:rPr>
        <w:t>dynamic </w:t>
      </w:r>
      <w:r>
        <w:rPr/>
        <w:t>responses to the modification of pore pressures or </w:t>
      </w:r>
      <w:r>
        <w:rPr>
          <w:spacing w:val="-5"/>
        </w:rPr>
        <w:t>the </w:t>
      </w:r>
      <w:r>
        <w:rPr/>
        <w:t>reactivation or creation of small fractures. These discrete microearthquakes, with magnitudes on the order of -4 to 0 on the Richter scale (Wilson and Monea, 2005), are picked up by static arrays of sensors, often cemented into abandoned wells. These</w:t>
      </w:r>
      <w:r>
        <w:rPr>
          <w:spacing w:val="-6"/>
        </w:rPr>
        <w:t> </w:t>
      </w:r>
      <w:r>
        <w:rPr/>
        <w:t>microseismic</w:t>
      </w:r>
      <w:r>
        <w:rPr>
          <w:spacing w:val="-6"/>
        </w:rPr>
        <w:t> </w:t>
      </w:r>
      <w:r>
        <w:rPr/>
        <w:t>events</w:t>
      </w:r>
      <w:r>
        <w:rPr>
          <w:spacing w:val="-6"/>
        </w:rPr>
        <w:t> </w:t>
      </w:r>
      <w:r>
        <w:rPr/>
        <w:t>are</w:t>
      </w:r>
      <w:r>
        <w:rPr>
          <w:spacing w:val="-5"/>
        </w:rPr>
        <w:t> </w:t>
      </w:r>
      <w:r>
        <w:rPr/>
        <w:t>extremely</w:t>
      </w:r>
      <w:r>
        <w:rPr>
          <w:spacing w:val="-6"/>
        </w:rPr>
        <w:t> </w:t>
      </w:r>
      <w:r>
        <w:rPr/>
        <w:t>small,</w:t>
      </w:r>
      <w:r>
        <w:rPr>
          <w:spacing w:val="-7"/>
        </w:rPr>
        <w:t> </w:t>
      </w:r>
      <w:r>
        <w:rPr/>
        <w:t>but</w:t>
      </w:r>
      <w:r>
        <w:rPr>
          <w:spacing w:val="-5"/>
        </w:rPr>
        <w:t> </w:t>
      </w:r>
      <w:r>
        <w:rPr/>
        <w:t>monitoring the microseismic events may allow the tracking of pressure changes and, possibly, the movement of gas in the reservoir or saline</w:t>
      </w:r>
      <w:r>
        <w:rPr>
          <w:spacing w:val="-2"/>
        </w:rPr>
        <w:t> </w:t>
      </w:r>
      <w:r>
        <w:rPr/>
        <w:t>formation.</w:t>
      </w:r>
    </w:p>
    <w:p>
      <w:pPr>
        <w:pStyle w:val="BodyText"/>
        <w:spacing w:line="240" w:lineRule="exact" w:before="5"/>
        <w:ind w:left="241" w:right="132" w:firstLine="283"/>
        <w:jc w:val="both"/>
      </w:pPr>
      <w:r>
        <w:rPr/>
        <w:t>Non-seismic geophysical techniques include the use of electrical and electromagnetic and self-potential techniques (Benson </w:t>
      </w:r>
      <w:r>
        <w:rPr>
          <w:i/>
        </w:rPr>
        <w:t>et al.</w:t>
      </w:r>
      <w:r>
        <w:rPr/>
        <w:t>, 2004; Hoversten and Gasperikova, 2005). In addition, gravity techniques (ground or air-based) can be used to determine the migration of the CO</w:t>
      </w:r>
      <w:r>
        <w:rPr>
          <w:position w:val="-6"/>
          <w:sz w:val="11"/>
        </w:rPr>
        <w:t>2 </w:t>
      </w:r>
      <w:r>
        <w:rPr/>
        <w:t>plume in the subsurface. </w:t>
      </w:r>
      <w:r>
        <w:rPr>
          <w:spacing w:val="-3"/>
        </w:rPr>
        <w:t>Finally, </w:t>
      </w:r>
      <w:r>
        <w:rPr/>
        <w:t>tiltmeters or remote methods (geospatial surveys from aircraft or satellites) for measuring ground distortion may be used in some environments to assess subsurface movement of the plume. Tiltmeters and other techniques are most applicable in areas where natural variations in the surface, such as frost heave or wetting-drying cycles, do not mask the changes that occur from pressure changes. Gravity measurements will respond to changes in the subsurface brought on by density changes caused by the displacement of one fluid by another of different density (e.g., CO</w:t>
      </w:r>
      <w:r>
        <w:rPr>
          <w:position w:val="-6"/>
          <w:sz w:val="11"/>
        </w:rPr>
        <w:t>2 </w:t>
      </w:r>
      <w:r>
        <w:rPr/>
        <w:t>replacing water). Gravity is used with numerical modelling to infer those changes in density that best fit the observed data. The estimations of Benson </w:t>
      </w:r>
      <w:r>
        <w:rPr>
          <w:i/>
        </w:rPr>
        <w:t>et  </w:t>
      </w:r>
      <w:r>
        <w:rPr>
          <w:i/>
        </w:rPr>
        <w:t>al. </w:t>
      </w:r>
      <w:r>
        <w:rPr/>
        <w:t>(2004) suggest that gravity will not have the same level of resolution as seismic, with minimum levels of CO</w:t>
      </w:r>
      <w:r>
        <w:rPr>
          <w:position w:val="-6"/>
          <w:sz w:val="11"/>
        </w:rPr>
        <w:t>2 </w:t>
      </w:r>
      <w:r>
        <w:rPr/>
        <w:t>needed for detection on the order of several hundred thousand tonnes (an order</w:t>
      </w:r>
      <w:r>
        <w:rPr>
          <w:spacing w:val="-7"/>
        </w:rPr>
        <w:t> </w:t>
      </w:r>
      <w:r>
        <w:rPr/>
        <w:t>of</w:t>
      </w:r>
      <w:r>
        <w:rPr>
          <w:spacing w:val="-7"/>
        </w:rPr>
        <w:t> </w:t>
      </w:r>
      <w:r>
        <w:rPr/>
        <w:t>magnitude</w:t>
      </w:r>
      <w:r>
        <w:rPr>
          <w:spacing w:val="-7"/>
        </w:rPr>
        <w:t> </w:t>
      </w:r>
      <w:r>
        <w:rPr/>
        <w:t>greater</w:t>
      </w:r>
      <w:r>
        <w:rPr>
          <w:spacing w:val="-7"/>
        </w:rPr>
        <w:t> </w:t>
      </w:r>
      <w:r>
        <w:rPr/>
        <w:t>than</w:t>
      </w:r>
      <w:r>
        <w:rPr>
          <w:spacing w:val="-7"/>
        </w:rPr>
        <w:t> </w:t>
      </w:r>
      <w:r>
        <w:rPr/>
        <w:t>seismic).</w:t>
      </w:r>
      <w:r>
        <w:rPr>
          <w:spacing w:val="-11"/>
        </w:rPr>
        <w:t> </w:t>
      </w:r>
      <w:r>
        <w:rPr/>
        <w:t>This</w:t>
      </w:r>
      <w:r>
        <w:rPr>
          <w:spacing w:val="-6"/>
        </w:rPr>
        <w:t> </w:t>
      </w:r>
      <w:r>
        <w:rPr/>
        <w:t>may</w:t>
      </w:r>
      <w:r>
        <w:rPr>
          <w:spacing w:val="-7"/>
        </w:rPr>
        <w:t> </w:t>
      </w:r>
      <w:r>
        <w:rPr/>
        <w:t>be</w:t>
      </w:r>
      <w:r>
        <w:rPr>
          <w:spacing w:val="-7"/>
        </w:rPr>
        <w:t> </w:t>
      </w:r>
      <w:r>
        <w:rPr/>
        <w:t>adequate for</w:t>
      </w:r>
      <w:r>
        <w:rPr>
          <w:spacing w:val="-9"/>
        </w:rPr>
        <w:t> </w:t>
      </w:r>
      <w:r>
        <w:rPr/>
        <w:t>plume</w:t>
      </w:r>
      <w:r>
        <w:rPr>
          <w:spacing w:val="-8"/>
        </w:rPr>
        <w:t> </w:t>
      </w:r>
      <w:r>
        <w:rPr/>
        <w:t>movement,</w:t>
      </w:r>
      <w:r>
        <w:rPr>
          <w:spacing w:val="-8"/>
        </w:rPr>
        <w:t> </w:t>
      </w:r>
      <w:r>
        <w:rPr/>
        <w:t>but</w:t>
      </w:r>
      <w:r>
        <w:rPr>
          <w:spacing w:val="-8"/>
        </w:rPr>
        <w:t> </w:t>
      </w:r>
      <w:r>
        <w:rPr/>
        <w:t>not</w:t>
      </w:r>
      <w:r>
        <w:rPr>
          <w:spacing w:val="-8"/>
        </w:rPr>
        <w:t> </w:t>
      </w:r>
      <w:r>
        <w:rPr/>
        <w:t>for</w:t>
      </w:r>
      <w:r>
        <w:rPr>
          <w:spacing w:val="-8"/>
        </w:rPr>
        <w:t> </w:t>
      </w:r>
      <w:r>
        <w:rPr/>
        <w:t>the</w:t>
      </w:r>
      <w:r>
        <w:rPr>
          <w:spacing w:val="-8"/>
        </w:rPr>
        <w:t> </w:t>
      </w:r>
      <w:r>
        <w:rPr/>
        <w:t>early</w:t>
      </w:r>
      <w:r>
        <w:rPr>
          <w:spacing w:val="-8"/>
        </w:rPr>
        <w:t> </w:t>
      </w:r>
      <w:r>
        <w:rPr/>
        <w:t>definition</w:t>
      </w:r>
      <w:r>
        <w:rPr>
          <w:spacing w:val="-8"/>
        </w:rPr>
        <w:t> </w:t>
      </w:r>
      <w:r>
        <w:rPr/>
        <w:t>of</w:t>
      </w:r>
      <w:r>
        <w:rPr>
          <w:spacing w:val="-8"/>
        </w:rPr>
        <w:t> </w:t>
      </w:r>
      <w:r>
        <w:rPr/>
        <w:t>possible leaks.</w:t>
      </w:r>
      <w:r>
        <w:rPr>
          <w:spacing w:val="-18"/>
        </w:rPr>
        <w:t> </w:t>
      </w:r>
      <w:r>
        <w:rPr/>
        <w:t>A</w:t>
      </w:r>
      <w:r>
        <w:rPr>
          <w:spacing w:val="-18"/>
        </w:rPr>
        <w:t> </w:t>
      </w:r>
      <w:r>
        <w:rPr/>
        <w:t>seabed</w:t>
      </w:r>
      <w:r>
        <w:rPr>
          <w:spacing w:val="-8"/>
        </w:rPr>
        <w:t> </w:t>
      </w:r>
      <w:r>
        <w:rPr/>
        <w:t>gravity</w:t>
      </w:r>
      <w:r>
        <w:rPr>
          <w:spacing w:val="-8"/>
        </w:rPr>
        <w:t> </w:t>
      </w:r>
      <w:r>
        <w:rPr/>
        <w:t>survey</w:t>
      </w:r>
      <w:r>
        <w:rPr>
          <w:spacing w:val="-8"/>
        </w:rPr>
        <w:t> </w:t>
      </w:r>
      <w:r>
        <w:rPr/>
        <w:t>was</w:t>
      </w:r>
      <w:r>
        <w:rPr>
          <w:spacing w:val="-8"/>
        </w:rPr>
        <w:t> </w:t>
      </w:r>
      <w:r>
        <w:rPr/>
        <w:t>acquired</w:t>
      </w:r>
      <w:r>
        <w:rPr>
          <w:spacing w:val="-8"/>
        </w:rPr>
        <w:t> </w:t>
      </w:r>
      <w:r>
        <w:rPr/>
        <w:t>at</w:t>
      </w:r>
      <w:r>
        <w:rPr>
          <w:spacing w:val="-7"/>
        </w:rPr>
        <w:t> </w:t>
      </w:r>
      <w:r>
        <w:rPr/>
        <w:t>Sleipner</w:t>
      </w:r>
      <w:r>
        <w:rPr>
          <w:spacing w:val="-8"/>
        </w:rPr>
        <w:t> </w:t>
      </w:r>
      <w:r>
        <w:rPr/>
        <w:t>in</w:t>
      </w:r>
      <w:r>
        <w:rPr>
          <w:spacing w:val="-7"/>
        </w:rPr>
        <w:t> </w:t>
      </w:r>
      <w:r>
        <w:rPr/>
        <w:t>2002 and a repeat survey is planned for 2005. Results from these surveys have not yet been</w:t>
      </w:r>
      <w:r>
        <w:rPr>
          <w:spacing w:val="-2"/>
        </w:rPr>
        <w:t> </w:t>
      </w:r>
      <w:r>
        <w:rPr/>
        <w:t>published.</w:t>
      </w:r>
    </w:p>
    <w:p>
      <w:pPr>
        <w:pStyle w:val="BodyText"/>
        <w:spacing w:line="240" w:lineRule="exact"/>
        <w:ind w:left="241" w:right="132" w:firstLine="283"/>
        <w:jc w:val="both"/>
      </w:pPr>
      <w:r>
        <w:rPr/>
        <w:t>Electrical and electromagnetic techniques measure </w:t>
      </w:r>
      <w:r>
        <w:rPr>
          <w:spacing w:val="-5"/>
        </w:rPr>
        <w:t>the </w:t>
      </w:r>
      <w:r>
        <w:rPr/>
        <w:t>conducting of the subsurface. Conductivity changes created  by a change in the fluid, particularly the displacement of high conductivity saline waters with low-conductive CO</w:t>
      </w:r>
      <w:r>
        <w:rPr>
          <w:position w:val="-6"/>
          <w:sz w:val="11"/>
        </w:rPr>
        <w:t>2</w:t>
      </w:r>
      <w:r>
        <w:rPr/>
        <w:t>, can be detected by electrical or electromagnetic surveys. In addition to traditional electrical or electromagnetic techniques, the self- potential the natural electrical potential of the Earth can be measured to determine plume migration. The injection of CO</w:t>
      </w:r>
      <w:r>
        <w:rPr>
          <w:position w:val="-6"/>
          <w:sz w:val="11"/>
        </w:rPr>
        <w:t>2 </w:t>
      </w:r>
      <w:r>
        <w:rPr/>
        <w:t>will</w:t>
      </w:r>
      <w:r>
        <w:rPr>
          <w:spacing w:val="11"/>
        </w:rPr>
        <w:t> </w:t>
      </w:r>
      <w:r>
        <w:rPr/>
        <w:t>enhance</w:t>
      </w:r>
      <w:r>
        <w:rPr>
          <w:spacing w:val="12"/>
        </w:rPr>
        <w:t> </w:t>
      </w:r>
      <w:r>
        <w:rPr/>
        <w:t>fluid</w:t>
      </w:r>
      <w:r>
        <w:rPr>
          <w:spacing w:val="12"/>
        </w:rPr>
        <w:t> </w:t>
      </w:r>
      <w:r>
        <w:rPr/>
        <w:t>flow</w:t>
      </w:r>
      <w:r>
        <w:rPr>
          <w:spacing w:val="12"/>
        </w:rPr>
        <w:t> </w:t>
      </w:r>
      <w:r>
        <w:rPr/>
        <w:t>in</w:t>
      </w:r>
      <w:r>
        <w:rPr>
          <w:spacing w:val="12"/>
        </w:rPr>
        <w:t> </w:t>
      </w:r>
      <w:r>
        <w:rPr/>
        <w:t>the</w:t>
      </w:r>
      <w:r>
        <w:rPr>
          <w:spacing w:val="12"/>
        </w:rPr>
        <w:t> </w:t>
      </w:r>
      <w:r>
        <w:rPr/>
        <w:t>rock.</w:t>
      </w:r>
      <w:r>
        <w:rPr>
          <w:spacing w:val="8"/>
        </w:rPr>
        <w:t> </w:t>
      </w:r>
      <w:r>
        <w:rPr/>
        <w:t>This</w:t>
      </w:r>
      <w:r>
        <w:rPr>
          <w:spacing w:val="12"/>
        </w:rPr>
        <w:t> </w:t>
      </w:r>
      <w:r>
        <w:rPr/>
        <w:t>flow</w:t>
      </w:r>
      <w:r>
        <w:rPr>
          <w:spacing w:val="12"/>
        </w:rPr>
        <w:t> </w:t>
      </w:r>
      <w:r>
        <w:rPr/>
        <w:t>can</w:t>
      </w:r>
      <w:r>
        <w:rPr>
          <w:spacing w:val="12"/>
        </w:rPr>
        <w:t> </w:t>
      </w:r>
      <w:r>
        <w:rPr/>
        <w:t>produce</w:t>
      </w:r>
      <w:r>
        <w:rPr>
          <w:spacing w:val="12"/>
        </w:rPr>
        <w:t> </w:t>
      </w:r>
      <w:r>
        <w:rPr/>
        <w:t>an</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157" w:right="38"/>
        <w:jc w:val="both"/>
      </w:pPr>
      <w:r>
        <w:rPr/>
        <w:t>electrical</w:t>
      </w:r>
      <w:r>
        <w:rPr>
          <w:spacing w:val="-24"/>
        </w:rPr>
        <w:t> </w:t>
      </w:r>
      <w:r>
        <w:rPr/>
        <w:t>potential</w:t>
      </w:r>
      <w:r>
        <w:rPr>
          <w:spacing w:val="-23"/>
        </w:rPr>
        <w:t> </w:t>
      </w:r>
      <w:r>
        <w:rPr/>
        <w:t>that</w:t>
      </w:r>
      <w:r>
        <w:rPr>
          <w:spacing w:val="-23"/>
        </w:rPr>
        <w:t> </w:t>
      </w:r>
      <w:r>
        <w:rPr/>
        <w:t>is</w:t>
      </w:r>
      <w:r>
        <w:rPr>
          <w:spacing w:val="-24"/>
        </w:rPr>
        <w:t> </w:t>
      </w:r>
      <w:r>
        <w:rPr/>
        <w:t>measured</w:t>
      </w:r>
      <w:r>
        <w:rPr>
          <w:spacing w:val="-23"/>
        </w:rPr>
        <w:t> </w:t>
      </w:r>
      <w:r>
        <w:rPr/>
        <w:t>against</w:t>
      </w:r>
      <w:r>
        <w:rPr>
          <w:spacing w:val="-23"/>
        </w:rPr>
        <w:t> </w:t>
      </w:r>
      <w:r>
        <w:rPr/>
        <w:t>a</w:t>
      </w:r>
      <w:r>
        <w:rPr>
          <w:spacing w:val="-23"/>
        </w:rPr>
        <w:t> </w:t>
      </w:r>
      <w:r>
        <w:rPr/>
        <w:t>reference</w:t>
      </w:r>
      <w:r>
        <w:rPr>
          <w:spacing w:val="-24"/>
        </w:rPr>
        <w:t> </w:t>
      </w:r>
      <w:r>
        <w:rPr/>
        <w:t>electrode. This technique is low cost, but is also of low resolution. It </w:t>
      </w:r>
      <w:r>
        <w:rPr>
          <w:spacing w:val="-4"/>
        </w:rPr>
        <w:t>can, </w:t>
      </w:r>
      <w:r>
        <w:rPr/>
        <w:t>however, be a useful tool for measuring the plume movement. According</w:t>
      </w:r>
      <w:r>
        <w:rPr>
          <w:spacing w:val="-16"/>
        </w:rPr>
        <w:t> </w:t>
      </w:r>
      <w:r>
        <w:rPr/>
        <w:t>to</w:t>
      </w:r>
      <w:r>
        <w:rPr>
          <w:spacing w:val="-15"/>
        </w:rPr>
        <w:t> </w:t>
      </w:r>
      <w:r>
        <w:rPr/>
        <w:t>Hoversten</w:t>
      </w:r>
      <w:r>
        <w:rPr>
          <w:spacing w:val="-15"/>
        </w:rPr>
        <w:t> </w:t>
      </w:r>
      <w:r>
        <w:rPr/>
        <w:t>and</w:t>
      </w:r>
      <w:r>
        <w:rPr>
          <w:spacing w:val="-16"/>
        </w:rPr>
        <w:t> </w:t>
      </w:r>
      <w:r>
        <w:rPr/>
        <w:t>Gasperikova</w:t>
      </w:r>
      <w:r>
        <w:rPr>
          <w:spacing w:val="-15"/>
        </w:rPr>
        <w:t> </w:t>
      </w:r>
      <w:r>
        <w:rPr/>
        <w:t>(2005),</w:t>
      </w:r>
      <w:r>
        <w:rPr>
          <w:spacing w:val="-15"/>
        </w:rPr>
        <w:t> </w:t>
      </w:r>
      <w:r>
        <w:rPr/>
        <w:t>this</w:t>
      </w:r>
      <w:r>
        <w:rPr>
          <w:spacing w:val="-15"/>
        </w:rPr>
        <w:t> </w:t>
      </w:r>
      <w:r>
        <w:rPr/>
        <w:t>technique will require more work to determine its resolution and overall effectiveness.</w:t>
      </w:r>
    </w:p>
    <w:p>
      <w:pPr>
        <w:pStyle w:val="BodyText"/>
        <w:spacing w:before="3"/>
        <w:rPr>
          <w:sz w:val="21"/>
        </w:rPr>
      </w:pPr>
    </w:p>
    <w:p>
      <w:pPr>
        <w:pStyle w:val="ListParagraph"/>
        <w:numPr>
          <w:ilvl w:val="3"/>
          <w:numId w:val="11"/>
        </w:numPr>
        <w:tabs>
          <w:tab w:pos="977" w:val="left" w:leader="none"/>
        </w:tabs>
        <w:spacing w:line="249" w:lineRule="auto" w:before="1" w:after="0"/>
        <w:ind w:left="977" w:right="792" w:hanging="820"/>
        <w:jc w:val="both"/>
        <w:rPr>
          <w:i/>
          <w:sz w:val="20"/>
        </w:rPr>
      </w:pPr>
      <w:r>
        <w:rPr>
          <w:i/>
          <w:sz w:val="20"/>
        </w:rPr>
        <w:t>Monitoring case study: IEA-GHG </w:t>
      </w:r>
      <w:r>
        <w:rPr>
          <w:i/>
          <w:spacing w:val="-5"/>
          <w:sz w:val="20"/>
        </w:rPr>
        <w:t>Weyburn </w:t>
      </w:r>
      <w:r>
        <w:rPr>
          <w:i/>
          <w:sz w:val="20"/>
        </w:rPr>
        <w:t>Monitoring and Storage</w:t>
      </w:r>
      <w:r>
        <w:rPr>
          <w:i/>
          <w:spacing w:val="-2"/>
          <w:sz w:val="20"/>
        </w:rPr>
        <w:t> </w:t>
      </w:r>
      <w:r>
        <w:rPr>
          <w:i/>
          <w:sz w:val="20"/>
        </w:rPr>
        <w:t>Project</w:t>
      </w:r>
    </w:p>
    <w:p>
      <w:pPr>
        <w:pStyle w:val="BodyText"/>
        <w:spacing w:line="249" w:lineRule="auto" w:before="1"/>
        <w:ind w:left="157" w:right="38"/>
        <w:jc w:val="both"/>
        <w:rPr>
          <w:sz w:val="11"/>
        </w:rPr>
      </w:pPr>
      <w:r>
        <w:rPr/>
        <w:t>At </w:t>
      </w:r>
      <w:r>
        <w:rPr>
          <w:spacing w:val="-3"/>
        </w:rPr>
        <w:t>Weyburn </w:t>
      </w:r>
      <w:hyperlink w:history="true" w:anchor="_bookmark9">
        <w:r>
          <w:rPr/>
          <w:t>(Box 5.3), </w:t>
        </w:r>
      </w:hyperlink>
      <w:r>
        <w:rPr/>
        <w:t>a monitoring programme was added to a commercial EOR project to develop and evaluate </w:t>
      </w:r>
      <w:r>
        <w:rPr>
          <w:spacing w:val="-3"/>
        </w:rPr>
        <w:t>methods </w:t>
      </w:r>
      <w:r>
        <w:rPr/>
        <w:t>for  tracking  CO</w:t>
      </w:r>
      <w:r>
        <w:rPr>
          <w:position w:val="-6"/>
          <w:sz w:val="11"/>
        </w:rPr>
        <w:t>2</w:t>
      </w:r>
      <w:r>
        <w:rPr/>
        <w:t>.  Baseline  data  was  collected  prior  to</w:t>
      </w:r>
      <w:r>
        <w:rPr>
          <w:spacing w:val="-20"/>
        </w:rPr>
        <w:t> </w:t>
      </w:r>
      <w:r>
        <w:rPr/>
        <w:t>CO</w:t>
      </w:r>
      <w:r>
        <w:rPr>
          <w:position w:val="-6"/>
          <w:sz w:val="11"/>
        </w:rPr>
        <w:t>2</w:t>
      </w:r>
    </w:p>
    <w:p>
      <w:pPr>
        <w:pStyle w:val="BodyText"/>
        <w:spacing w:line="182" w:lineRule="exact"/>
        <w:ind w:left="157"/>
        <w:jc w:val="both"/>
      </w:pPr>
      <w:r>
        <w:rPr/>
        <w:t>injection</w:t>
      </w:r>
      <w:r>
        <w:rPr>
          <w:spacing w:val="29"/>
        </w:rPr>
        <w:t> </w:t>
      </w:r>
      <w:r>
        <w:rPr/>
        <w:t>(beginning</w:t>
      </w:r>
      <w:r>
        <w:rPr>
          <w:spacing w:val="29"/>
        </w:rPr>
        <w:t> </w:t>
      </w:r>
      <w:r>
        <w:rPr/>
        <w:t>in</w:t>
      </w:r>
      <w:r>
        <w:rPr>
          <w:spacing w:val="29"/>
        </w:rPr>
        <w:t> </w:t>
      </w:r>
      <w:r>
        <w:rPr/>
        <w:t>late</w:t>
      </w:r>
      <w:r>
        <w:rPr>
          <w:spacing w:val="29"/>
        </w:rPr>
        <w:t> </w:t>
      </w:r>
      <w:r>
        <w:rPr/>
        <w:t>2000).</w:t>
      </w:r>
      <w:r>
        <w:rPr>
          <w:spacing w:val="26"/>
        </w:rPr>
        <w:t> </w:t>
      </w:r>
      <w:r>
        <w:rPr/>
        <w:t>These</w:t>
      </w:r>
      <w:r>
        <w:rPr>
          <w:spacing w:val="29"/>
        </w:rPr>
        <w:t> </w:t>
      </w:r>
      <w:r>
        <w:rPr/>
        <w:t>data</w:t>
      </w:r>
      <w:r>
        <w:rPr>
          <w:spacing w:val="29"/>
        </w:rPr>
        <w:t> </w:t>
      </w:r>
      <w:r>
        <w:rPr/>
        <w:t>included</w:t>
      </w:r>
      <w:r>
        <w:rPr>
          <w:spacing w:val="29"/>
        </w:rPr>
        <w:t> </w:t>
      </w:r>
      <w:r>
        <w:rPr/>
        <w:t>fluid</w:t>
      </w:r>
    </w:p>
    <w:p>
      <w:pPr>
        <w:pStyle w:val="BodyText"/>
        <w:spacing w:line="249" w:lineRule="auto" w:before="10"/>
        <w:ind w:left="157" w:right="39"/>
        <w:jc w:val="both"/>
      </w:pPr>
      <w:r>
        <w:rPr/>
        <w:t>samples (water and oil) and seismic surveys. </w:t>
      </w:r>
      <w:r>
        <w:rPr>
          <w:spacing w:val="-5"/>
        </w:rPr>
        <w:t>Two </w:t>
      </w:r>
      <w:r>
        <w:rPr/>
        <w:t>levels of seismic surveys were undertaken, with an extensive three- dimensional (3D), 3-component survey over the original injection area and a detailed 3D, 9-component survey over a limited</w:t>
      </w:r>
      <w:r>
        <w:rPr>
          <w:spacing w:val="-15"/>
        </w:rPr>
        <w:t> </w:t>
      </w:r>
      <w:r>
        <w:rPr/>
        <w:t>portion</w:t>
      </w:r>
      <w:r>
        <w:rPr>
          <w:spacing w:val="-14"/>
        </w:rPr>
        <w:t> </w:t>
      </w:r>
      <w:r>
        <w:rPr/>
        <w:t>of</w:t>
      </w:r>
      <w:r>
        <w:rPr>
          <w:spacing w:val="-14"/>
        </w:rPr>
        <w:t> </w:t>
      </w:r>
      <w:r>
        <w:rPr/>
        <w:t>the</w:t>
      </w:r>
      <w:r>
        <w:rPr>
          <w:spacing w:val="-13"/>
        </w:rPr>
        <w:t> </w:t>
      </w:r>
      <w:r>
        <w:rPr/>
        <w:t>injection</w:t>
      </w:r>
      <w:r>
        <w:rPr>
          <w:spacing w:val="-15"/>
        </w:rPr>
        <w:t> </w:t>
      </w:r>
      <w:r>
        <w:rPr/>
        <w:t>area.</w:t>
      </w:r>
      <w:r>
        <w:rPr>
          <w:spacing w:val="-14"/>
        </w:rPr>
        <w:t> </w:t>
      </w:r>
      <w:r>
        <w:rPr/>
        <w:t>In</w:t>
      </w:r>
      <w:r>
        <w:rPr>
          <w:spacing w:val="-14"/>
        </w:rPr>
        <w:t> </w:t>
      </w:r>
      <w:r>
        <w:rPr/>
        <w:t>addition,</w:t>
      </w:r>
      <w:r>
        <w:rPr>
          <w:spacing w:val="-14"/>
        </w:rPr>
        <w:t> </w:t>
      </w:r>
      <w:r>
        <w:rPr/>
        <w:t>vertical</w:t>
      </w:r>
      <w:r>
        <w:rPr>
          <w:spacing w:val="-15"/>
        </w:rPr>
        <w:t> </w:t>
      </w:r>
      <w:r>
        <w:rPr/>
        <w:t>seismic profiling and cross-well seismic tomography (between two vertical or horizontal wells) was undertaken. Passive seismic (microseismic)</w:t>
      </w:r>
      <w:r>
        <w:rPr>
          <w:spacing w:val="35"/>
        </w:rPr>
        <w:t> </w:t>
      </w:r>
      <w:r>
        <w:rPr/>
        <w:t>monitoring</w:t>
      </w:r>
      <w:r>
        <w:rPr>
          <w:spacing w:val="35"/>
        </w:rPr>
        <w:t> </w:t>
      </w:r>
      <w:r>
        <w:rPr/>
        <w:t>has</w:t>
      </w:r>
      <w:r>
        <w:rPr>
          <w:spacing w:val="36"/>
        </w:rPr>
        <w:t> </w:t>
      </w:r>
      <w:r>
        <w:rPr/>
        <w:t>recently</w:t>
      </w:r>
      <w:r>
        <w:rPr>
          <w:spacing w:val="35"/>
        </w:rPr>
        <w:t> </w:t>
      </w:r>
      <w:r>
        <w:rPr/>
        <w:t>been</w:t>
      </w:r>
      <w:r>
        <w:rPr>
          <w:spacing w:val="35"/>
        </w:rPr>
        <w:t> </w:t>
      </w:r>
      <w:r>
        <w:rPr/>
        <w:t>installed</w:t>
      </w:r>
      <w:r>
        <w:rPr>
          <w:spacing w:val="36"/>
        </w:rPr>
        <w:t> </w:t>
      </w:r>
      <w:r>
        <w:rPr/>
        <w:t>at</w:t>
      </w:r>
      <w:r>
        <w:rPr>
          <w:spacing w:val="35"/>
        </w:rPr>
        <w:t> </w:t>
      </w:r>
      <w:r>
        <w:rPr>
          <w:spacing w:val="-5"/>
        </w:rPr>
        <w:t>the</w:t>
      </w:r>
    </w:p>
    <w:p>
      <w:pPr>
        <w:pStyle w:val="BodyText"/>
        <w:spacing w:line="240" w:lineRule="exact" w:before="58"/>
        <w:ind w:left="157" w:right="531"/>
        <w:jc w:val="both"/>
      </w:pPr>
      <w:r>
        <w:rPr/>
        <w:br w:type="column"/>
      </w:r>
      <w:r>
        <w:rPr/>
        <w:t>site. Other monitoring includes surface gas surveys (Strutt </w:t>
      </w:r>
      <w:r>
        <w:rPr>
          <w:i/>
        </w:rPr>
        <w:t>et </w:t>
      </w:r>
      <w:r>
        <w:rPr>
          <w:i/>
        </w:rPr>
        <w:t>al.</w:t>
      </w:r>
      <w:r>
        <w:rPr/>
        <w:t>, 2003) and potable water monitoring (the </w:t>
      </w:r>
      <w:r>
        <w:rPr>
          <w:spacing w:val="-3"/>
        </w:rPr>
        <w:t>Weyburn </w:t>
      </w:r>
      <w:r>
        <w:rPr/>
        <w:t>field underlies an area with limited surface water availability, so groundwater</w:t>
      </w:r>
      <w:r>
        <w:rPr>
          <w:spacing w:val="-9"/>
        </w:rPr>
        <w:t> </w:t>
      </w:r>
      <w:r>
        <w:rPr/>
        <w:t>provides</w:t>
      </w:r>
      <w:r>
        <w:rPr>
          <w:spacing w:val="-8"/>
        </w:rPr>
        <w:t> </w:t>
      </w:r>
      <w:r>
        <w:rPr/>
        <w:t>the</w:t>
      </w:r>
      <w:r>
        <w:rPr>
          <w:spacing w:val="-9"/>
        </w:rPr>
        <w:t> </w:t>
      </w:r>
      <w:r>
        <w:rPr/>
        <w:t>major</w:t>
      </w:r>
      <w:r>
        <w:rPr>
          <w:spacing w:val="-8"/>
        </w:rPr>
        <w:t> </w:t>
      </w:r>
      <w:r>
        <w:rPr/>
        <w:t>potable</w:t>
      </w:r>
      <w:r>
        <w:rPr>
          <w:spacing w:val="-9"/>
        </w:rPr>
        <w:t> </w:t>
      </w:r>
      <w:r>
        <w:rPr/>
        <w:t>water</w:t>
      </w:r>
      <w:r>
        <w:rPr>
          <w:spacing w:val="-8"/>
        </w:rPr>
        <w:t> </w:t>
      </w:r>
      <w:r>
        <w:rPr/>
        <w:t>supply).</w:t>
      </w:r>
      <w:r>
        <w:rPr>
          <w:spacing w:val="-9"/>
        </w:rPr>
        <w:t> </w:t>
      </w:r>
      <w:r>
        <w:rPr/>
        <w:t>Injected volumes (CO</w:t>
      </w:r>
      <w:r>
        <w:rPr>
          <w:position w:val="-6"/>
          <w:sz w:val="11"/>
        </w:rPr>
        <w:t>2 </w:t>
      </w:r>
      <w:r>
        <w:rPr/>
        <w:t>and water) were also monitored. Any leaks from surface facilities are carefully monitored. Additionally, several wells</w:t>
      </w:r>
      <w:r>
        <w:rPr>
          <w:spacing w:val="-10"/>
        </w:rPr>
        <w:t> </w:t>
      </w:r>
      <w:r>
        <w:rPr/>
        <w:t>were</w:t>
      </w:r>
      <w:r>
        <w:rPr>
          <w:spacing w:val="-9"/>
        </w:rPr>
        <w:t> </w:t>
      </w:r>
      <w:r>
        <w:rPr/>
        <w:t>converted</w:t>
      </w:r>
      <w:r>
        <w:rPr>
          <w:spacing w:val="-9"/>
        </w:rPr>
        <w:t> </w:t>
      </w:r>
      <w:r>
        <w:rPr/>
        <w:t>to</w:t>
      </w:r>
      <w:r>
        <w:rPr>
          <w:spacing w:val="-9"/>
        </w:rPr>
        <w:t> </w:t>
      </w:r>
      <w:r>
        <w:rPr/>
        <w:t>observation</w:t>
      </w:r>
      <w:r>
        <w:rPr>
          <w:spacing w:val="-9"/>
        </w:rPr>
        <w:t> </w:t>
      </w:r>
      <w:r>
        <w:rPr/>
        <w:t>wells</w:t>
      </w:r>
      <w:r>
        <w:rPr>
          <w:spacing w:val="-9"/>
        </w:rPr>
        <w:t> </w:t>
      </w:r>
      <w:r>
        <w:rPr/>
        <w:t>to</w:t>
      </w:r>
      <w:r>
        <w:rPr>
          <w:spacing w:val="-9"/>
        </w:rPr>
        <w:t> </w:t>
      </w:r>
      <w:r>
        <w:rPr/>
        <w:t>allow</w:t>
      </w:r>
      <w:r>
        <w:rPr>
          <w:spacing w:val="-9"/>
        </w:rPr>
        <w:t> </w:t>
      </w:r>
      <w:r>
        <w:rPr/>
        <w:t>access</w:t>
      </w:r>
      <w:r>
        <w:rPr>
          <w:spacing w:val="-9"/>
        </w:rPr>
        <w:t> </w:t>
      </w:r>
      <w:r>
        <w:rPr/>
        <w:t>to</w:t>
      </w:r>
      <w:r>
        <w:rPr>
          <w:spacing w:val="-9"/>
        </w:rPr>
        <w:t> </w:t>
      </w:r>
      <w:r>
        <w:rPr/>
        <w:t>the reservoir. Subsequently, one well was abandoned, but seismic monitors were cemented into place in the well for passive seismic monitoring to be</w:t>
      </w:r>
      <w:r>
        <w:rPr>
          <w:spacing w:val="-2"/>
        </w:rPr>
        <w:t> </w:t>
      </w:r>
      <w:r>
        <w:rPr/>
        <w:t>undertaken.</w:t>
      </w:r>
    </w:p>
    <w:p>
      <w:pPr>
        <w:pStyle w:val="BodyText"/>
        <w:spacing w:line="240" w:lineRule="exact"/>
        <w:ind w:left="157" w:right="530" w:firstLine="283"/>
        <w:jc w:val="both"/>
      </w:pPr>
      <w:r>
        <w:rPr/>
        <w:t>Since injection began, reservoir fluids have been regularly collected</w:t>
      </w:r>
      <w:r>
        <w:rPr>
          <w:spacing w:val="-13"/>
        </w:rPr>
        <w:t> </w:t>
      </w:r>
      <w:r>
        <w:rPr/>
        <w:t>and</w:t>
      </w:r>
      <w:r>
        <w:rPr>
          <w:spacing w:val="-13"/>
        </w:rPr>
        <w:t> </w:t>
      </w:r>
      <w:r>
        <w:rPr/>
        <w:t>analyzed.</w:t>
      </w:r>
      <w:r>
        <w:rPr>
          <w:spacing w:val="-24"/>
        </w:rPr>
        <w:t> </w:t>
      </w:r>
      <w:r>
        <w:rPr/>
        <w:t>Analysis</w:t>
      </w:r>
      <w:r>
        <w:rPr>
          <w:spacing w:val="-13"/>
        </w:rPr>
        <w:t> </w:t>
      </w:r>
      <w:r>
        <w:rPr/>
        <w:t>includes</w:t>
      </w:r>
      <w:r>
        <w:rPr>
          <w:spacing w:val="-13"/>
        </w:rPr>
        <w:t> </w:t>
      </w:r>
      <w:r>
        <w:rPr/>
        <w:t>chemical</w:t>
      </w:r>
      <w:r>
        <w:rPr>
          <w:spacing w:val="-13"/>
        </w:rPr>
        <w:t> </w:t>
      </w:r>
      <w:r>
        <w:rPr/>
        <w:t>and</w:t>
      </w:r>
      <w:r>
        <w:rPr>
          <w:spacing w:val="-13"/>
        </w:rPr>
        <w:t> </w:t>
      </w:r>
      <w:r>
        <w:rPr/>
        <w:t>isotopic analyses of reservoir water samples, as well as maintaining an understanding of miscibility relationships between the oil </w:t>
      </w:r>
      <w:r>
        <w:rPr>
          <w:spacing w:val="-5"/>
        </w:rPr>
        <w:t>and </w:t>
      </w:r>
      <w:r>
        <w:rPr/>
        <w:t>the injected CO</w:t>
      </w:r>
      <w:r>
        <w:rPr>
          <w:position w:val="-6"/>
          <w:sz w:val="11"/>
        </w:rPr>
        <w:t>2</w:t>
      </w:r>
      <w:r>
        <w:rPr/>
        <w:t>. Several seismic surveys have been</w:t>
      </w:r>
      <w:r>
        <w:rPr>
          <w:spacing w:val="-29"/>
        </w:rPr>
        <w:t> </w:t>
      </w:r>
      <w:r>
        <w:rPr/>
        <w:t>conducted (one</w:t>
      </w:r>
      <w:r>
        <w:rPr>
          <w:spacing w:val="-17"/>
        </w:rPr>
        <w:t> </w:t>
      </w:r>
      <w:r>
        <w:rPr/>
        <w:t>year</w:t>
      </w:r>
      <w:r>
        <w:rPr>
          <w:spacing w:val="-16"/>
        </w:rPr>
        <w:t> </w:t>
      </w:r>
      <w:r>
        <w:rPr/>
        <w:t>and</w:t>
      </w:r>
      <w:r>
        <w:rPr>
          <w:spacing w:val="-16"/>
        </w:rPr>
        <w:t> </w:t>
      </w:r>
      <w:r>
        <w:rPr/>
        <w:t>two</w:t>
      </w:r>
      <w:r>
        <w:rPr>
          <w:spacing w:val="-17"/>
        </w:rPr>
        <w:t> </w:t>
      </w:r>
      <w:r>
        <w:rPr/>
        <w:t>years</w:t>
      </w:r>
      <w:r>
        <w:rPr>
          <w:spacing w:val="-16"/>
        </w:rPr>
        <w:t> </w:t>
      </w:r>
      <w:r>
        <w:rPr/>
        <w:t>after</w:t>
      </w:r>
      <w:r>
        <w:rPr>
          <w:spacing w:val="-16"/>
        </w:rPr>
        <w:t> </w:t>
      </w:r>
      <w:r>
        <w:rPr/>
        <w:t>injection</w:t>
      </w:r>
      <w:r>
        <w:rPr>
          <w:spacing w:val="-18"/>
        </w:rPr>
        <w:t> </w:t>
      </w:r>
      <w:r>
        <w:rPr/>
        <w:t>of</w:t>
      </w:r>
      <w:r>
        <w:rPr>
          <w:spacing w:val="-16"/>
        </w:rPr>
        <w:t> </w:t>
      </w:r>
      <w:r>
        <w:rPr/>
        <w:t>CO</w:t>
      </w:r>
      <w:r>
        <w:rPr>
          <w:position w:val="-6"/>
          <w:sz w:val="11"/>
        </w:rPr>
        <w:t>2</w:t>
      </w:r>
      <w:r>
        <w:rPr>
          <w:spacing w:val="6"/>
          <w:position w:val="-6"/>
          <w:sz w:val="11"/>
        </w:rPr>
        <w:t> </w:t>
      </w:r>
      <w:r>
        <w:rPr/>
        <w:t>was</w:t>
      </w:r>
      <w:r>
        <w:rPr>
          <w:spacing w:val="-17"/>
        </w:rPr>
        <w:t> </w:t>
      </w:r>
      <w:r>
        <w:rPr/>
        <w:t>initiated)</w:t>
      </w:r>
      <w:r>
        <w:rPr>
          <w:spacing w:val="-17"/>
        </w:rPr>
        <w:t> </w:t>
      </w:r>
      <w:r>
        <w:rPr/>
        <w:t>with the processed data clearly showing the movement of CO</w:t>
      </w:r>
      <w:r>
        <w:rPr>
          <w:position w:val="-6"/>
          <w:sz w:val="11"/>
        </w:rPr>
        <w:t>2 </w:t>
      </w:r>
      <w:r>
        <w:rPr/>
        <w:t>in</w:t>
      </w:r>
      <w:r>
        <w:rPr>
          <w:spacing w:val="-22"/>
        </w:rPr>
        <w:t> </w:t>
      </w:r>
      <w:r>
        <w:rPr/>
        <w:t>the reservoir. Annual surface analysis of soil gas is also</w:t>
      </w:r>
      <w:r>
        <w:rPr>
          <w:spacing w:val="-28"/>
        </w:rPr>
        <w:t> </w:t>
      </w:r>
      <w:r>
        <w:rPr/>
        <w:t>continuing (Strutt </w:t>
      </w:r>
      <w:r>
        <w:rPr>
          <w:i/>
        </w:rPr>
        <w:t>et al.</w:t>
      </w:r>
      <w:r>
        <w:rPr/>
        <w:t>, 2003), as is  analysis  of  near-surface  </w:t>
      </w:r>
      <w:r>
        <w:rPr>
          <w:spacing w:val="-3"/>
        </w:rPr>
        <w:t>water.  </w:t>
      </w:r>
      <w:r>
        <w:rPr/>
        <w:t>The analyses are being synthesized to gain a comprehensive knowledge</w:t>
      </w:r>
      <w:r>
        <w:rPr>
          <w:spacing w:val="34"/>
        </w:rPr>
        <w:t> </w:t>
      </w:r>
      <w:r>
        <w:rPr/>
        <w:t>of</w:t>
      </w:r>
      <w:r>
        <w:rPr>
          <w:spacing w:val="35"/>
        </w:rPr>
        <w:t> </w:t>
      </w:r>
      <w:r>
        <w:rPr/>
        <w:t>CO</w:t>
      </w:r>
      <w:bookmarkStart w:name="_bookmark39" w:id="77"/>
      <w:bookmarkEnd w:id="77"/>
      <w:r>
        <w:rPr/>
      </w:r>
      <w:r>
        <w:rPr>
          <w:position w:val="-6"/>
          <w:sz w:val="11"/>
        </w:rPr>
        <w:t>2</w:t>
      </w:r>
      <w:r>
        <w:rPr>
          <w:spacing w:val="2"/>
          <w:position w:val="-6"/>
          <w:sz w:val="11"/>
        </w:rPr>
        <w:t> </w:t>
      </w:r>
      <w:r>
        <w:rPr/>
        <w:t>migration</w:t>
      </w:r>
      <w:r>
        <w:rPr>
          <w:spacing w:val="35"/>
        </w:rPr>
        <w:t> </w:t>
      </w:r>
      <w:r>
        <w:rPr/>
        <w:t>in</w:t>
      </w:r>
      <w:r>
        <w:rPr>
          <w:spacing w:val="35"/>
        </w:rPr>
        <w:t> </w:t>
      </w:r>
      <w:r>
        <w:rPr/>
        <w:t>the</w:t>
      </w:r>
      <w:r>
        <w:rPr>
          <w:spacing w:val="35"/>
        </w:rPr>
        <w:t> </w:t>
      </w:r>
      <w:r>
        <w:rPr/>
        <w:t>reservoir,</w:t>
      </w:r>
      <w:r>
        <w:rPr>
          <w:spacing w:val="35"/>
        </w:rPr>
        <w:t> </w:t>
      </w:r>
      <w:r>
        <w:rPr/>
        <w:t>to</w:t>
      </w:r>
      <w:r>
        <w:rPr>
          <w:spacing w:val="35"/>
        </w:rPr>
        <w:t> </w:t>
      </w:r>
      <w:r>
        <w:rPr/>
        <w:t>understand</w:t>
      </w:r>
    </w:p>
    <w:p>
      <w:pPr>
        <w:spacing w:after="0" w:line="240" w:lineRule="exact"/>
        <w:jc w:val="both"/>
        <w:sectPr>
          <w:type w:val="continuous"/>
          <w:pgSz w:w="12240" w:h="15840"/>
          <w:pgMar w:top="400" w:bottom="280" w:left="580" w:right="600"/>
          <w:cols w:num="2" w:equalWidth="0">
            <w:col w:w="5242" w:space="84"/>
            <w:col w:w="5734"/>
          </w:cols>
        </w:sectPr>
      </w:pPr>
    </w:p>
    <w:p>
      <w:pPr>
        <w:pStyle w:val="BodyText"/>
        <w:spacing w:before="10" w:after="1"/>
        <w:rPr>
          <w:sz w:val="11"/>
        </w:rPr>
      </w:pPr>
    </w:p>
    <w:p>
      <w:pPr>
        <w:pStyle w:val="BodyText"/>
        <w:ind w:left="175"/>
      </w:pPr>
      <w:r>
        <w:rPr/>
        <w:pict>
          <v:group style="width:517.5500pt;height:367.9pt;mso-position-horizontal-relative:char;mso-position-vertical-relative:line" coordorigin="0,0" coordsize="10351,7358">
            <v:shape style="position:absolute;left:120;top:120;width:10129;height:7028" type="#_x0000_t75" stroked="false">
              <v:imagedata r:id="rId229" o:title=""/>
            </v:shape>
            <v:rect style="position:absolute;left:5;top:5;width:10341;height:7348" filled="false" stroked="true" strokeweight=".5pt" strokecolor="#000000">
              <v:stroke dashstyle="solid"/>
            </v:rect>
          </v:group>
        </w:pict>
      </w:r>
      <w:r>
        <w:rPr/>
      </w:r>
    </w:p>
    <w:p>
      <w:pPr>
        <w:spacing w:line="235" w:lineRule="exact" w:before="0"/>
        <w:ind w:left="152" w:right="0" w:firstLine="0"/>
        <w:jc w:val="left"/>
        <w:rPr>
          <w:sz w:val="18"/>
        </w:rPr>
      </w:pPr>
      <w:r>
        <w:rPr>
          <w:b/>
          <w:sz w:val="18"/>
        </w:rPr>
        <w:t>Figure 5.24  </w:t>
      </w:r>
      <w:r>
        <w:rPr>
          <w:sz w:val="18"/>
        </w:rPr>
        <w:t>The produced water chemistry before CO</w:t>
      </w:r>
      <w:r>
        <w:rPr>
          <w:position w:val="-5"/>
          <w:sz w:val="10"/>
        </w:rPr>
        <w:t>2  </w:t>
      </w:r>
      <w:r>
        <w:rPr>
          <w:sz w:val="18"/>
        </w:rPr>
        <w:t>injection and the produced water chemistry after 12 months and 31 months of</w:t>
      </w:r>
      <w:r>
        <w:rPr>
          <w:spacing w:val="30"/>
          <w:sz w:val="18"/>
        </w:rPr>
        <w:t> </w:t>
      </w:r>
      <w:r>
        <w:rPr>
          <w:sz w:val="18"/>
        </w:rPr>
        <w:t>injection</w:t>
      </w:r>
    </w:p>
    <w:p>
      <w:pPr>
        <w:spacing w:line="191" w:lineRule="exact" w:before="0"/>
        <w:ind w:left="152" w:right="0" w:firstLine="0"/>
        <w:jc w:val="left"/>
        <w:rPr>
          <w:sz w:val="18"/>
        </w:rPr>
      </w:pPr>
      <w:r>
        <w:rPr>
          <w:sz w:val="18"/>
        </w:rPr>
        <w:t>at</w:t>
      </w:r>
      <w:r>
        <w:rPr>
          <w:spacing w:val="9"/>
          <w:sz w:val="18"/>
        </w:rPr>
        <w:t> </w:t>
      </w:r>
      <w:r>
        <w:rPr>
          <w:spacing w:val="-3"/>
          <w:sz w:val="18"/>
        </w:rPr>
        <w:t>Weyburn</w:t>
      </w:r>
      <w:r>
        <w:rPr>
          <w:spacing w:val="13"/>
          <w:sz w:val="18"/>
        </w:rPr>
        <w:t> </w:t>
      </w:r>
      <w:r>
        <w:rPr>
          <w:sz w:val="18"/>
        </w:rPr>
        <w:t>has</w:t>
      </w:r>
      <w:r>
        <w:rPr>
          <w:spacing w:val="12"/>
          <w:sz w:val="18"/>
        </w:rPr>
        <w:t> </w:t>
      </w:r>
      <w:r>
        <w:rPr>
          <w:sz w:val="18"/>
        </w:rPr>
        <w:t>been</w:t>
      </w:r>
      <w:r>
        <w:rPr>
          <w:spacing w:val="13"/>
          <w:sz w:val="18"/>
        </w:rPr>
        <w:t> </w:t>
      </w:r>
      <w:r>
        <w:rPr>
          <w:sz w:val="18"/>
        </w:rPr>
        <w:t>contoured</w:t>
      </w:r>
      <w:r>
        <w:rPr>
          <w:spacing w:val="12"/>
          <w:sz w:val="18"/>
        </w:rPr>
        <w:t> </w:t>
      </w:r>
      <w:r>
        <w:rPr>
          <w:sz w:val="18"/>
        </w:rPr>
        <w:t>from</w:t>
      </w:r>
      <w:r>
        <w:rPr>
          <w:spacing w:val="13"/>
          <w:sz w:val="18"/>
        </w:rPr>
        <w:t> </w:t>
      </w:r>
      <w:r>
        <w:rPr>
          <w:sz w:val="18"/>
        </w:rPr>
        <w:t>fluid</w:t>
      </w:r>
      <w:r>
        <w:rPr>
          <w:spacing w:val="12"/>
          <w:sz w:val="18"/>
        </w:rPr>
        <w:t> </w:t>
      </w:r>
      <w:r>
        <w:rPr>
          <w:sz w:val="18"/>
        </w:rPr>
        <w:t>samples</w:t>
      </w:r>
      <w:r>
        <w:rPr>
          <w:spacing w:val="13"/>
          <w:sz w:val="18"/>
        </w:rPr>
        <w:t> </w:t>
      </w:r>
      <w:r>
        <w:rPr>
          <w:sz w:val="18"/>
        </w:rPr>
        <w:t>taken</w:t>
      </w:r>
      <w:r>
        <w:rPr>
          <w:spacing w:val="12"/>
          <w:sz w:val="18"/>
        </w:rPr>
        <w:t> </w:t>
      </w:r>
      <w:r>
        <w:rPr>
          <w:sz w:val="18"/>
        </w:rPr>
        <w:t>at</w:t>
      </w:r>
      <w:r>
        <w:rPr>
          <w:spacing w:val="13"/>
          <w:sz w:val="18"/>
        </w:rPr>
        <w:t> </w:t>
      </w:r>
      <w:r>
        <w:rPr>
          <w:sz w:val="18"/>
        </w:rPr>
        <w:t>various</w:t>
      </w:r>
      <w:r>
        <w:rPr>
          <w:spacing w:val="12"/>
          <w:sz w:val="18"/>
        </w:rPr>
        <w:t> </w:t>
      </w:r>
      <w:r>
        <w:rPr>
          <w:sz w:val="18"/>
        </w:rPr>
        <w:t>production</w:t>
      </w:r>
      <w:r>
        <w:rPr>
          <w:spacing w:val="13"/>
          <w:sz w:val="18"/>
        </w:rPr>
        <w:t> </w:t>
      </w:r>
      <w:r>
        <w:rPr>
          <w:sz w:val="18"/>
        </w:rPr>
        <w:t>wells.</w:t>
      </w:r>
      <w:r>
        <w:rPr>
          <w:spacing w:val="9"/>
          <w:sz w:val="18"/>
        </w:rPr>
        <w:t> </w:t>
      </w:r>
      <w:r>
        <w:rPr>
          <w:sz w:val="18"/>
        </w:rPr>
        <w:t>The</w:t>
      </w:r>
      <w:r>
        <w:rPr>
          <w:spacing w:val="13"/>
          <w:sz w:val="18"/>
        </w:rPr>
        <w:t> </w:t>
      </w:r>
      <w:r>
        <w:rPr>
          <w:sz w:val="18"/>
        </w:rPr>
        <w:t>black</w:t>
      </w:r>
      <w:r>
        <w:rPr>
          <w:spacing w:val="12"/>
          <w:sz w:val="18"/>
        </w:rPr>
        <w:t> </w:t>
      </w:r>
      <w:r>
        <w:rPr>
          <w:sz w:val="18"/>
        </w:rPr>
        <w:t>dots</w:t>
      </w:r>
      <w:r>
        <w:rPr>
          <w:spacing w:val="13"/>
          <w:sz w:val="18"/>
        </w:rPr>
        <w:t> </w:t>
      </w:r>
      <w:r>
        <w:rPr>
          <w:sz w:val="18"/>
        </w:rPr>
        <w:t>show</w:t>
      </w:r>
      <w:r>
        <w:rPr>
          <w:spacing w:val="12"/>
          <w:sz w:val="18"/>
        </w:rPr>
        <w:t> </w:t>
      </w:r>
      <w:r>
        <w:rPr>
          <w:sz w:val="18"/>
        </w:rPr>
        <w:t>the</w:t>
      </w:r>
      <w:r>
        <w:rPr>
          <w:spacing w:val="13"/>
          <w:sz w:val="18"/>
        </w:rPr>
        <w:t> </w:t>
      </w:r>
      <w:r>
        <w:rPr>
          <w:sz w:val="18"/>
        </w:rPr>
        <w:t>location</w:t>
      </w:r>
      <w:r>
        <w:rPr>
          <w:spacing w:val="12"/>
          <w:sz w:val="18"/>
        </w:rPr>
        <w:t> </w:t>
      </w:r>
      <w:r>
        <w:rPr>
          <w:sz w:val="18"/>
        </w:rPr>
        <w:t>of</w:t>
      </w:r>
      <w:r>
        <w:rPr>
          <w:spacing w:val="13"/>
          <w:sz w:val="18"/>
        </w:rPr>
        <w:t> </w:t>
      </w:r>
      <w:r>
        <w:rPr>
          <w:sz w:val="18"/>
        </w:rPr>
        <w:t>the</w:t>
      </w:r>
      <w:r>
        <w:rPr>
          <w:spacing w:val="12"/>
          <w:sz w:val="18"/>
        </w:rPr>
        <w:t> </w:t>
      </w:r>
      <w:r>
        <w:rPr>
          <w:sz w:val="18"/>
        </w:rPr>
        <w:t>sample</w:t>
      </w:r>
      <w:r>
        <w:rPr>
          <w:spacing w:val="13"/>
          <w:sz w:val="18"/>
        </w:rPr>
        <w:t> </w:t>
      </w:r>
      <w:r>
        <w:rPr>
          <w:sz w:val="18"/>
        </w:rPr>
        <w:t>wells:</w:t>
      </w:r>
    </w:p>
    <w:p>
      <w:pPr>
        <w:spacing w:after="0" w:line="191" w:lineRule="exact"/>
        <w:jc w:val="left"/>
        <w:rPr>
          <w:sz w:val="18"/>
        </w:rPr>
        <w:sectPr>
          <w:type w:val="continuous"/>
          <w:pgSz w:w="12240" w:h="15840"/>
          <w:pgMar w:top="400" w:bottom="280" w:left="580" w:right="600"/>
        </w:sectPr>
      </w:pPr>
    </w:p>
    <w:p>
      <w:pPr>
        <w:pStyle w:val="ListParagraph"/>
        <w:numPr>
          <w:ilvl w:val="0"/>
          <w:numId w:val="12"/>
        </w:numPr>
        <w:tabs>
          <w:tab w:pos="406" w:val="left" w:leader="none"/>
        </w:tabs>
        <w:spacing w:line="240" w:lineRule="auto" w:before="1" w:after="0"/>
        <w:ind w:left="405" w:right="0" w:hanging="254"/>
        <w:jc w:val="left"/>
        <w:rPr>
          <w:sz w:val="18"/>
        </w:rPr>
      </w:pPr>
      <w:r>
        <w:rPr>
          <w:rFonts w:ascii="Symbol" w:hAnsi="Symbol"/>
          <w:spacing w:val="-5"/>
          <w:sz w:val="18"/>
        </w:rPr>
        <w:t></w:t>
      </w:r>
      <w:r>
        <w:rPr>
          <w:spacing w:val="-5"/>
          <w:position w:val="6"/>
          <w:sz w:val="10"/>
        </w:rPr>
        <w:t>13</w:t>
      </w:r>
      <w:r>
        <w:rPr>
          <w:spacing w:val="-5"/>
          <w:sz w:val="18"/>
        </w:rPr>
        <w:t>C</w:t>
      </w:r>
    </w:p>
    <w:p>
      <w:pPr>
        <w:pStyle w:val="BodyText"/>
        <w:spacing w:before="10"/>
        <w:rPr>
          <w:sz w:val="12"/>
        </w:rPr>
      </w:pPr>
      <w:r>
        <w:rPr/>
        <w:br w:type="column"/>
      </w:r>
      <w:r>
        <w:rPr>
          <w:sz w:val="12"/>
        </w:rPr>
      </w:r>
    </w:p>
    <w:p>
      <w:pPr>
        <w:spacing w:before="0"/>
        <w:ind w:left="-40" w:right="0" w:firstLine="0"/>
        <w:jc w:val="left"/>
        <w:rPr>
          <w:sz w:val="10"/>
        </w:rPr>
      </w:pPr>
      <w:r>
        <w:rPr>
          <w:spacing w:val="-1"/>
          <w:w w:val="105"/>
          <w:sz w:val="10"/>
        </w:rPr>
        <w:t>HCO3</w:t>
      </w:r>
    </w:p>
    <w:p>
      <w:pPr>
        <w:spacing w:before="13"/>
        <w:ind w:left="14" w:right="0" w:firstLine="0"/>
        <w:jc w:val="left"/>
        <w:rPr>
          <w:sz w:val="10"/>
        </w:rPr>
      </w:pPr>
      <w:r>
        <w:rPr/>
        <w:br w:type="column"/>
      </w:r>
      <w:r>
        <w:rPr>
          <w:sz w:val="18"/>
        </w:rPr>
        <w:t>in the produced water, showing the effect of supercritical CO</w:t>
      </w:r>
      <w:r>
        <w:rPr>
          <w:position w:val="-5"/>
          <w:sz w:val="10"/>
        </w:rPr>
        <w:t>2</w:t>
      </w:r>
    </w:p>
    <w:p>
      <w:pPr>
        <w:spacing w:before="13"/>
        <w:ind w:left="14" w:right="0" w:firstLine="0"/>
        <w:jc w:val="left"/>
        <w:rPr>
          <w:sz w:val="18"/>
        </w:rPr>
      </w:pPr>
      <w:r>
        <w:rPr/>
        <w:br w:type="column"/>
      </w:r>
      <w:r>
        <w:rPr>
          <w:sz w:val="18"/>
        </w:rPr>
        <w:t>dissolution and mineral reaction. (b) Calcium concentrations in the</w:t>
      </w:r>
    </w:p>
    <w:p>
      <w:pPr>
        <w:spacing w:after="0"/>
        <w:jc w:val="left"/>
        <w:rPr>
          <w:sz w:val="18"/>
        </w:rPr>
        <w:sectPr>
          <w:type w:val="continuous"/>
          <w:pgSz w:w="12240" w:h="15840"/>
          <w:pgMar w:top="400" w:bottom="280" w:left="580" w:right="600"/>
          <w:cols w:num="4" w:equalWidth="0">
            <w:col w:w="720" w:space="40"/>
            <w:col w:w="234" w:space="39"/>
            <w:col w:w="4547" w:space="40"/>
            <w:col w:w="5440"/>
          </w:cols>
        </w:sectPr>
      </w:pPr>
    </w:p>
    <w:p>
      <w:pPr>
        <w:spacing w:line="178" w:lineRule="exact" w:before="0"/>
        <w:ind w:left="152" w:right="0" w:firstLine="0"/>
        <w:jc w:val="left"/>
        <w:rPr>
          <w:sz w:val="18"/>
        </w:rPr>
      </w:pPr>
      <w:r>
        <w:rPr>
          <w:sz w:val="18"/>
        </w:rPr>
        <w:t>produced water, showing the result of mineral dissolution (after Perkins et al., 2005).</w:t>
      </w:r>
    </w:p>
    <w:p>
      <w:pPr>
        <w:spacing w:after="0" w:line="178" w:lineRule="exact"/>
        <w:jc w:val="left"/>
        <w:rPr>
          <w:sz w:val="18"/>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553"/>
        <w:jc w:val="both"/>
      </w:pPr>
      <w:bookmarkStart w:name="5.6.4 Technologies for monitoring inject" w:id="78"/>
      <w:bookmarkEnd w:id="78"/>
      <w:r>
        <w:rPr/>
      </w:r>
      <w:bookmarkStart w:name="5.6.5 Technologies for monitoring local " w:id="79"/>
      <w:bookmarkEnd w:id="79"/>
      <w:r>
        <w:rPr/>
      </w:r>
      <w:r>
        <w:rPr/>
        <w:t>geochemical interactions with the reservoir rock and to clearly identify the integrity of the reservoir as a container for </w:t>
      </w:r>
      <w:r>
        <w:rPr>
          <w:spacing w:val="-4"/>
        </w:rPr>
        <w:t>long- </w:t>
      </w:r>
      <w:r>
        <w:rPr/>
        <w:t>term</w:t>
      </w:r>
      <w:r>
        <w:rPr>
          <w:spacing w:val="-10"/>
        </w:rPr>
        <w:t> </w:t>
      </w:r>
      <w:r>
        <w:rPr/>
        <w:t>storage.</w:t>
      </w:r>
      <w:r>
        <w:rPr>
          <w:spacing w:val="-19"/>
        </w:rPr>
        <w:t> </w:t>
      </w:r>
      <w:r>
        <w:rPr/>
        <w:t>Additionally,</w:t>
      </w:r>
      <w:r>
        <w:rPr>
          <w:spacing w:val="-10"/>
        </w:rPr>
        <w:t> </w:t>
      </w:r>
      <w:r>
        <w:rPr/>
        <w:t>there</w:t>
      </w:r>
      <w:r>
        <w:rPr>
          <w:spacing w:val="-9"/>
        </w:rPr>
        <w:t> </w:t>
      </w:r>
      <w:r>
        <w:rPr/>
        <w:t>is</w:t>
      </w:r>
      <w:r>
        <w:rPr>
          <w:spacing w:val="-10"/>
        </w:rPr>
        <w:t> </w:t>
      </w:r>
      <w:r>
        <w:rPr/>
        <w:t>a</w:t>
      </w:r>
      <w:r>
        <w:rPr>
          <w:spacing w:val="-9"/>
        </w:rPr>
        <w:t> </w:t>
      </w:r>
      <w:r>
        <w:rPr/>
        <w:t>programme</w:t>
      </w:r>
      <w:r>
        <w:rPr>
          <w:spacing w:val="-9"/>
        </w:rPr>
        <w:t> </w:t>
      </w:r>
      <w:r>
        <w:rPr/>
        <w:t>to</w:t>
      </w:r>
      <w:r>
        <w:rPr>
          <w:spacing w:val="-10"/>
        </w:rPr>
        <w:t> </w:t>
      </w:r>
      <w:r>
        <w:rPr/>
        <w:t>evaluate</w:t>
      </w:r>
      <w:r>
        <w:rPr>
          <w:spacing w:val="-9"/>
        </w:rPr>
        <w:t> </w:t>
      </w:r>
      <w:r>
        <w:rPr/>
        <w:t>the potential</w:t>
      </w:r>
      <w:r>
        <w:rPr>
          <w:spacing w:val="-12"/>
        </w:rPr>
        <w:t> </w:t>
      </w:r>
      <w:r>
        <w:rPr/>
        <w:t>role</w:t>
      </w:r>
      <w:r>
        <w:rPr>
          <w:spacing w:val="-12"/>
        </w:rPr>
        <w:t> </w:t>
      </w:r>
      <w:r>
        <w:rPr/>
        <w:t>of</w:t>
      </w:r>
      <w:r>
        <w:rPr>
          <w:spacing w:val="-11"/>
        </w:rPr>
        <w:t> </w:t>
      </w:r>
      <w:r>
        <w:rPr/>
        <w:t>existing</w:t>
      </w:r>
      <w:r>
        <w:rPr>
          <w:spacing w:val="-12"/>
        </w:rPr>
        <w:t> </w:t>
      </w:r>
      <w:r>
        <w:rPr/>
        <w:t>active</w:t>
      </w:r>
      <w:r>
        <w:rPr>
          <w:spacing w:val="-11"/>
        </w:rPr>
        <w:t> </w:t>
      </w:r>
      <w:r>
        <w:rPr/>
        <w:t>and</w:t>
      </w:r>
      <w:r>
        <w:rPr>
          <w:spacing w:val="-12"/>
        </w:rPr>
        <w:t> </w:t>
      </w:r>
      <w:r>
        <w:rPr/>
        <w:t>abandoned</w:t>
      </w:r>
      <w:r>
        <w:rPr>
          <w:spacing w:val="-12"/>
        </w:rPr>
        <w:t> </w:t>
      </w:r>
      <w:r>
        <w:rPr/>
        <w:t>wells</w:t>
      </w:r>
      <w:r>
        <w:rPr>
          <w:spacing w:val="-12"/>
        </w:rPr>
        <w:t> </w:t>
      </w:r>
      <w:r>
        <w:rPr/>
        <w:t>in</w:t>
      </w:r>
      <w:r>
        <w:rPr>
          <w:spacing w:val="-12"/>
        </w:rPr>
        <w:t> </w:t>
      </w:r>
      <w:r>
        <w:rPr/>
        <w:t>leakage. This includes an analysis of the age of the wells, the use of existing information on cement type and bonding </w:t>
      </w:r>
      <w:r>
        <w:rPr>
          <w:spacing w:val="-3"/>
        </w:rPr>
        <w:t>effectiveness </w:t>
      </w:r>
      <w:r>
        <w:rPr/>
        <w:t>and work to better understand the effect of historical and changing fluid chemistry on the cement and steel casing of the well.</w:t>
      </w:r>
    </w:p>
    <w:p>
      <w:pPr>
        <w:pStyle w:val="BodyText"/>
        <w:spacing w:line="240" w:lineRule="exact" w:before="2"/>
        <w:ind w:left="553" w:firstLine="283"/>
        <w:jc w:val="both"/>
      </w:pPr>
      <w:r>
        <w:rPr/>
        <w:t>The </w:t>
      </w:r>
      <w:r>
        <w:rPr>
          <w:spacing w:val="-3"/>
        </w:rPr>
        <w:t>Weyburn </w:t>
      </w:r>
      <w:r>
        <w:rPr/>
        <w:t>summary report (Wilson and Monea, 2005) describes</w:t>
      </w:r>
      <w:r>
        <w:rPr>
          <w:spacing w:val="-11"/>
        </w:rPr>
        <w:t> </w:t>
      </w:r>
      <w:r>
        <w:rPr/>
        <w:t>the</w:t>
      </w:r>
      <w:r>
        <w:rPr>
          <w:spacing w:val="-10"/>
        </w:rPr>
        <w:t> </w:t>
      </w:r>
      <w:r>
        <w:rPr/>
        <w:t>overall</w:t>
      </w:r>
      <w:r>
        <w:rPr>
          <w:spacing w:val="-11"/>
        </w:rPr>
        <w:t> </w:t>
      </w:r>
      <w:r>
        <w:rPr/>
        <w:t>results</w:t>
      </w:r>
      <w:r>
        <w:rPr>
          <w:spacing w:val="-10"/>
        </w:rPr>
        <w:t> </w:t>
      </w:r>
      <w:r>
        <w:rPr/>
        <w:t>of</w:t>
      </w:r>
      <w:r>
        <w:rPr>
          <w:spacing w:val="-11"/>
        </w:rPr>
        <w:t> </w:t>
      </w:r>
      <w:r>
        <w:rPr/>
        <w:t>the</w:t>
      </w:r>
      <w:r>
        <w:rPr>
          <w:spacing w:val="-10"/>
        </w:rPr>
        <w:t> </w:t>
      </w:r>
      <w:r>
        <w:rPr/>
        <w:t>research</w:t>
      </w:r>
      <w:r>
        <w:rPr>
          <w:spacing w:val="-11"/>
        </w:rPr>
        <w:t> </w:t>
      </w:r>
      <w:r>
        <w:rPr/>
        <w:t>project,</w:t>
      </w:r>
      <w:r>
        <w:rPr>
          <w:spacing w:val="-10"/>
        </w:rPr>
        <w:t> </w:t>
      </w:r>
      <w:r>
        <w:rPr/>
        <w:t>in</w:t>
      </w:r>
      <w:r>
        <w:rPr>
          <w:spacing w:val="-10"/>
        </w:rPr>
        <w:t> </w:t>
      </w:r>
      <w:r>
        <w:rPr/>
        <w:t>particular the effectiveness of the seismic monitoring for determining  the spread of CO</w:t>
      </w:r>
      <w:r>
        <w:rPr>
          <w:position w:val="-6"/>
          <w:sz w:val="11"/>
        </w:rPr>
        <w:t>2 </w:t>
      </w:r>
      <w:r>
        <w:rPr/>
        <w:t>and of the geochemical analysis for determining</w:t>
      </w:r>
      <w:r>
        <w:rPr>
          <w:spacing w:val="-9"/>
        </w:rPr>
        <w:t> </w:t>
      </w:r>
      <w:r>
        <w:rPr/>
        <w:t>when</w:t>
      </w:r>
      <w:r>
        <w:rPr>
          <w:spacing w:val="-9"/>
        </w:rPr>
        <w:t> </w:t>
      </w:r>
      <w:r>
        <w:rPr/>
        <w:t>CO</w:t>
      </w:r>
      <w:r>
        <w:rPr>
          <w:position w:val="-6"/>
          <w:sz w:val="11"/>
        </w:rPr>
        <w:t>2</w:t>
      </w:r>
      <w:r>
        <w:rPr>
          <w:spacing w:val="14"/>
          <w:position w:val="-6"/>
          <w:sz w:val="11"/>
        </w:rPr>
        <w:t> </w:t>
      </w:r>
      <w:r>
        <w:rPr/>
        <w:t>was</w:t>
      </w:r>
      <w:r>
        <w:rPr>
          <w:spacing w:val="-9"/>
        </w:rPr>
        <w:t> </w:t>
      </w:r>
      <w:r>
        <w:rPr/>
        <w:t>about</w:t>
      </w:r>
      <w:r>
        <w:rPr>
          <w:spacing w:val="-9"/>
        </w:rPr>
        <w:t> </w:t>
      </w:r>
      <w:r>
        <w:rPr/>
        <w:t>to</w:t>
      </w:r>
      <w:r>
        <w:rPr>
          <w:spacing w:val="-9"/>
        </w:rPr>
        <w:t> </w:t>
      </w:r>
      <w:r>
        <w:rPr/>
        <w:t>reach</w:t>
      </w:r>
      <w:r>
        <w:rPr>
          <w:spacing w:val="-9"/>
        </w:rPr>
        <w:t> </w:t>
      </w:r>
      <w:r>
        <w:rPr/>
        <w:t>the</w:t>
      </w:r>
      <w:r>
        <w:rPr>
          <w:spacing w:val="-9"/>
        </w:rPr>
        <w:t> </w:t>
      </w:r>
      <w:r>
        <w:rPr/>
        <w:t>production</w:t>
      </w:r>
      <w:r>
        <w:rPr>
          <w:spacing w:val="-8"/>
        </w:rPr>
        <w:t> </w:t>
      </w:r>
      <w:r>
        <w:rPr/>
        <w:t>wells. Geochemical data also help explain the processes under way in the reservoir itself and the time required to establish a </w:t>
      </w:r>
      <w:r>
        <w:rPr>
          <w:spacing w:val="-4"/>
        </w:rPr>
        <w:t>new </w:t>
      </w:r>
      <w:r>
        <w:rPr/>
        <w:t>chemical equilibrium. </w:t>
      </w:r>
      <w:hyperlink w:history="true" w:anchor="_bookmark39">
        <w:r>
          <w:rPr/>
          <w:t>Figure 5.24 </w:t>
        </w:r>
      </w:hyperlink>
      <w:r>
        <w:rPr/>
        <w:t>illustrates the change in the chemical composition of the formation </w:t>
      </w:r>
      <w:r>
        <w:rPr>
          <w:spacing w:val="-3"/>
        </w:rPr>
        <w:t>water, </w:t>
      </w:r>
      <w:r>
        <w:rPr/>
        <w:t>which forms the basis for assessing the extent to which solubility and mineral trapping will contribute to long-term storage security</w:t>
      </w:r>
      <w:r>
        <w:rPr>
          <w:spacing w:val="11"/>
        </w:rPr>
        <w:t> </w:t>
      </w:r>
      <w:r>
        <w:rPr/>
        <w:t>(Perkins</w:t>
      </w:r>
    </w:p>
    <w:p>
      <w:pPr>
        <w:pStyle w:val="BodyText"/>
        <w:spacing w:line="249" w:lineRule="auto" w:before="63"/>
        <w:ind w:left="241" w:right="132" w:firstLine="283"/>
        <w:jc w:val="both"/>
      </w:pPr>
      <w:r>
        <w:rPr/>
        <w:br w:type="column"/>
      </w:r>
      <w:r>
        <w:rPr/>
        <w:t>As noted above, the injection pressure is carefully monitored</w:t>
      </w:r>
      <w:r>
        <w:rPr>
          <w:spacing w:val="-9"/>
        </w:rPr>
        <w:t> </w:t>
      </w:r>
      <w:r>
        <w:rPr/>
        <w:t>to</w:t>
      </w:r>
      <w:r>
        <w:rPr>
          <w:spacing w:val="-9"/>
        </w:rPr>
        <w:t> </w:t>
      </w:r>
      <w:r>
        <w:rPr/>
        <w:t>ensure</w:t>
      </w:r>
      <w:r>
        <w:rPr>
          <w:spacing w:val="-9"/>
        </w:rPr>
        <w:t> </w:t>
      </w:r>
      <w:r>
        <w:rPr/>
        <w:t>that</w:t>
      </w:r>
      <w:r>
        <w:rPr>
          <w:spacing w:val="-9"/>
        </w:rPr>
        <w:t> </w:t>
      </w:r>
      <w:r>
        <w:rPr/>
        <w:t>there</w:t>
      </w:r>
      <w:r>
        <w:rPr>
          <w:spacing w:val="-9"/>
        </w:rPr>
        <w:t> </w:t>
      </w:r>
      <w:r>
        <w:rPr/>
        <w:t>are</w:t>
      </w:r>
      <w:r>
        <w:rPr>
          <w:spacing w:val="-9"/>
        </w:rPr>
        <w:t> </w:t>
      </w:r>
      <w:r>
        <w:rPr/>
        <w:t>no</w:t>
      </w:r>
      <w:r>
        <w:rPr>
          <w:spacing w:val="-9"/>
        </w:rPr>
        <w:t> </w:t>
      </w:r>
      <w:r>
        <w:rPr/>
        <w:t>problems.</w:t>
      </w:r>
      <w:r>
        <w:rPr>
          <w:spacing w:val="-20"/>
        </w:rPr>
        <w:t> </w:t>
      </w:r>
      <w:r>
        <w:rPr/>
        <w:t>A</w:t>
      </w:r>
      <w:r>
        <w:rPr>
          <w:spacing w:val="-20"/>
        </w:rPr>
        <w:t> </w:t>
      </w:r>
      <w:r>
        <w:rPr/>
        <w:t>rapid</w:t>
      </w:r>
      <w:r>
        <w:rPr>
          <w:spacing w:val="-9"/>
        </w:rPr>
        <w:t> </w:t>
      </w:r>
      <w:r>
        <w:rPr/>
        <w:t>increase in pressure could indicate problems with the well, although industry interpretations suggest that it is more likely to be loss of injectivity in the</w:t>
      </w:r>
      <w:r>
        <w:rPr>
          <w:spacing w:val="-1"/>
        </w:rPr>
        <w:t> </w:t>
      </w:r>
      <w:r>
        <w:rPr/>
        <w:t>reservoir.</w:t>
      </w:r>
    </w:p>
    <w:p>
      <w:pPr>
        <w:pStyle w:val="BodyText"/>
        <w:spacing w:line="249" w:lineRule="auto" w:before="4"/>
        <w:ind w:left="241" w:right="120" w:firstLine="283"/>
        <w:jc w:val="both"/>
      </w:pPr>
      <w:r>
        <w:rPr/>
        <w:t>Temperature logs and ‘noise’ logs are also often run on      a routine basis to detect well failures in natural gas storage projects. Rapid changes in temperature along the length of   the wellbore are diagnostic of casing leaks. </w:t>
      </w:r>
      <w:r>
        <w:rPr>
          <w:spacing w:val="-3"/>
        </w:rPr>
        <w:t>Similarly, </w:t>
      </w:r>
      <w:r>
        <w:rPr/>
        <w:t>‘noise’ associated with leaks in the injection tubing can be used to locate small leaks (Lippmann and Benson,</w:t>
      </w:r>
      <w:r>
        <w:rPr>
          <w:spacing w:val="-2"/>
        </w:rPr>
        <w:t> </w:t>
      </w:r>
      <w:r>
        <w:rPr/>
        <w:t>2003).</w:t>
      </w:r>
    </w:p>
    <w:p>
      <w:pPr>
        <w:pStyle w:val="BodyText"/>
        <w:spacing w:before="3"/>
        <w:rPr>
          <w:sz w:val="21"/>
        </w:rPr>
      </w:pPr>
    </w:p>
    <w:p>
      <w:pPr>
        <w:pStyle w:val="Heading2"/>
        <w:numPr>
          <w:ilvl w:val="2"/>
          <w:numId w:val="13"/>
        </w:numPr>
        <w:tabs>
          <w:tab w:pos="1061" w:val="left" w:leader="none"/>
          <w:tab w:pos="1062" w:val="left" w:leader="none"/>
        </w:tabs>
        <w:spacing w:line="240" w:lineRule="auto" w:before="1" w:after="0"/>
        <w:ind w:left="1061" w:right="0" w:hanging="821"/>
        <w:jc w:val="left"/>
        <w:rPr>
          <w:i/>
        </w:rPr>
      </w:pPr>
      <w:r>
        <w:rPr>
          <w:i/>
        </w:rPr>
        <w:t>Technologies for monitoring local</w:t>
      </w:r>
      <w:r>
        <w:rPr>
          <w:i/>
          <w:spacing w:val="-8"/>
        </w:rPr>
        <w:t> </w:t>
      </w:r>
      <w:r>
        <w:rPr>
          <w:i/>
        </w:rPr>
        <w:t>environmental</w:t>
      </w:r>
    </w:p>
    <w:p>
      <w:pPr>
        <w:spacing w:before="10"/>
        <w:ind w:left="1061" w:right="0" w:firstLine="0"/>
        <w:jc w:val="left"/>
        <w:rPr>
          <w:b/>
          <w:i/>
          <w:sz w:val="20"/>
        </w:rPr>
      </w:pPr>
      <w:r>
        <w:rPr>
          <w:b/>
          <w:i/>
          <w:sz w:val="20"/>
        </w:rPr>
        <w:t>effects</w:t>
      </w:r>
    </w:p>
    <w:p>
      <w:pPr>
        <w:pStyle w:val="BodyText"/>
        <w:spacing w:before="8"/>
        <w:rPr>
          <w:b/>
          <w:i/>
          <w:sz w:val="21"/>
        </w:rPr>
      </w:pPr>
    </w:p>
    <w:p>
      <w:pPr>
        <w:pStyle w:val="ListParagraph"/>
        <w:numPr>
          <w:ilvl w:val="3"/>
          <w:numId w:val="13"/>
        </w:numPr>
        <w:tabs>
          <w:tab w:pos="1062" w:val="left" w:leader="none"/>
        </w:tabs>
        <w:spacing w:line="240" w:lineRule="auto" w:before="0" w:after="0"/>
        <w:ind w:left="1061" w:right="0" w:hanging="821"/>
        <w:jc w:val="both"/>
        <w:rPr>
          <w:i/>
          <w:sz w:val="20"/>
        </w:rPr>
      </w:pPr>
      <w:r>
        <w:rPr>
          <w:i/>
          <w:sz w:val="20"/>
        </w:rPr>
        <w:t>Groundwater</w:t>
      </w:r>
    </w:p>
    <w:p>
      <w:pPr>
        <w:pStyle w:val="BodyText"/>
        <w:spacing w:line="240" w:lineRule="exact" w:before="5"/>
        <w:ind w:left="241" w:right="132"/>
        <w:jc w:val="both"/>
      </w:pPr>
      <w:r>
        <w:rPr/>
        <w:t>If CO</w:t>
      </w:r>
      <w:r>
        <w:rPr>
          <w:position w:val="-6"/>
          <w:sz w:val="11"/>
        </w:rPr>
        <w:t>2 </w:t>
      </w:r>
      <w:r>
        <w:rPr/>
        <w:t>leaks from the  deep  geological  storage  formation  and migrates upwards into overlying shallow groundwater aquifers, methods are available to detect and assess changes   in</w:t>
      </w:r>
      <w:r>
        <w:rPr>
          <w:spacing w:val="22"/>
        </w:rPr>
        <w:t> </w:t>
      </w:r>
      <w:r>
        <w:rPr/>
        <w:t>groundwater</w:t>
      </w:r>
      <w:r>
        <w:rPr>
          <w:spacing w:val="22"/>
        </w:rPr>
        <w:t> </w:t>
      </w:r>
      <w:r>
        <w:rPr/>
        <w:t>quality.</w:t>
      </w:r>
      <w:r>
        <w:rPr>
          <w:spacing w:val="23"/>
        </w:rPr>
        <w:t> </w:t>
      </w:r>
      <w:r>
        <w:rPr/>
        <w:t>Of</w:t>
      </w:r>
      <w:r>
        <w:rPr>
          <w:spacing w:val="22"/>
        </w:rPr>
        <w:t> </w:t>
      </w:r>
      <w:r>
        <w:rPr/>
        <w:t>course,</w:t>
      </w:r>
      <w:r>
        <w:rPr>
          <w:spacing w:val="22"/>
        </w:rPr>
        <w:t> </w:t>
      </w:r>
      <w:r>
        <w:rPr/>
        <w:t>it</w:t>
      </w:r>
      <w:r>
        <w:rPr>
          <w:spacing w:val="23"/>
        </w:rPr>
        <w:t> </w:t>
      </w:r>
      <w:r>
        <w:rPr/>
        <w:t>is</w:t>
      </w:r>
      <w:r>
        <w:rPr>
          <w:spacing w:val="22"/>
        </w:rPr>
        <w:t> </w:t>
      </w:r>
      <w:r>
        <w:rPr/>
        <w:t>preferable</w:t>
      </w:r>
      <w:r>
        <w:rPr>
          <w:spacing w:val="22"/>
        </w:rPr>
        <w:t> </w:t>
      </w:r>
      <w:r>
        <w:rPr/>
        <w:t>to</w:t>
      </w:r>
      <w:r>
        <w:rPr>
          <w:spacing w:val="23"/>
        </w:rPr>
        <w:t> </w:t>
      </w:r>
      <w:r>
        <w:rPr/>
        <w:t>identify</w:t>
      </w:r>
    </w:p>
    <w:p>
      <w:pPr>
        <w:spacing w:after="0" w:line="240" w:lineRule="exact"/>
        <w:jc w:val="both"/>
        <w:sectPr>
          <w:type w:val="continuous"/>
          <w:pgSz w:w="12240" w:h="15840"/>
          <w:pgMar w:top="400" w:bottom="280" w:left="580" w:right="600"/>
          <w:cols w:num="2" w:equalWidth="0">
            <w:col w:w="5599" w:space="40"/>
            <w:col w:w="5421"/>
          </w:cols>
        </w:sectPr>
      </w:pPr>
    </w:p>
    <w:p>
      <w:pPr>
        <w:spacing w:before="5"/>
        <w:ind w:left="553" w:right="0" w:firstLine="0"/>
        <w:jc w:val="left"/>
        <w:rPr>
          <w:sz w:val="20"/>
        </w:rPr>
      </w:pPr>
      <w:r>
        <w:rPr/>
        <w:pict>
          <v:shape style="position:absolute;margin-left:216.251297pt;margin-top:8.543438pt;width:15.25pt;height:5.85pt;mso-position-horizontal-relative:page;mso-position-vertical-relative:paragraph;z-index:251720704" type="#_x0000_t202" filled="false" stroked="false">
            <v:textbox inset="0,0,0,0">
              <w:txbxContent>
                <w:p>
                  <w:pPr>
                    <w:spacing w:line="111" w:lineRule="exact" w:before="0"/>
                    <w:ind w:left="0" w:right="0" w:firstLine="0"/>
                    <w:jc w:val="left"/>
                    <w:rPr>
                      <w:sz w:val="11"/>
                    </w:rPr>
                  </w:pPr>
                  <w:r>
                    <w:rPr>
                      <w:w w:val="105"/>
                      <w:sz w:val="11"/>
                    </w:rPr>
                    <w:t>HCO3</w:t>
                  </w:r>
                </w:p>
              </w:txbxContent>
            </v:textbox>
            <w10:wrap type="none"/>
          </v:shape>
        </w:pict>
      </w:r>
      <w:r>
        <w:rPr>
          <w:i/>
          <w:sz w:val="20"/>
        </w:rPr>
        <w:t>et al.</w:t>
      </w:r>
      <w:r>
        <w:rPr>
          <w:sz w:val="20"/>
        </w:rPr>
        <w:t>, 2005). The initial change in </w:t>
      </w:r>
      <w:r>
        <w:rPr>
          <w:rFonts w:ascii="Symbol" w:hAnsi="Symbol"/>
          <w:sz w:val="18"/>
        </w:rPr>
        <w:t></w:t>
      </w:r>
      <w:r>
        <w:rPr>
          <w:position w:val="7"/>
          <w:sz w:val="11"/>
        </w:rPr>
        <w:t>13</w:t>
      </w:r>
      <w:r>
        <w:rPr>
          <w:sz w:val="20"/>
        </w:rPr>
        <w:t>C</w:t>
      </w:r>
    </w:p>
    <w:p>
      <w:pPr>
        <w:pStyle w:val="BodyText"/>
        <w:spacing w:before="5"/>
        <w:ind w:left="327"/>
      </w:pPr>
      <w:r>
        <w:rPr/>
        <w:br w:type="column"/>
      </w:r>
      <w:r>
        <w:rPr/>
        <w:t>is the result of </w:t>
      </w:r>
      <w:r>
        <w:rPr>
          <w:spacing w:val="-6"/>
        </w:rPr>
        <w:t>the</w:t>
      </w:r>
    </w:p>
    <w:p>
      <w:pPr>
        <w:pStyle w:val="BodyText"/>
        <w:spacing w:line="277" w:lineRule="exact" w:before="5"/>
        <w:ind w:left="243"/>
        <w:rPr>
          <w:sz w:val="11"/>
        </w:rPr>
      </w:pPr>
      <w:r>
        <w:rPr/>
        <w:br w:type="column"/>
      </w:r>
      <w:r>
        <w:rPr/>
        <w:t>leakage shortly after it leaks and long before the CO</w:t>
      </w:r>
      <w:r>
        <w:rPr>
          <w:position w:val="-6"/>
          <w:sz w:val="11"/>
        </w:rPr>
        <w:t>2</w:t>
      </w:r>
    </w:p>
    <w:p>
      <w:pPr>
        <w:pStyle w:val="BodyText"/>
        <w:spacing w:before="5"/>
        <w:ind w:left="37"/>
      </w:pPr>
      <w:r>
        <w:rPr/>
        <w:br w:type="column"/>
      </w:r>
      <w:r>
        <w:rPr/>
        <w:t>enters</w:t>
      </w:r>
    </w:p>
    <w:p>
      <w:pPr>
        <w:spacing w:after="0"/>
        <w:sectPr>
          <w:type w:val="continuous"/>
          <w:pgSz w:w="12240" w:h="15840"/>
          <w:pgMar w:top="400" w:bottom="280" w:left="580" w:right="600"/>
          <w:cols w:num="4" w:equalWidth="0">
            <w:col w:w="3746" w:space="40"/>
            <w:col w:w="1813" w:space="39"/>
            <w:col w:w="4731" w:space="39"/>
            <w:col w:w="652"/>
          </w:cols>
        </w:sectPr>
      </w:pPr>
    </w:p>
    <w:p>
      <w:pPr>
        <w:pStyle w:val="BodyText"/>
        <w:spacing w:line="187" w:lineRule="auto"/>
        <w:ind w:left="553"/>
        <w:jc w:val="both"/>
      </w:pPr>
      <w:r>
        <w:rPr/>
        <w:t>supercritical CO</w:t>
      </w:r>
      <w:r>
        <w:rPr>
          <w:position w:val="-6"/>
          <w:sz w:val="11"/>
        </w:rPr>
        <w:t>2  </w:t>
      </w:r>
      <w:r>
        <w:rPr/>
        <w:t>dissolving into the </w:t>
      </w:r>
      <w:r>
        <w:rPr>
          <w:spacing w:val="-3"/>
        </w:rPr>
        <w:t>water. </w:t>
      </w:r>
      <w:r>
        <w:rPr/>
        <w:t>This change is</w:t>
      </w:r>
      <w:r>
        <w:rPr>
          <w:spacing w:val="-4"/>
        </w:rPr>
        <w:t> </w:t>
      </w:r>
      <w:r>
        <w:rPr/>
        <w:t>then</w:t>
      </w:r>
    </w:p>
    <w:p>
      <w:pPr>
        <w:pStyle w:val="BodyText"/>
        <w:spacing w:line="210" w:lineRule="exact"/>
        <w:ind w:left="553"/>
        <w:jc w:val="both"/>
      </w:pPr>
      <w:r>
        <w:rPr/>
        <w:t>muted  by  the  short-term  dissolution  of  reservoir </w:t>
      </w:r>
      <w:r>
        <w:rPr>
          <w:spacing w:val="19"/>
        </w:rPr>
        <w:t> </w:t>
      </w:r>
      <w:r>
        <w:rPr/>
        <w:t>carbonate</w:t>
      </w:r>
    </w:p>
    <w:p>
      <w:pPr>
        <w:pStyle w:val="BodyText"/>
        <w:spacing w:line="240" w:lineRule="exact"/>
        <w:ind w:left="553"/>
        <w:jc w:val="both"/>
      </w:pPr>
      <w:r>
        <w:rPr/>
        <w:t>minerals,</w:t>
      </w:r>
      <w:r>
        <w:rPr>
          <w:spacing w:val="-5"/>
        </w:rPr>
        <w:t> </w:t>
      </w:r>
      <w:r>
        <w:rPr/>
        <w:t>as</w:t>
      </w:r>
      <w:r>
        <w:rPr>
          <w:spacing w:val="-5"/>
        </w:rPr>
        <w:t> </w:t>
      </w:r>
      <w:r>
        <w:rPr/>
        <w:t>indicated</w:t>
      </w:r>
      <w:r>
        <w:rPr>
          <w:spacing w:val="-5"/>
        </w:rPr>
        <w:t> </w:t>
      </w:r>
      <w:r>
        <w:rPr/>
        <w:t>by</w:t>
      </w:r>
      <w:r>
        <w:rPr>
          <w:spacing w:val="-5"/>
        </w:rPr>
        <w:t> </w:t>
      </w:r>
      <w:r>
        <w:rPr/>
        <w:t>the</w:t>
      </w:r>
      <w:r>
        <w:rPr>
          <w:spacing w:val="-5"/>
        </w:rPr>
        <w:t> </w:t>
      </w:r>
      <w:r>
        <w:rPr/>
        <w:t>increase</w:t>
      </w:r>
      <w:r>
        <w:rPr>
          <w:spacing w:val="-5"/>
        </w:rPr>
        <w:t> </w:t>
      </w:r>
      <w:r>
        <w:rPr/>
        <w:t>of</w:t>
      </w:r>
      <w:r>
        <w:rPr>
          <w:spacing w:val="-5"/>
        </w:rPr>
        <w:t> </w:t>
      </w:r>
      <w:r>
        <w:rPr/>
        <w:t>calcium</w:t>
      </w:r>
      <w:r>
        <w:rPr>
          <w:spacing w:val="-5"/>
        </w:rPr>
        <w:t> </w:t>
      </w:r>
      <w:r>
        <w:rPr/>
        <w:t>concentration, shown in </w:t>
      </w:r>
      <w:hyperlink w:history="true" w:anchor="_bookmark39">
        <w:r>
          <w:rPr/>
          <w:t>Figure 5.24. </w:t>
        </w:r>
      </w:hyperlink>
      <w:r>
        <w:rPr/>
        <w:t>In particular, the geochemistry confirms the storage of CO</w:t>
      </w:r>
      <w:r>
        <w:rPr>
          <w:position w:val="-6"/>
          <w:sz w:val="11"/>
        </w:rPr>
        <w:t>2 </w:t>
      </w:r>
      <w:r>
        <w:rPr/>
        <w:t>in water in the bicarbonate phase and also CO</w:t>
      </w:r>
      <w:r>
        <w:rPr>
          <w:position w:val="-6"/>
          <w:sz w:val="11"/>
        </w:rPr>
        <w:t>2 </w:t>
      </w:r>
      <w:r>
        <w:rPr/>
        <w:t>in the oil</w:t>
      </w:r>
      <w:r>
        <w:rPr>
          <w:spacing w:val="-5"/>
        </w:rPr>
        <w:t> </w:t>
      </w:r>
      <w:r>
        <w:rPr/>
        <w:t>phase.</w:t>
      </w:r>
    </w:p>
    <w:p>
      <w:pPr>
        <w:pStyle w:val="BodyText"/>
        <w:spacing w:before="2"/>
        <w:rPr>
          <w:sz w:val="21"/>
        </w:rPr>
      </w:pPr>
    </w:p>
    <w:p>
      <w:pPr>
        <w:pStyle w:val="Heading2"/>
        <w:tabs>
          <w:tab w:pos="1373" w:val="left" w:leader="none"/>
        </w:tabs>
        <w:ind w:left="553" w:firstLine="0"/>
        <w:rPr>
          <w:i/>
        </w:rPr>
      </w:pPr>
      <w:r>
        <w:rPr>
          <w:i/>
        </w:rPr>
        <w:t>5.6.4</w:t>
        <w:tab/>
        <w:t>Technologies for monitoring injection</w:t>
      </w:r>
      <w:r>
        <w:rPr>
          <w:i/>
          <w:spacing w:val="-5"/>
        </w:rPr>
        <w:t> </w:t>
      </w:r>
      <w:r>
        <w:rPr>
          <w:i/>
        </w:rPr>
        <w:t>well</w:t>
      </w:r>
    </w:p>
    <w:p>
      <w:pPr>
        <w:spacing w:line="166" w:lineRule="exact" w:before="10"/>
        <w:ind w:left="1373" w:right="0" w:firstLine="0"/>
        <w:jc w:val="left"/>
        <w:rPr>
          <w:b/>
          <w:i/>
          <w:sz w:val="20"/>
        </w:rPr>
      </w:pPr>
      <w:r>
        <w:rPr>
          <w:b/>
          <w:i/>
          <w:sz w:val="20"/>
        </w:rPr>
        <w:t>integrity</w:t>
      </w:r>
    </w:p>
    <w:p>
      <w:pPr>
        <w:pStyle w:val="BodyText"/>
        <w:spacing w:line="194" w:lineRule="exact"/>
        <w:ind w:left="241"/>
        <w:jc w:val="both"/>
      </w:pPr>
      <w:r>
        <w:rPr/>
        <w:br w:type="column"/>
      </w:r>
      <w:r>
        <w:rPr/>
        <w:t>the groundwater aquifer, so that measures can be taken to</w:t>
      </w:r>
    </w:p>
    <w:p>
      <w:pPr>
        <w:pStyle w:val="BodyText"/>
        <w:spacing w:line="240" w:lineRule="exact" w:before="4"/>
        <w:ind w:left="241" w:right="134"/>
        <w:jc w:val="both"/>
      </w:pPr>
      <w:r>
        <w:rPr/>
        <w:t>intervene and prevent further migration (see Section 5.7.6). Seismic monitoring methods and potentially others (described in</w:t>
      </w:r>
      <w:r>
        <w:rPr>
          <w:spacing w:val="-5"/>
        </w:rPr>
        <w:t> </w:t>
      </w:r>
      <w:r>
        <w:rPr/>
        <w:t>Section</w:t>
      </w:r>
      <w:r>
        <w:rPr>
          <w:spacing w:val="-5"/>
        </w:rPr>
        <w:t> </w:t>
      </w:r>
      <w:r>
        <w:rPr/>
        <w:t>5.6.3.2),</w:t>
      </w:r>
      <w:r>
        <w:rPr>
          <w:spacing w:val="-4"/>
        </w:rPr>
        <w:t> </w:t>
      </w:r>
      <w:r>
        <w:rPr/>
        <w:t>can</w:t>
      </w:r>
      <w:r>
        <w:rPr>
          <w:spacing w:val="-5"/>
        </w:rPr>
        <w:t> </w:t>
      </w:r>
      <w:r>
        <w:rPr/>
        <w:t>be</w:t>
      </w:r>
      <w:r>
        <w:rPr>
          <w:spacing w:val="-4"/>
        </w:rPr>
        <w:t> </w:t>
      </w:r>
      <w:r>
        <w:rPr/>
        <w:t>used</w:t>
      </w:r>
      <w:r>
        <w:rPr>
          <w:spacing w:val="-4"/>
        </w:rPr>
        <w:t> </w:t>
      </w:r>
      <w:r>
        <w:rPr/>
        <w:t>to</w:t>
      </w:r>
      <w:r>
        <w:rPr>
          <w:spacing w:val="-5"/>
        </w:rPr>
        <w:t> </w:t>
      </w:r>
      <w:r>
        <w:rPr/>
        <w:t>identify</w:t>
      </w:r>
      <w:r>
        <w:rPr>
          <w:spacing w:val="-4"/>
        </w:rPr>
        <w:t> </w:t>
      </w:r>
      <w:r>
        <w:rPr/>
        <w:t>leaks</w:t>
      </w:r>
      <w:r>
        <w:rPr>
          <w:spacing w:val="-4"/>
        </w:rPr>
        <w:t> </w:t>
      </w:r>
      <w:r>
        <w:rPr/>
        <w:t>before</w:t>
      </w:r>
      <w:r>
        <w:rPr>
          <w:spacing w:val="-5"/>
        </w:rPr>
        <w:t> </w:t>
      </w:r>
      <w:r>
        <w:rPr/>
        <w:t>the</w:t>
      </w:r>
      <w:r>
        <w:rPr>
          <w:spacing w:val="-4"/>
        </w:rPr>
        <w:t> </w:t>
      </w:r>
      <w:r>
        <w:rPr/>
        <w:t>CO</w:t>
      </w:r>
      <w:r>
        <w:rPr>
          <w:position w:val="-6"/>
          <w:sz w:val="11"/>
        </w:rPr>
        <w:t>2 </w:t>
      </w:r>
      <w:r>
        <w:rPr/>
        <w:t>reaches the groundwater zone.</w:t>
      </w:r>
    </w:p>
    <w:p>
      <w:pPr>
        <w:pStyle w:val="BodyText"/>
        <w:spacing w:line="240" w:lineRule="exact"/>
        <w:ind w:left="241" w:right="133" w:firstLine="283"/>
        <w:jc w:val="both"/>
      </w:pPr>
      <w:r>
        <w:rPr/>
        <w:t>Nevertheless, if CO</w:t>
      </w:r>
      <w:r>
        <w:rPr>
          <w:position w:val="-6"/>
          <w:sz w:val="11"/>
        </w:rPr>
        <w:t>2 </w:t>
      </w:r>
      <w:r>
        <w:rPr/>
        <w:t>does migrate into a groundwater aquifer, potential impacts can be assessed by collecting groundwater samples and analyzing them for major ions (e.g., Na, K, Ca, Mg, Mn, Cl, Si, HCO </w:t>
      </w:r>
      <w:r>
        <w:rPr>
          <w:position w:val="7"/>
          <w:sz w:val="11"/>
        </w:rPr>
        <w:t>– </w:t>
      </w:r>
      <w:r>
        <w:rPr/>
        <w:t>and SO </w:t>
      </w:r>
      <w:r>
        <w:rPr>
          <w:position w:val="7"/>
          <w:sz w:val="11"/>
        </w:rPr>
        <w:t>2–</w:t>
      </w:r>
      <w:r>
        <w:rPr/>
        <w:t>), </w:t>
      </w:r>
      <w:r>
        <w:rPr>
          <w:i/>
        </w:rPr>
        <w:t>p</w:t>
      </w:r>
      <w:r>
        <w:rPr/>
        <w:t>H, alkalinity,</w:t>
      </w:r>
    </w:p>
    <w:p>
      <w:pPr>
        <w:spacing w:after="0" w:line="240" w:lineRule="exact"/>
        <w:jc w:val="both"/>
        <w:sectPr>
          <w:type w:val="continuous"/>
          <w:pgSz w:w="12240" w:h="15840"/>
          <w:pgMar w:top="400" w:bottom="280" w:left="580" w:right="600"/>
          <w:cols w:num="2" w:equalWidth="0">
            <w:col w:w="5599" w:space="40"/>
            <w:col w:w="5421"/>
          </w:cols>
        </w:sectPr>
      </w:pPr>
    </w:p>
    <w:p>
      <w:pPr>
        <w:tabs>
          <w:tab w:pos="791" w:val="left" w:leader="none"/>
        </w:tabs>
        <w:spacing w:line="39" w:lineRule="exact" w:before="0"/>
        <w:ind w:left="0" w:right="1585" w:firstLine="0"/>
        <w:jc w:val="right"/>
        <w:rPr>
          <w:sz w:val="11"/>
        </w:rPr>
      </w:pPr>
      <w:r>
        <w:rPr>
          <w:w w:val="105"/>
          <w:sz w:val="11"/>
        </w:rPr>
        <w:t>3</w:t>
        <w:tab/>
        <w:t>4</w:t>
      </w:r>
    </w:p>
    <w:p>
      <w:pPr>
        <w:spacing w:after="0" w:line="39" w:lineRule="exact"/>
        <w:jc w:val="right"/>
        <w:rPr>
          <w:sz w:val="11"/>
        </w:rPr>
        <w:sectPr>
          <w:type w:val="continuous"/>
          <w:pgSz w:w="12240" w:h="15840"/>
          <w:pgMar w:top="400" w:bottom="280" w:left="580" w:right="600"/>
        </w:sectPr>
      </w:pPr>
    </w:p>
    <w:p>
      <w:pPr>
        <w:pStyle w:val="BodyText"/>
        <w:rPr>
          <w:sz w:val="18"/>
        </w:rPr>
      </w:pPr>
    </w:p>
    <w:p>
      <w:pPr>
        <w:pStyle w:val="BodyText"/>
        <w:spacing w:line="249" w:lineRule="auto"/>
        <w:ind w:left="553"/>
        <w:jc w:val="both"/>
      </w:pPr>
      <w:r>
        <w:rPr/>
        <w:t>A</w:t>
      </w:r>
      <w:r>
        <w:rPr>
          <w:spacing w:val="-18"/>
        </w:rPr>
        <w:t> </w:t>
      </w:r>
      <w:r>
        <w:rPr/>
        <w:t>number</w:t>
      </w:r>
      <w:r>
        <w:rPr>
          <w:spacing w:val="-7"/>
        </w:rPr>
        <w:t> </w:t>
      </w:r>
      <w:r>
        <w:rPr/>
        <w:t>of</w:t>
      </w:r>
      <w:r>
        <w:rPr>
          <w:spacing w:val="-7"/>
        </w:rPr>
        <w:t> </w:t>
      </w:r>
      <w:r>
        <w:rPr/>
        <w:t>standard</w:t>
      </w:r>
      <w:r>
        <w:rPr>
          <w:spacing w:val="-7"/>
        </w:rPr>
        <w:t> </w:t>
      </w:r>
      <w:r>
        <w:rPr/>
        <w:t>technologies</w:t>
      </w:r>
      <w:r>
        <w:rPr>
          <w:spacing w:val="-7"/>
        </w:rPr>
        <w:t> </w:t>
      </w:r>
      <w:r>
        <w:rPr/>
        <w:t>are</w:t>
      </w:r>
      <w:r>
        <w:rPr>
          <w:spacing w:val="-6"/>
        </w:rPr>
        <w:t> </w:t>
      </w:r>
      <w:r>
        <w:rPr/>
        <w:t>available</w:t>
      </w:r>
      <w:r>
        <w:rPr>
          <w:spacing w:val="-7"/>
        </w:rPr>
        <w:t> </w:t>
      </w:r>
      <w:r>
        <w:rPr/>
        <w:t>for</w:t>
      </w:r>
      <w:r>
        <w:rPr>
          <w:spacing w:val="-7"/>
        </w:rPr>
        <w:t> </w:t>
      </w:r>
      <w:r>
        <w:rPr/>
        <w:t>monitoring the</w:t>
      </w:r>
      <w:r>
        <w:rPr>
          <w:spacing w:val="-18"/>
        </w:rPr>
        <w:t> </w:t>
      </w:r>
      <w:r>
        <w:rPr/>
        <w:t>integrity</w:t>
      </w:r>
      <w:r>
        <w:rPr>
          <w:spacing w:val="-17"/>
        </w:rPr>
        <w:t> </w:t>
      </w:r>
      <w:r>
        <w:rPr/>
        <w:t>of</w:t>
      </w:r>
      <w:r>
        <w:rPr>
          <w:spacing w:val="-18"/>
        </w:rPr>
        <w:t> </w:t>
      </w:r>
      <w:r>
        <w:rPr/>
        <w:t>active</w:t>
      </w:r>
      <w:r>
        <w:rPr>
          <w:spacing w:val="-17"/>
        </w:rPr>
        <w:t> </w:t>
      </w:r>
      <w:r>
        <w:rPr/>
        <w:t>injection</w:t>
      </w:r>
      <w:r>
        <w:rPr>
          <w:spacing w:val="-18"/>
        </w:rPr>
        <w:t> </w:t>
      </w:r>
      <w:r>
        <w:rPr/>
        <w:t>wells.</w:t>
      </w:r>
      <w:r>
        <w:rPr>
          <w:spacing w:val="-17"/>
        </w:rPr>
        <w:t> </w:t>
      </w:r>
      <w:r>
        <w:rPr/>
        <w:t>Cement</w:t>
      </w:r>
      <w:r>
        <w:rPr>
          <w:spacing w:val="-18"/>
        </w:rPr>
        <w:t> </w:t>
      </w:r>
      <w:r>
        <w:rPr/>
        <w:t>bond</w:t>
      </w:r>
      <w:r>
        <w:rPr>
          <w:spacing w:val="-17"/>
        </w:rPr>
        <w:t> </w:t>
      </w:r>
      <w:r>
        <w:rPr/>
        <w:t>logs</w:t>
      </w:r>
      <w:r>
        <w:rPr>
          <w:spacing w:val="-18"/>
        </w:rPr>
        <w:t> </w:t>
      </w:r>
      <w:r>
        <w:rPr/>
        <w:t>are</w:t>
      </w:r>
      <w:r>
        <w:rPr>
          <w:spacing w:val="-17"/>
        </w:rPr>
        <w:t> </w:t>
      </w:r>
      <w:r>
        <w:rPr/>
        <w:t>used to</w:t>
      </w:r>
      <w:r>
        <w:rPr>
          <w:spacing w:val="-4"/>
        </w:rPr>
        <w:t> </w:t>
      </w:r>
      <w:r>
        <w:rPr/>
        <w:t>assess</w:t>
      </w:r>
      <w:r>
        <w:rPr>
          <w:spacing w:val="-3"/>
        </w:rPr>
        <w:t> </w:t>
      </w:r>
      <w:r>
        <w:rPr/>
        <w:t>the</w:t>
      </w:r>
      <w:r>
        <w:rPr>
          <w:spacing w:val="-4"/>
        </w:rPr>
        <w:t> </w:t>
      </w:r>
      <w:r>
        <w:rPr/>
        <w:t>bond</w:t>
      </w:r>
      <w:r>
        <w:rPr>
          <w:spacing w:val="-3"/>
        </w:rPr>
        <w:t> </w:t>
      </w:r>
      <w:r>
        <w:rPr/>
        <w:t>and</w:t>
      </w:r>
      <w:r>
        <w:rPr>
          <w:spacing w:val="-3"/>
        </w:rPr>
        <w:t> </w:t>
      </w:r>
      <w:r>
        <w:rPr/>
        <w:t>the</w:t>
      </w:r>
      <w:r>
        <w:rPr>
          <w:spacing w:val="-4"/>
        </w:rPr>
        <w:t> </w:t>
      </w:r>
      <w:r>
        <w:rPr/>
        <w:t>continuity</w:t>
      </w:r>
      <w:r>
        <w:rPr>
          <w:spacing w:val="-3"/>
        </w:rPr>
        <w:t> </w:t>
      </w:r>
      <w:r>
        <w:rPr/>
        <w:t>of</w:t>
      </w:r>
      <w:r>
        <w:rPr>
          <w:spacing w:val="-3"/>
        </w:rPr>
        <w:t> </w:t>
      </w:r>
      <w:r>
        <w:rPr/>
        <w:t>the</w:t>
      </w:r>
      <w:r>
        <w:rPr>
          <w:spacing w:val="-4"/>
        </w:rPr>
        <w:t> </w:t>
      </w:r>
      <w:r>
        <w:rPr/>
        <w:t>cement</w:t>
      </w:r>
      <w:r>
        <w:rPr>
          <w:spacing w:val="-3"/>
        </w:rPr>
        <w:t> </w:t>
      </w:r>
      <w:r>
        <w:rPr/>
        <w:t>around</w:t>
      </w:r>
      <w:r>
        <w:rPr>
          <w:spacing w:val="-3"/>
        </w:rPr>
        <w:t> </w:t>
      </w:r>
      <w:r>
        <w:rPr/>
        <w:t>well casing. Periodic cement bond logs can help detect</w:t>
      </w:r>
      <w:r>
        <w:rPr>
          <w:spacing w:val="-29"/>
        </w:rPr>
        <w:t> </w:t>
      </w:r>
      <w:r>
        <w:rPr/>
        <w:t>deterioration in the cemented portion of the well and may also indicate any chemical interaction of the acidized formation fluids with the cement. The initial use of cement bond logs as part of the</w:t>
      </w:r>
      <w:r>
        <w:rPr>
          <w:spacing w:val="-20"/>
        </w:rPr>
        <w:t> </w:t>
      </w:r>
      <w:r>
        <w:rPr/>
        <w:t>well- integrity testing can indicate problems with bonding and </w:t>
      </w:r>
      <w:r>
        <w:rPr>
          <w:spacing w:val="-3"/>
        </w:rPr>
        <w:t>even </w:t>
      </w:r>
      <w:r>
        <w:rPr/>
        <w:t>the absence of cement.</w:t>
      </w:r>
    </w:p>
    <w:p>
      <w:pPr>
        <w:pStyle w:val="BodyText"/>
        <w:spacing w:line="240" w:lineRule="exact" w:before="2"/>
        <w:ind w:left="553" w:right="1" w:firstLine="283"/>
        <w:jc w:val="both"/>
      </w:pPr>
      <w:r>
        <w:rPr/>
        <w:t>Prior</w:t>
      </w:r>
      <w:r>
        <w:rPr>
          <w:spacing w:val="-21"/>
        </w:rPr>
        <w:t> </w:t>
      </w:r>
      <w:r>
        <w:rPr/>
        <w:t>to</w:t>
      </w:r>
      <w:r>
        <w:rPr>
          <w:spacing w:val="-21"/>
        </w:rPr>
        <w:t> </w:t>
      </w:r>
      <w:r>
        <w:rPr/>
        <w:t>converting</w:t>
      </w:r>
      <w:r>
        <w:rPr>
          <w:spacing w:val="-20"/>
        </w:rPr>
        <w:t> </w:t>
      </w:r>
      <w:r>
        <w:rPr/>
        <w:t>a</w:t>
      </w:r>
      <w:r>
        <w:rPr>
          <w:spacing w:val="-21"/>
        </w:rPr>
        <w:t> </w:t>
      </w:r>
      <w:r>
        <w:rPr/>
        <w:t>well</w:t>
      </w:r>
      <w:r>
        <w:rPr>
          <w:spacing w:val="-20"/>
        </w:rPr>
        <w:t> </w:t>
      </w:r>
      <w:r>
        <w:rPr/>
        <w:t>to</w:t>
      </w:r>
      <w:r>
        <w:rPr>
          <w:spacing w:val="-21"/>
        </w:rPr>
        <w:t> </w:t>
      </w:r>
      <w:r>
        <w:rPr/>
        <w:t>other</w:t>
      </w:r>
      <w:r>
        <w:rPr>
          <w:spacing w:val="-21"/>
        </w:rPr>
        <w:t> </w:t>
      </w:r>
      <w:r>
        <w:rPr/>
        <w:t>uses,</w:t>
      </w:r>
      <w:r>
        <w:rPr>
          <w:spacing w:val="-20"/>
        </w:rPr>
        <w:t> </w:t>
      </w:r>
      <w:r>
        <w:rPr/>
        <w:t>such</w:t>
      </w:r>
      <w:r>
        <w:rPr>
          <w:spacing w:val="-21"/>
        </w:rPr>
        <w:t> </w:t>
      </w:r>
      <w:r>
        <w:rPr/>
        <w:t>as</w:t>
      </w:r>
      <w:r>
        <w:rPr>
          <w:spacing w:val="-20"/>
        </w:rPr>
        <w:t> </w:t>
      </w:r>
      <w:r>
        <w:rPr/>
        <w:t>CO</w:t>
      </w:r>
      <w:r>
        <w:rPr>
          <w:position w:val="-6"/>
          <w:sz w:val="11"/>
        </w:rPr>
        <w:t>2</w:t>
      </w:r>
      <w:r>
        <w:rPr>
          <w:spacing w:val="1"/>
          <w:position w:val="-6"/>
          <w:sz w:val="11"/>
        </w:rPr>
        <w:t> </w:t>
      </w:r>
      <w:r>
        <w:rPr/>
        <w:t>injection, the well usually undergoes testing to ensure its integrity </w:t>
      </w:r>
      <w:r>
        <w:rPr>
          <w:spacing w:val="-3"/>
        </w:rPr>
        <w:t>under </w:t>
      </w:r>
      <w:r>
        <w:rPr/>
        <w:t>pressure. These tests are relatively straightforward, with the well being sealed top and bottom (or in the zone to be tested), pressured up and its ability to hold pressure measured. </w:t>
      </w:r>
      <w:r>
        <w:rPr>
          <w:spacing w:val="-9"/>
        </w:rPr>
        <w:t>In </w:t>
      </w:r>
      <w:r>
        <w:rPr/>
        <w:t>general, particularly on land, the well will be abandoned if      it fails the test and a new well will be drilled, as opposed to attempting any remediation on the defective</w:t>
      </w:r>
      <w:r>
        <w:rPr>
          <w:spacing w:val="-2"/>
        </w:rPr>
        <w:t> </w:t>
      </w:r>
      <w:r>
        <w:rPr/>
        <w:t>well.</w:t>
      </w:r>
    </w:p>
    <w:p>
      <w:pPr>
        <w:pStyle w:val="BodyText"/>
        <w:spacing w:line="249" w:lineRule="auto" w:before="5"/>
        <w:ind w:left="553" w:firstLine="283"/>
        <w:jc w:val="both"/>
      </w:pPr>
      <w:r>
        <w:rPr/>
        <w:t>Injection takes place through a pipe that is lowered into the well</w:t>
      </w:r>
      <w:r>
        <w:rPr>
          <w:spacing w:val="-9"/>
        </w:rPr>
        <w:t> </w:t>
      </w:r>
      <w:r>
        <w:rPr/>
        <w:t>and</w:t>
      </w:r>
      <w:r>
        <w:rPr>
          <w:spacing w:val="-9"/>
        </w:rPr>
        <w:t> </w:t>
      </w:r>
      <w:r>
        <w:rPr/>
        <w:t>packed</w:t>
      </w:r>
      <w:r>
        <w:rPr>
          <w:spacing w:val="-9"/>
        </w:rPr>
        <w:t> </w:t>
      </w:r>
      <w:r>
        <w:rPr/>
        <w:t>off</w:t>
      </w:r>
      <w:r>
        <w:rPr>
          <w:spacing w:val="-9"/>
        </w:rPr>
        <w:t> </w:t>
      </w:r>
      <w:r>
        <w:rPr/>
        <w:t>above</w:t>
      </w:r>
      <w:r>
        <w:rPr>
          <w:spacing w:val="-8"/>
        </w:rPr>
        <w:t> </w:t>
      </w:r>
      <w:r>
        <w:rPr/>
        <w:t>the</w:t>
      </w:r>
      <w:r>
        <w:rPr>
          <w:spacing w:val="-9"/>
        </w:rPr>
        <w:t> </w:t>
      </w:r>
      <w:r>
        <w:rPr/>
        <w:t>perforations</w:t>
      </w:r>
      <w:r>
        <w:rPr>
          <w:spacing w:val="-9"/>
        </w:rPr>
        <w:t> </w:t>
      </w:r>
      <w:r>
        <w:rPr/>
        <w:t>or</w:t>
      </w:r>
      <w:r>
        <w:rPr>
          <w:spacing w:val="-9"/>
        </w:rPr>
        <w:t> </w:t>
      </w:r>
      <w:r>
        <w:rPr/>
        <w:t>open-hole</w:t>
      </w:r>
      <w:r>
        <w:rPr>
          <w:spacing w:val="-8"/>
        </w:rPr>
        <w:t> </w:t>
      </w:r>
      <w:r>
        <w:rPr/>
        <w:t>portion of the well to ensure that the injectant reaches the appropriate level.</w:t>
      </w:r>
      <w:r>
        <w:rPr>
          <w:spacing w:val="-10"/>
        </w:rPr>
        <w:t> </w:t>
      </w:r>
      <w:r>
        <w:rPr/>
        <w:t>The</w:t>
      </w:r>
      <w:r>
        <w:rPr>
          <w:spacing w:val="-6"/>
        </w:rPr>
        <w:t> </w:t>
      </w:r>
      <w:r>
        <w:rPr/>
        <w:t>pressure</w:t>
      </w:r>
      <w:r>
        <w:rPr>
          <w:spacing w:val="-7"/>
        </w:rPr>
        <w:t> </w:t>
      </w:r>
      <w:r>
        <w:rPr/>
        <w:t>in</w:t>
      </w:r>
      <w:r>
        <w:rPr>
          <w:spacing w:val="-6"/>
        </w:rPr>
        <w:t> </w:t>
      </w:r>
      <w:r>
        <w:rPr/>
        <w:t>the</w:t>
      </w:r>
      <w:r>
        <w:rPr>
          <w:spacing w:val="-6"/>
        </w:rPr>
        <w:t> </w:t>
      </w:r>
      <w:r>
        <w:rPr/>
        <w:t>annulus,</w:t>
      </w:r>
      <w:r>
        <w:rPr>
          <w:spacing w:val="-7"/>
        </w:rPr>
        <w:t> </w:t>
      </w:r>
      <w:r>
        <w:rPr/>
        <w:t>the</w:t>
      </w:r>
      <w:r>
        <w:rPr>
          <w:spacing w:val="-6"/>
        </w:rPr>
        <w:t> </w:t>
      </w:r>
      <w:r>
        <w:rPr/>
        <w:t>space</w:t>
      </w:r>
      <w:r>
        <w:rPr>
          <w:spacing w:val="-7"/>
        </w:rPr>
        <w:t> </w:t>
      </w:r>
      <w:r>
        <w:rPr/>
        <w:t>between</w:t>
      </w:r>
      <w:r>
        <w:rPr>
          <w:spacing w:val="-6"/>
        </w:rPr>
        <w:t> </w:t>
      </w:r>
      <w:r>
        <w:rPr/>
        <w:t>the</w:t>
      </w:r>
      <w:r>
        <w:rPr>
          <w:spacing w:val="-6"/>
        </w:rPr>
        <w:t> </w:t>
      </w:r>
      <w:r>
        <w:rPr/>
        <w:t>casing and the injection pipe, can be monitored to ensure the integrity of</w:t>
      </w:r>
      <w:r>
        <w:rPr>
          <w:spacing w:val="-11"/>
        </w:rPr>
        <w:t> </w:t>
      </w:r>
      <w:r>
        <w:rPr/>
        <w:t>the</w:t>
      </w:r>
      <w:r>
        <w:rPr>
          <w:spacing w:val="-11"/>
        </w:rPr>
        <w:t> </w:t>
      </w:r>
      <w:r>
        <w:rPr/>
        <w:t>packer,</w:t>
      </w:r>
      <w:r>
        <w:rPr>
          <w:spacing w:val="-11"/>
        </w:rPr>
        <w:t> </w:t>
      </w:r>
      <w:r>
        <w:rPr/>
        <w:t>casing</w:t>
      </w:r>
      <w:r>
        <w:rPr>
          <w:spacing w:val="-11"/>
        </w:rPr>
        <w:t> </w:t>
      </w:r>
      <w:r>
        <w:rPr/>
        <w:t>and</w:t>
      </w:r>
      <w:r>
        <w:rPr>
          <w:spacing w:val="-10"/>
        </w:rPr>
        <w:t> </w:t>
      </w:r>
      <w:r>
        <w:rPr/>
        <w:t>the</w:t>
      </w:r>
      <w:r>
        <w:rPr>
          <w:spacing w:val="-11"/>
        </w:rPr>
        <w:t> </w:t>
      </w:r>
      <w:r>
        <w:rPr/>
        <w:t>injection</w:t>
      </w:r>
      <w:r>
        <w:rPr>
          <w:spacing w:val="-11"/>
        </w:rPr>
        <w:t> </w:t>
      </w:r>
      <w:r>
        <w:rPr/>
        <w:t>pipe.</w:t>
      </w:r>
      <w:r>
        <w:rPr>
          <w:spacing w:val="-11"/>
        </w:rPr>
        <w:t> </w:t>
      </w:r>
      <w:r>
        <w:rPr/>
        <w:t>Changes</w:t>
      </w:r>
      <w:r>
        <w:rPr>
          <w:spacing w:val="-10"/>
        </w:rPr>
        <w:t> </w:t>
      </w:r>
      <w:r>
        <w:rPr/>
        <w:t>in</w:t>
      </w:r>
      <w:r>
        <w:rPr>
          <w:spacing w:val="-11"/>
        </w:rPr>
        <w:t> </w:t>
      </w:r>
      <w:r>
        <w:rPr/>
        <w:t>pressure or gas composition in the annulus will alert the operator to problems.</w:t>
      </w:r>
    </w:p>
    <w:p>
      <w:pPr>
        <w:pStyle w:val="BodyText"/>
        <w:spacing w:line="197" w:lineRule="exact"/>
        <w:ind w:left="241"/>
        <w:jc w:val="both"/>
      </w:pPr>
      <w:r>
        <w:rPr/>
        <w:br w:type="column"/>
      </w:r>
      <w:r>
        <w:rPr/>
        <w:t>stable isotopes (e.g., </w:t>
      </w:r>
      <w:r>
        <w:rPr>
          <w:position w:val="7"/>
          <w:sz w:val="11"/>
        </w:rPr>
        <w:t>13</w:t>
      </w:r>
      <w:r>
        <w:rPr/>
        <w:t>C, </w:t>
      </w:r>
      <w:r>
        <w:rPr>
          <w:position w:val="7"/>
          <w:sz w:val="11"/>
        </w:rPr>
        <w:t>14</w:t>
      </w:r>
      <w:r>
        <w:rPr/>
        <w:t>C, </w:t>
      </w:r>
      <w:r>
        <w:rPr>
          <w:position w:val="7"/>
          <w:sz w:val="11"/>
        </w:rPr>
        <w:t>18</w:t>
      </w:r>
      <w:r>
        <w:rPr/>
        <w:t>O, </w:t>
      </w:r>
      <w:r>
        <w:rPr>
          <w:position w:val="7"/>
          <w:sz w:val="11"/>
        </w:rPr>
        <w:t>2</w:t>
      </w:r>
      <w:r>
        <w:rPr/>
        <w:t>H) and gases, including</w:t>
      </w:r>
    </w:p>
    <w:p>
      <w:pPr>
        <w:pStyle w:val="BodyText"/>
        <w:spacing w:line="240" w:lineRule="exact" w:before="4"/>
        <w:ind w:left="241" w:right="133"/>
        <w:jc w:val="both"/>
      </w:pPr>
      <w:r>
        <w:rPr/>
        <w:t>hydrocarbon gases, CO</w:t>
      </w:r>
      <w:r>
        <w:rPr>
          <w:position w:val="-6"/>
          <w:sz w:val="11"/>
        </w:rPr>
        <w:t>2 </w:t>
      </w:r>
      <w:r>
        <w:rPr/>
        <w:t>and its associated isotopes (Gunter </w:t>
      </w:r>
      <w:r>
        <w:rPr>
          <w:i/>
          <w:spacing w:val="-6"/>
        </w:rPr>
        <w:t>et </w:t>
      </w:r>
      <w:r>
        <w:rPr>
          <w:i/>
        </w:rPr>
        <w:t>al.</w:t>
      </w:r>
      <w:r>
        <w:rPr/>
        <w:t>, 1998). Additionally, if shallow groundwater contamination occurs, samples could be analyzed for trace elements such as arsenic and lead, which are mobilized by acidic water (Section 5.5). Methods such as atomic absorption and inductively coupled plasma mass spectroscopy self-potential can be used to accurately measure water quality. Less sensitive field tests or other analytical methods are also available (Clesceri </w:t>
      </w:r>
      <w:r>
        <w:rPr>
          <w:i/>
        </w:rPr>
        <w:t>et al.</w:t>
      </w:r>
      <w:r>
        <w:rPr/>
        <w:t>, 1998). Standard analytical methods are available to monitor  all of these parameters, including the possibility of continuous real-time monitoring for some of the geochemical</w:t>
      </w:r>
      <w:r>
        <w:rPr>
          <w:spacing w:val="-4"/>
        </w:rPr>
        <w:t> </w:t>
      </w:r>
      <w:r>
        <w:rPr/>
        <w:t>parameters.</w:t>
      </w:r>
    </w:p>
    <w:p>
      <w:pPr>
        <w:pStyle w:val="BodyText"/>
        <w:spacing w:line="240" w:lineRule="exact"/>
        <w:ind w:left="241" w:right="133" w:firstLine="283"/>
        <w:jc w:val="both"/>
      </w:pPr>
      <w:r>
        <w:rPr/>
        <w:t>Natural tracers (isotopes of C, O, H and noble gases associated with the injected CO</w:t>
      </w:r>
      <w:r>
        <w:rPr>
          <w:position w:val="-6"/>
          <w:sz w:val="11"/>
        </w:rPr>
        <w:t>2</w:t>
      </w:r>
      <w:r>
        <w:rPr/>
        <w:t>) and introduced tracers (noble gases, SF</w:t>
      </w:r>
      <w:r>
        <w:rPr>
          <w:position w:val="-6"/>
          <w:sz w:val="11"/>
        </w:rPr>
        <w:t>6 </w:t>
      </w:r>
      <w:r>
        <w:rPr/>
        <w:t>and perfluorocarbons) also may provide insight </w:t>
      </w:r>
      <w:r>
        <w:rPr>
          <w:spacing w:val="-3"/>
        </w:rPr>
        <w:t>into </w:t>
      </w:r>
      <w:r>
        <w:rPr/>
        <w:t>the</w:t>
      </w:r>
      <w:r>
        <w:rPr>
          <w:spacing w:val="-13"/>
        </w:rPr>
        <w:t> </w:t>
      </w:r>
      <w:r>
        <w:rPr/>
        <w:t>impacts</w:t>
      </w:r>
      <w:r>
        <w:rPr>
          <w:spacing w:val="-13"/>
        </w:rPr>
        <w:t> </w:t>
      </w:r>
      <w:r>
        <w:rPr/>
        <w:t>of</w:t>
      </w:r>
      <w:r>
        <w:rPr>
          <w:spacing w:val="-13"/>
        </w:rPr>
        <w:t> </w:t>
      </w:r>
      <w:r>
        <w:rPr/>
        <w:t>storage</w:t>
      </w:r>
      <w:r>
        <w:rPr>
          <w:spacing w:val="-12"/>
        </w:rPr>
        <w:t> </w:t>
      </w:r>
      <w:r>
        <w:rPr/>
        <w:t>projects</w:t>
      </w:r>
      <w:r>
        <w:rPr>
          <w:spacing w:val="-13"/>
        </w:rPr>
        <w:t> </w:t>
      </w:r>
      <w:r>
        <w:rPr/>
        <w:t>on</w:t>
      </w:r>
      <w:r>
        <w:rPr>
          <w:spacing w:val="-13"/>
        </w:rPr>
        <w:t> </w:t>
      </w:r>
      <w:r>
        <w:rPr/>
        <w:t>groundwater</w:t>
      </w:r>
      <w:r>
        <w:rPr>
          <w:spacing w:val="-13"/>
        </w:rPr>
        <w:t> </w:t>
      </w:r>
      <w:r>
        <w:rPr/>
        <w:t>(Emberley</w:t>
      </w:r>
      <w:r>
        <w:rPr>
          <w:spacing w:val="-12"/>
        </w:rPr>
        <w:t> </w:t>
      </w:r>
      <w:r>
        <w:rPr>
          <w:i/>
        </w:rPr>
        <w:t>et</w:t>
      </w:r>
      <w:r>
        <w:rPr>
          <w:i/>
          <w:spacing w:val="-13"/>
        </w:rPr>
        <w:t> </w:t>
      </w:r>
      <w:r>
        <w:rPr>
          <w:i/>
        </w:rPr>
        <w:t>al.</w:t>
      </w:r>
      <w:r>
        <w:rPr/>
        <w:t>, 2002; Nimz and Hudson, 2005). (SF</w:t>
      </w:r>
      <w:r>
        <w:rPr>
          <w:position w:val="-6"/>
          <w:sz w:val="11"/>
        </w:rPr>
        <w:t>6 </w:t>
      </w:r>
      <w:r>
        <w:rPr/>
        <w:t>and perfluorocarbons are greenhouse</w:t>
      </w:r>
      <w:r>
        <w:rPr>
          <w:spacing w:val="-24"/>
        </w:rPr>
        <w:t> </w:t>
      </w:r>
      <w:r>
        <w:rPr/>
        <w:t>gases</w:t>
      </w:r>
      <w:r>
        <w:rPr>
          <w:spacing w:val="-23"/>
        </w:rPr>
        <w:t> </w:t>
      </w:r>
      <w:r>
        <w:rPr/>
        <w:t>with</w:t>
      </w:r>
      <w:r>
        <w:rPr>
          <w:spacing w:val="-23"/>
        </w:rPr>
        <w:t> </w:t>
      </w:r>
      <w:r>
        <w:rPr/>
        <w:t>extremely</w:t>
      </w:r>
      <w:r>
        <w:rPr>
          <w:spacing w:val="-23"/>
        </w:rPr>
        <w:t> </w:t>
      </w:r>
      <w:r>
        <w:rPr/>
        <w:t>high</w:t>
      </w:r>
      <w:r>
        <w:rPr>
          <w:spacing w:val="-23"/>
        </w:rPr>
        <w:t> </w:t>
      </w:r>
      <w:r>
        <w:rPr/>
        <w:t>global</w:t>
      </w:r>
      <w:r>
        <w:rPr>
          <w:spacing w:val="-24"/>
        </w:rPr>
        <w:t> </w:t>
      </w:r>
      <w:r>
        <w:rPr/>
        <w:t>warming</w:t>
      </w:r>
      <w:r>
        <w:rPr>
          <w:spacing w:val="-23"/>
        </w:rPr>
        <w:t> </w:t>
      </w:r>
      <w:r>
        <w:rPr/>
        <w:t>potentials and therefore caution is warranted in the use of these gases, to avoid their release to the atmosphere.) Natural tracers such as C and O isotopes may be able to link changes in groundwater quality directly to the stored CO</w:t>
      </w:r>
      <w:r>
        <w:rPr>
          <w:position w:val="-6"/>
          <w:sz w:val="11"/>
        </w:rPr>
        <w:t>2 </w:t>
      </w:r>
      <w:r>
        <w:rPr/>
        <w:t>by ‘fingerprinting’ the CO</w:t>
      </w:r>
      <w:r>
        <w:rPr>
          <w:position w:val="-6"/>
          <w:sz w:val="11"/>
        </w:rPr>
        <w:t>2</w:t>
      </w:r>
      <w:r>
        <w:rPr/>
        <w:t>, thus distinguishing storage-induced  changes  from  changes  in groundwater quality caused by other factors. Introduced tracers such as perfluorocarbons that can be detected at very low</w:t>
      </w:r>
      <w:r>
        <w:rPr>
          <w:spacing w:val="15"/>
        </w:rPr>
        <w:t> </w:t>
      </w:r>
      <w:r>
        <w:rPr/>
        <w:t>concentrations</w:t>
      </w:r>
      <w:r>
        <w:rPr>
          <w:spacing w:val="15"/>
        </w:rPr>
        <w:t> </w:t>
      </w:r>
      <w:r>
        <w:rPr/>
        <w:t>(1</w:t>
      </w:r>
      <w:r>
        <w:rPr>
          <w:spacing w:val="15"/>
        </w:rPr>
        <w:t> </w:t>
      </w:r>
      <w:r>
        <w:rPr/>
        <w:t>part</w:t>
      </w:r>
      <w:r>
        <w:rPr>
          <w:spacing w:val="15"/>
        </w:rPr>
        <w:t> </w:t>
      </w:r>
      <w:r>
        <w:rPr/>
        <w:t>per</w:t>
      </w:r>
      <w:r>
        <w:rPr>
          <w:spacing w:val="15"/>
        </w:rPr>
        <w:t> </w:t>
      </w:r>
      <w:r>
        <w:rPr/>
        <w:t>trillion)</w:t>
      </w:r>
      <w:r>
        <w:rPr>
          <w:spacing w:val="15"/>
        </w:rPr>
        <w:t> </w:t>
      </w:r>
      <w:r>
        <w:rPr/>
        <w:t>may</w:t>
      </w:r>
      <w:r>
        <w:rPr>
          <w:spacing w:val="16"/>
        </w:rPr>
        <w:t> </w:t>
      </w:r>
      <w:r>
        <w:rPr/>
        <w:t>also</w:t>
      </w:r>
      <w:r>
        <w:rPr>
          <w:spacing w:val="15"/>
        </w:rPr>
        <w:t> </w:t>
      </w:r>
      <w:r>
        <w:rPr/>
        <w:t>be</w:t>
      </w:r>
      <w:r>
        <w:rPr>
          <w:spacing w:val="15"/>
        </w:rPr>
        <w:t> </w:t>
      </w:r>
      <w:r>
        <w:rPr/>
        <w:t>useful</w:t>
      </w:r>
      <w:r>
        <w:rPr>
          <w:spacing w:val="15"/>
        </w:rPr>
        <w:t> </w:t>
      </w:r>
      <w:r>
        <w:rPr>
          <w:spacing w:val="-4"/>
        </w:rPr>
        <w:t>for</w:t>
      </w:r>
    </w:p>
    <w:p>
      <w:pPr>
        <w:spacing w:after="0" w:line="240" w:lineRule="exact"/>
        <w:jc w:val="both"/>
        <w:sectPr>
          <w:type w:val="continuous"/>
          <w:pgSz w:w="12240" w:h="15840"/>
          <w:pgMar w:top="400" w:bottom="280" w:left="580" w:right="600"/>
          <w:cols w:num="2" w:equalWidth="0">
            <w:col w:w="5600" w:space="40"/>
            <w:col w:w="5420"/>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9"/>
        <w:jc w:val="both"/>
      </w:pPr>
      <w:r>
        <w:rPr/>
        <w:t>determining whether CO</w:t>
      </w:r>
      <w:r>
        <w:rPr>
          <w:position w:val="-6"/>
          <w:sz w:val="11"/>
        </w:rPr>
        <w:t>2 </w:t>
      </w:r>
      <w:r>
        <w:rPr/>
        <w:t>has leaked and is responsible for changes in groundwater quality. Synthetic tracers could be added periodically to determine movement in the reservoir or leakage paths, while natural tracers are present in the reservoir or introduced gases.</w:t>
      </w:r>
    </w:p>
    <w:p>
      <w:pPr>
        <w:pStyle w:val="BodyText"/>
        <w:spacing w:before="3"/>
        <w:rPr>
          <w:sz w:val="21"/>
        </w:rPr>
      </w:pPr>
    </w:p>
    <w:p>
      <w:pPr>
        <w:pStyle w:val="ListParagraph"/>
        <w:numPr>
          <w:ilvl w:val="3"/>
          <w:numId w:val="13"/>
        </w:numPr>
        <w:tabs>
          <w:tab w:pos="977" w:val="left" w:leader="none"/>
        </w:tabs>
        <w:spacing w:line="240" w:lineRule="auto" w:before="1" w:after="0"/>
        <w:ind w:left="977" w:right="0" w:hanging="820"/>
        <w:jc w:val="both"/>
        <w:rPr>
          <w:i/>
          <w:sz w:val="20"/>
        </w:rPr>
      </w:pPr>
      <w:r>
        <w:rPr>
          <w:i/>
          <w:sz w:val="20"/>
        </w:rPr>
        <w:t>Air quality and atmospheric</w:t>
      </w:r>
      <w:r>
        <w:rPr>
          <w:i/>
          <w:spacing w:val="-2"/>
          <w:sz w:val="20"/>
        </w:rPr>
        <w:t> </w:t>
      </w:r>
      <w:r>
        <w:rPr>
          <w:i/>
          <w:sz w:val="20"/>
        </w:rPr>
        <w:t>fluxes</w:t>
      </w:r>
    </w:p>
    <w:p>
      <w:pPr>
        <w:pStyle w:val="BodyText"/>
        <w:spacing w:line="240" w:lineRule="exact" w:before="4"/>
        <w:ind w:left="157" w:right="38"/>
        <w:jc w:val="both"/>
      </w:pPr>
      <w:r>
        <w:rPr/>
        <w:t>Continuous sensors for monitoring CO</w:t>
      </w:r>
      <w:r>
        <w:rPr>
          <w:position w:val="-6"/>
          <w:sz w:val="11"/>
        </w:rPr>
        <w:t>2 </w:t>
      </w:r>
      <w:r>
        <w:rPr/>
        <w:t>in air are used in a variety of applications, including </w:t>
      </w:r>
      <w:r>
        <w:rPr>
          <w:spacing w:val="-7"/>
        </w:rPr>
        <w:t>HVAC </w:t>
      </w:r>
      <w:r>
        <w:rPr/>
        <w:t>(heating, ventilation and air conditioning) systems, greenhouses, combustion emissions measurement and environments in which CO</w:t>
      </w:r>
      <w:r>
        <w:rPr>
          <w:position w:val="-6"/>
          <w:sz w:val="11"/>
        </w:rPr>
        <w:t>2 </w:t>
      </w:r>
      <w:r>
        <w:rPr/>
        <w:t>is a significant hazard (such as breweries). Such devices rely on infrared detection principles and are referred to as infrared   gas analyzers. These gas analyzers are  small  and  portable and commonly used in occupational settings. Most use non- dispersive infrared or Fourier Transform infrared detectors. Both methods use light attenuation by CO</w:t>
      </w:r>
      <w:r>
        <w:rPr>
          <w:position w:val="-6"/>
          <w:sz w:val="11"/>
        </w:rPr>
        <w:t>2 </w:t>
      </w:r>
      <w:r>
        <w:rPr/>
        <w:t>at a specific wavelength, usually 4.26 microns. For extra assurance and validation of real-time monitoring data, US regulatory bodies, such</w:t>
      </w:r>
      <w:r>
        <w:rPr>
          <w:spacing w:val="-12"/>
        </w:rPr>
        <w:t> </w:t>
      </w:r>
      <w:r>
        <w:rPr/>
        <w:t>as</w:t>
      </w:r>
      <w:r>
        <w:rPr>
          <w:spacing w:val="-11"/>
        </w:rPr>
        <w:t> </w:t>
      </w:r>
      <w:r>
        <w:rPr/>
        <w:t>NIOSH,</w:t>
      </w:r>
      <w:r>
        <w:rPr>
          <w:spacing w:val="-11"/>
        </w:rPr>
        <w:t> </w:t>
      </w:r>
      <w:r>
        <w:rPr/>
        <w:t>OSHA</w:t>
      </w:r>
      <w:r>
        <w:rPr>
          <w:spacing w:val="-22"/>
        </w:rPr>
        <w:t> </w:t>
      </w:r>
      <w:r>
        <w:rPr/>
        <w:t>and</w:t>
      </w:r>
      <w:r>
        <w:rPr>
          <w:spacing w:val="-11"/>
        </w:rPr>
        <w:t> </w:t>
      </w:r>
      <w:r>
        <w:rPr/>
        <w:t>the</w:t>
      </w:r>
      <w:r>
        <w:rPr>
          <w:spacing w:val="-11"/>
        </w:rPr>
        <w:t> </w:t>
      </w:r>
      <w:r>
        <w:rPr>
          <w:spacing w:val="-5"/>
        </w:rPr>
        <w:t>EPA,</w:t>
      </w:r>
      <w:r>
        <w:rPr>
          <w:spacing w:val="-12"/>
        </w:rPr>
        <w:t> </w:t>
      </w:r>
      <w:r>
        <w:rPr/>
        <w:t>use</w:t>
      </w:r>
      <w:r>
        <w:rPr>
          <w:spacing w:val="-11"/>
        </w:rPr>
        <w:t> </w:t>
      </w:r>
      <w:r>
        <w:rPr/>
        <w:t>periodic</w:t>
      </w:r>
      <w:r>
        <w:rPr>
          <w:spacing w:val="-11"/>
        </w:rPr>
        <w:t> </w:t>
      </w:r>
      <w:r>
        <w:rPr/>
        <w:t>concentration measurement</w:t>
      </w:r>
      <w:r>
        <w:rPr>
          <w:spacing w:val="-9"/>
        </w:rPr>
        <w:t> </w:t>
      </w:r>
      <w:r>
        <w:rPr/>
        <w:t>by</w:t>
      </w:r>
      <w:r>
        <w:rPr>
          <w:spacing w:val="-9"/>
        </w:rPr>
        <w:t> </w:t>
      </w:r>
      <w:r>
        <w:rPr/>
        <w:t>gas</w:t>
      </w:r>
      <w:r>
        <w:rPr>
          <w:spacing w:val="-9"/>
        </w:rPr>
        <w:t> </w:t>
      </w:r>
      <w:r>
        <w:rPr/>
        <w:t>chromatography.</w:t>
      </w:r>
      <w:r>
        <w:rPr>
          <w:spacing w:val="-8"/>
        </w:rPr>
        <w:t> </w:t>
      </w:r>
      <w:r>
        <w:rPr/>
        <w:t>Mass</w:t>
      </w:r>
      <w:r>
        <w:rPr>
          <w:spacing w:val="-9"/>
        </w:rPr>
        <w:t> </w:t>
      </w:r>
      <w:r>
        <w:rPr/>
        <w:t>spectrometry</w:t>
      </w:r>
      <w:r>
        <w:rPr>
          <w:spacing w:val="-9"/>
        </w:rPr>
        <w:t> </w:t>
      </w:r>
      <w:r>
        <w:rPr/>
        <w:t>is</w:t>
      </w:r>
      <w:r>
        <w:rPr>
          <w:spacing w:val="-9"/>
        </w:rPr>
        <w:t> </w:t>
      </w:r>
      <w:r>
        <w:rPr/>
        <w:t>the most accurate method for measuring CO</w:t>
      </w:r>
      <w:r>
        <w:rPr>
          <w:position w:val="-6"/>
          <w:sz w:val="11"/>
        </w:rPr>
        <w:t>2  </w:t>
      </w:r>
      <w:r>
        <w:rPr/>
        <w:t>concentration, but   it is also the least portable. Electrochemical solid state CO</w:t>
      </w:r>
      <w:r>
        <w:rPr>
          <w:position w:val="-6"/>
          <w:sz w:val="11"/>
        </w:rPr>
        <w:t>2 </w:t>
      </w:r>
      <w:r>
        <w:rPr/>
        <w:t>detectors exist, but they are not cost effective at this time (e.g., </w:t>
      </w:r>
      <w:r>
        <w:rPr>
          <w:spacing w:val="-3"/>
        </w:rPr>
        <w:t>Tamura </w:t>
      </w:r>
      <w:r>
        <w:rPr>
          <w:i/>
        </w:rPr>
        <w:t>et al.</w:t>
      </w:r>
      <w:r>
        <w:rPr/>
        <w:t>,</w:t>
      </w:r>
      <w:r>
        <w:rPr>
          <w:spacing w:val="2"/>
        </w:rPr>
        <w:t> </w:t>
      </w:r>
      <w:r>
        <w:rPr/>
        <w:t>2001).</w:t>
      </w:r>
    </w:p>
    <w:p>
      <w:pPr>
        <w:pStyle w:val="BodyText"/>
        <w:spacing w:line="240" w:lineRule="exact"/>
        <w:ind w:left="157" w:right="39" w:firstLine="283"/>
        <w:jc w:val="both"/>
      </w:pPr>
      <w:r>
        <w:rPr/>
        <w:t>Common field applications in environmental science include the measurement of CO</w:t>
      </w:r>
      <w:r>
        <w:rPr>
          <w:position w:val="-6"/>
          <w:sz w:val="11"/>
        </w:rPr>
        <w:t>2 </w:t>
      </w:r>
      <w:r>
        <w:rPr/>
        <w:t>concentrations in soil air,  flux from soils and ecosystem-scale carbon dynamics. Diffuse soil flux measurements are made by simple infrared analyzers (Oskarsson </w:t>
      </w:r>
      <w:r>
        <w:rPr>
          <w:i/>
        </w:rPr>
        <w:t>et al.</w:t>
      </w:r>
      <w:r>
        <w:rPr/>
        <w:t>, 1999). The USGS measures CO</w:t>
      </w:r>
      <w:r>
        <w:rPr>
          <w:position w:val="-6"/>
          <w:sz w:val="11"/>
        </w:rPr>
        <w:t>2 </w:t>
      </w:r>
      <w:r>
        <w:rPr/>
        <w:t>flux on Mammoth Mountain, in California (Sorey </w:t>
      </w:r>
      <w:r>
        <w:rPr>
          <w:i/>
        </w:rPr>
        <w:t>et al.</w:t>
      </w:r>
      <w:r>
        <w:rPr/>
        <w:t>, 1996; USGS, 2001b). Biogeochemists studying ecosystem-scale carbon cycling use data from CO</w:t>
      </w:r>
      <w:r>
        <w:rPr>
          <w:position w:val="-6"/>
          <w:sz w:val="11"/>
        </w:rPr>
        <w:t>2 </w:t>
      </w:r>
      <w:r>
        <w:rPr/>
        <w:t>detectors on 2 to 5 m tall towers with</w:t>
      </w:r>
      <w:r>
        <w:rPr>
          <w:spacing w:val="-8"/>
        </w:rPr>
        <w:t> </w:t>
      </w:r>
      <w:r>
        <w:rPr/>
        <w:t>wind</w:t>
      </w:r>
      <w:r>
        <w:rPr>
          <w:spacing w:val="-8"/>
        </w:rPr>
        <w:t> </w:t>
      </w:r>
      <w:r>
        <w:rPr/>
        <w:t>and</w:t>
      </w:r>
      <w:r>
        <w:rPr>
          <w:spacing w:val="-8"/>
        </w:rPr>
        <w:t> </w:t>
      </w:r>
      <w:r>
        <w:rPr/>
        <w:t>temperature</w:t>
      </w:r>
      <w:r>
        <w:rPr>
          <w:spacing w:val="-8"/>
        </w:rPr>
        <w:t> </w:t>
      </w:r>
      <w:r>
        <w:rPr/>
        <w:t>data</w:t>
      </w:r>
      <w:r>
        <w:rPr>
          <w:spacing w:val="-8"/>
        </w:rPr>
        <w:t> </w:t>
      </w:r>
      <w:r>
        <w:rPr/>
        <w:t>to</w:t>
      </w:r>
      <w:r>
        <w:rPr>
          <w:spacing w:val="-8"/>
        </w:rPr>
        <w:t> </w:t>
      </w:r>
      <w:r>
        <w:rPr/>
        <w:t>reconstruct</w:t>
      </w:r>
      <w:r>
        <w:rPr>
          <w:spacing w:val="-8"/>
        </w:rPr>
        <w:t> </w:t>
      </w:r>
      <w:r>
        <w:rPr/>
        <w:t>average</w:t>
      </w:r>
      <w:r>
        <w:rPr>
          <w:spacing w:val="-8"/>
        </w:rPr>
        <w:t> </w:t>
      </w:r>
      <w:r>
        <w:rPr/>
        <w:t>CO</w:t>
      </w:r>
      <w:r>
        <w:rPr>
          <w:position w:val="-6"/>
          <w:sz w:val="11"/>
        </w:rPr>
        <w:t>2</w:t>
      </w:r>
      <w:r>
        <w:rPr>
          <w:spacing w:val="14"/>
          <w:position w:val="-6"/>
          <w:sz w:val="11"/>
        </w:rPr>
        <w:t> </w:t>
      </w:r>
      <w:r>
        <w:rPr/>
        <w:t>flux over large</w:t>
      </w:r>
      <w:r>
        <w:rPr>
          <w:spacing w:val="-1"/>
        </w:rPr>
        <w:t> </w:t>
      </w:r>
      <w:r>
        <w:rPr/>
        <w:t>areas.</w:t>
      </w:r>
    </w:p>
    <w:p>
      <w:pPr>
        <w:pStyle w:val="BodyText"/>
        <w:spacing w:line="240" w:lineRule="exact"/>
        <w:ind w:left="157" w:right="38" w:firstLine="283"/>
        <w:jc w:val="both"/>
      </w:pPr>
      <w:r>
        <w:rPr/>
        <w:t>Miles </w:t>
      </w:r>
      <w:r>
        <w:rPr>
          <w:i/>
        </w:rPr>
        <w:t>et al. </w:t>
      </w:r>
      <w:r>
        <w:rPr/>
        <w:t>(2005) concluded that eddy covariance is promising for the monitoring of CO</w:t>
      </w:r>
      <w:r>
        <w:rPr>
          <w:position w:val="-6"/>
          <w:sz w:val="11"/>
        </w:rPr>
        <w:t>2 </w:t>
      </w:r>
      <w:r>
        <w:rPr/>
        <w:t>storage projects, both for hazardous leaks and for leaks that would damage the</w:t>
      </w:r>
      <w:r>
        <w:rPr>
          <w:spacing w:val="-13"/>
        </w:rPr>
        <w:t> </w:t>
      </w:r>
      <w:r>
        <w:rPr/>
        <w:t>economic viability of geological storage. For a storage project of 100 Mt, Miles </w:t>
      </w:r>
      <w:r>
        <w:rPr>
          <w:i/>
        </w:rPr>
        <w:t>et al. </w:t>
      </w:r>
      <w:r>
        <w:rPr/>
        <w:t>(2005) estimate that, for leakage rates of 0.01% yr</w:t>
      </w:r>
      <w:r>
        <w:rPr>
          <w:position w:val="7"/>
          <w:sz w:val="11"/>
        </w:rPr>
        <w:t>-1</w:t>
      </w:r>
      <w:r>
        <w:rPr/>
        <w:t>, fluxes will range from 1 to 10</w:t>
      </w:r>
      <w:r>
        <w:rPr>
          <w:position w:val="7"/>
          <w:sz w:val="11"/>
        </w:rPr>
        <w:t>4 </w:t>
      </w:r>
      <w:r>
        <w:rPr/>
        <w:t>times the magnitude of typical ecological fluxes (depending on the size of the area over which CO</w:t>
      </w:r>
      <w:r>
        <w:rPr>
          <w:position w:val="-6"/>
          <w:sz w:val="11"/>
        </w:rPr>
        <w:t>2 </w:t>
      </w:r>
      <w:r>
        <w:rPr/>
        <w:t>is leaking). Note that a leakage rate of 0.01% yr</w:t>
      </w:r>
      <w:r>
        <w:rPr>
          <w:position w:val="7"/>
          <w:sz w:val="11"/>
        </w:rPr>
        <w:t>-1 </w:t>
      </w:r>
      <w:r>
        <w:rPr/>
        <w:t>is equivalent to a fraction retained of 90% over 1000 years. This should easily be detectable if background ecological fluxes</w:t>
      </w:r>
      <w:r>
        <w:rPr>
          <w:spacing w:val="-8"/>
        </w:rPr>
        <w:t> </w:t>
      </w:r>
      <w:r>
        <w:rPr/>
        <w:t>are</w:t>
      </w:r>
      <w:r>
        <w:rPr>
          <w:spacing w:val="-8"/>
        </w:rPr>
        <w:t> </w:t>
      </w:r>
      <w:r>
        <w:rPr/>
        <w:t>measured</w:t>
      </w:r>
      <w:r>
        <w:rPr>
          <w:spacing w:val="-8"/>
        </w:rPr>
        <w:t> </w:t>
      </w:r>
      <w:r>
        <w:rPr/>
        <w:t>in</w:t>
      </w:r>
      <w:r>
        <w:rPr>
          <w:spacing w:val="-7"/>
        </w:rPr>
        <w:t> </w:t>
      </w:r>
      <w:r>
        <w:rPr/>
        <w:t>advance</w:t>
      </w:r>
      <w:r>
        <w:rPr>
          <w:spacing w:val="-8"/>
        </w:rPr>
        <w:t> </w:t>
      </w:r>
      <w:r>
        <w:rPr/>
        <w:t>to</w:t>
      </w:r>
      <w:r>
        <w:rPr>
          <w:spacing w:val="-8"/>
        </w:rPr>
        <w:t> </w:t>
      </w:r>
      <w:r>
        <w:rPr/>
        <w:t>determine</w:t>
      </w:r>
      <w:r>
        <w:rPr>
          <w:spacing w:val="-7"/>
        </w:rPr>
        <w:t> </w:t>
      </w:r>
      <w:r>
        <w:rPr/>
        <w:t>diurnal</w:t>
      </w:r>
      <w:r>
        <w:rPr>
          <w:spacing w:val="-8"/>
        </w:rPr>
        <w:t> </w:t>
      </w:r>
      <w:r>
        <w:rPr/>
        <w:t>and</w:t>
      </w:r>
      <w:r>
        <w:rPr>
          <w:spacing w:val="-8"/>
        </w:rPr>
        <w:t> </w:t>
      </w:r>
      <w:r>
        <w:rPr/>
        <w:t>annual cycles. However, with the technology currently available to</w:t>
      </w:r>
      <w:r>
        <w:rPr>
          <w:spacing w:val="-18"/>
        </w:rPr>
        <w:t> </w:t>
      </w:r>
      <w:r>
        <w:rPr/>
        <w:t>us, quantifying</w:t>
      </w:r>
      <w:r>
        <w:rPr>
          <w:spacing w:val="-5"/>
        </w:rPr>
        <w:t> </w:t>
      </w:r>
      <w:r>
        <w:rPr/>
        <w:t>leakage</w:t>
      </w:r>
      <w:r>
        <w:rPr>
          <w:spacing w:val="-5"/>
        </w:rPr>
        <w:t> </w:t>
      </w:r>
      <w:r>
        <w:rPr/>
        <w:t>rates</w:t>
      </w:r>
      <w:r>
        <w:rPr>
          <w:spacing w:val="-5"/>
        </w:rPr>
        <w:t> </w:t>
      </w:r>
      <w:r>
        <w:rPr/>
        <w:t>for</w:t>
      </w:r>
      <w:r>
        <w:rPr>
          <w:spacing w:val="-5"/>
        </w:rPr>
        <w:t> </w:t>
      </w:r>
      <w:r>
        <w:rPr/>
        <w:t>tracking</w:t>
      </w:r>
      <w:r>
        <w:rPr>
          <w:spacing w:val="-5"/>
        </w:rPr>
        <w:t> </w:t>
      </w:r>
      <w:r>
        <w:rPr/>
        <w:t>returns</w:t>
      </w:r>
      <w:r>
        <w:rPr>
          <w:spacing w:val="-5"/>
        </w:rPr>
        <w:t> </w:t>
      </w:r>
      <w:r>
        <w:rPr/>
        <w:t>to</w:t>
      </w:r>
      <w:r>
        <w:rPr>
          <w:spacing w:val="-5"/>
        </w:rPr>
        <w:t> </w:t>
      </w:r>
      <w:r>
        <w:rPr/>
        <w:t>the</w:t>
      </w:r>
      <w:r>
        <w:rPr>
          <w:spacing w:val="-5"/>
        </w:rPr>
        <w:t> </w:t>
      </w:r>
      <w:r>
        <w:rPr/>
        <w:t>atmosphere is likely to be more of a challenge than identifying leaks in the storage</w:t>
      </w:r>
      <w:r>
        <w:rPr>
          <w:spacing w:val="-2"/>
        </w:rPr>
        <w:t> </w:t>
      </w:r>
      <w:r>
        <w:rPr/>
        <w:t>reservoir.</w:t>
      </w:r>
    </w:p>
    <w:p>
      <w:pPr>
        <w:pStyle w:val="BodyText"/>
        <w:spacing w:line="240" w:lineRule="exact"/>
        <w:ind w:left="157" w:right="38" w:firstLine="283"/>
        <w:jc w:val="both"/>
      </w:pPr>
      <w:r>
        <w:rPr/>
        <w:t>Satellite-based remote sensing of CO</w:t>
      </w:r>
      <w:r>
        <w:rPr>
          <w:position w:val="-6"/>
          <w:sz w:val="11"/>
        </w:rPr>
        <w:t>2 </w:t>
      </w:r>
      <w:r>
        <w:rPr/>
        <w:t>releases to the atmosphere may also be possible, but this method remains challenging because of the long path length through the atmosphere over which CO</w:t>
      </w:r>
      <w:r>
        <w:rPr>
          <w:position w:val="-6"/>
          <w:sz w:val="11"/>
        </w:rPr>
        <w:t>2 </w:t>
      </w:r>
      <w:r>
        <w:rPr/>
        <w:t>is measured and the inherent</w:t>
      </w:r>
    </w:p>
    <w:p>
      <w:pPr>
        <w:pStyle w:val="BodyText"/>
        <w:spacing w:line="240" w:lineRule="exact" w:before="58"/>
        <w:ind w:left="157" w:right="530"/>
        <w:jc w:val="both"/>
      </w:pPr>
      <w:r>
        <w:rPr/>
        <w:br w:type="column"/>
      </w:r>
      <w:r>
        <w:rPr/>
        <w:t>variability of atmospheric CO</w:t>
      </w:r>
      <w:r>
        <w:rPr>
          <w:position w:val="-6"/>
          <w:sz w:val="11"/>
        </w:rPr>
        <w:t>2</w:t>
      </w:r>
      <w:r>
        <w:rPr/>
        <w:t>. Infrared detectors measure average CO</w:t>
      </w:r>
      <w:r>
        <w:rPr>
          <w:position w:val="-6"/>
          <w:sz w:val="11"/>
        </w:rPr>
        <w:t>2 </w:t>
      </w:r>
      <w:r>
        <w:rPr/>
        <w:t>concentration over a given path length, so </w:t>
      </w:r>
      <w:r>
        <w:rPr>
          <w:spacing w:val="-12"/>
        </w:rPr>
        <w:t>a </w:t>
      </w:r>
      <w:r>
        <w:rPr/>
        <w:t>diffuse or low-level leak viewed through the atmosphere by satellite would be undetectable. As an example, even large CO</w:t>
      </w:r>
      <w:r>
        <w:rPr>
          <w:position w:val="-6"/>
          <w:sz w:val="11"/>
        </w:rPr>
        <w:t>2  </w:t>
      </w:r>
      <w:r>
        <w:rPr/>
        <w:t>seeps, such as that at Mammoth Mountain, are difficult  to identify today (Martini and Silver, 2002; Pickles, 2005). Aeroplane-based measurement using this same principle may be possible. Carbon dioxide has been measured either directly in the plume by a separate infrared detector or calculated from SO</w:t>
      </w:r>
      <w:r>
        <w:rPr>
          <w:position w:val="-6"/>
          <w:sz w:val="11"/>
        </w:rPr>
        <w:t>2 </w:t>
      </w:r>
      <w:r>
        <w:rPr/>
        <w:t>measurements and direct ground sampling of the SO</w:t>
      </w:r>
      <w:r>
        <w:rPr>
          <w:position w:val="-6"/>
          <w:sz w:val="11"/>
        </w:rPr>
        <w:t>2</w:t>
      </w:r>
      <w:r>
        <w:rPr/>
        <w:t>:  CO</w:t>
      </w:r>
      <w:r>
        <w:rPr>
          <w:position w:val="-6"/>
          <w:sz w:val="11"/>
        </w:rPr>
        <w:t>2 </w:t>
      </w:r>
      <w:r>
        <w:rPr/>
        <w:t>ratio for a given volcano or event (Hobbs </w:t>
      </w:r>
      <w:r>
        <w:rPr>
          <w:i/>
        </w:rPr>
        <w:t>et al.</w:t>
      </w:r>
      <w:r>
        <w:rPr/>
        <w:t>, </w:t>
      </w:r>
      <w:r>
        <w:rPr>
          <w:spacing w:val="-3"/>
        </w:rPr>
        <w:t>1991;  </w:t>
      </w:r>
      <w:r>
        <w:rPr/>
        <w:t>USGS, 2001b). Remote-sensing techniques currently under investigation for CO</w:t>
      </w:r>
      <w:r>
        <w:rPr>
          <w:position w:val="-6"/>
          <w:sz w:val="11"/>
        </w:rPr>
        <w:t>2 </w:t>
      </w:r>
      <w:r>
        <w:rPr/>
        <w:t>detection are LIDAR (light detection </w:t>
      </w:r>
      <w:r>
        <w:rPr>
          <w:spacing w:val="-4"/>
        </w:rPr>
        <w:t>and </w:t>
      </w:r>
      <w:r>
        <w:rPr/>
        <w:t>range-finding),</w:t>
      </w:r>
      <w:r>
        <w:rPr>
          <w:spacing w:val="-12"/>
        </w:rPr>
        <w:t> </w:t>
      </w:r>
      <w:r>
        <w:rPr/>
        <w:t>a</w:t>
      </w:r>
      <w:r>
        <w:rPr>
          <w:spacing w:val="-11"/>
        </w:rPr>
        <w:t> </w:t>
      </w:r>
      <w:r>
        <w:rPr/>
        <w:t>scanning</w:t>
      </w:r>
      <w:r>
        <w:rPr>
          <w:spacing w:val="-13"/>
        </w:rPr>
        <w:t> </w:t>
      </w:r>
      <w:r>
        <w:rPr/>
        <w:t>airborne</w:t>
      </w:r>
      <w:r>
        <w:rPr>
          <w:spacing w:val="-11"/>
        </w:rPr>
        <w:t> </w:t>
      </w:r>
      <w:r>
        <w:rPr/>
        <w:t>laser</w:t>
      </w:r>
      <w:r>
        <w:rPr>
          <w:spacing w:val="-12"/>
        </w:rPr>
        <w:t> </w:t>
      </w:r>
      <w:r>
        <w:rPr/>
        <w:t>and</w:t>
      </w:r>
      <w:r>
        <w:rPr>
          <w:spacing w:val="-11"/>
        </w:rPr>
        <w:t> </w:t>
      </w:r>
      <w:r>
        <w:rPr/>
        <w:t>DIAL</w:t>
      </w:r>
      <w:r>
        <w:rPr>
          <w:spacing w:val="-19"/>
        </w:rPr>
        <w:t> </w:t>
      </w:r>
      <w:r>
        <w:rPr/>
        <w:t>(differential absorption LIDAR), which looks at reflections from multiple lasers at different frequencies (Hobbs </w:t>
      </w:r>
      <w:r>
        <w:rPr>
          <w:i/>
        </w:rPr>
        <w:t>et al.</w:t>
      </w:r>
      <w:r>
        <w:rPr/>
        <w:t>, 1991; Menzies </w:t>
      </w:r>
      <w:r>
        <w:rPr>
          <w:i/>
        </w:rPr>
        <w:t>et </w:t>
      </w:r>
      <w:r>
        <w:rPr>
          <w:i/>
        </w:rPr>
        <w:t>al.</w:t>
      </w:r>
      <w:r>
        <w:rPr/>
        <w:t>, 2001).</w:t>
      </w:r>
    </w:p>
    <w:p>
      <w:pPr>
        <w:pStyle w:val="BodyText"/>
        <w:spacing w:line="240" w:lineRule="exact"/>
        <w:ind w:left="157" w:right="529" w:firstLine="283"/>
        <w:jc w:val="both"/>
      </w:pPr>
      <w:r>
        <w:rPr/>
        <w:t>In </w:t>
      </w:r>
      <w:r>
        <w:rPr>
          <w:spacing w:val="-3"/>
        </w:rPr>
        <w:t>summary, </w:t>
      </w:r>
      <w:r>
        <w:rPr/>
        <w:t>monitoring  of  CO</w:t>
      </w:r>
      <w:r>
        <w:rPr>
          <w:position w:val="-6"/>
          <w:sz w:val="11"/>
        </w:rPr>
        <w:t>2  </w:t>
      </w:r>
      <w:r>
        <w:rPr/>
        <w:t>for  occupational  safety is well established. On the other hand, while some promising technologies are under development for </w:t>
      </w:r>
      <w:r>
        <w:rPr>
          <w:spacing w:val="-2"/>
        </w:rPr>
        <w:t>environmental </w:t>
      </w:r>
      <w:r>
        <w:rPr/>
        <w:t>monitoring and leak detection, measurement and monitoring approaches on the temporal and space scales relevant to geological storage need improvement to be truly</w:t>
      </w:r>
      <w:r>
        <w:rPr>
          <w:spacing w:val="-7"/>
        </w:rPr>
        <w:t> </w:t>
      </w:r>
      <w:r>
        <w:rPr/>
        <w:t>effective.</w:t>
      </w:r>
    </w:p>
    <w:p>
      <w:pPr>
        <w:pStyle w:val="BodyText"/>
        <w:spacing w:before="3"/>
        <w:rPr>
          <w:sz w:val="21"/>
        </w:rPr>
      </w:pPr>
    </w:p>
    <w:p>
      <w:pPr>
        <w:pStyle w:val="ListParagraph"/>
        <w:numPr>
          <w:ilvl w:val="3"/>
          <w:numId w:val="13"/>
        </w:numPr>
        <w:tabs>
          <w:tab w:pos="977" w:val="left" w:leader="none"/>
        </w:tabs>
        <w:spacing w:line="240" w:lineRule="auto" w:before="1" w:after="0"/>
        <w:ind w:left="977" w:right="0" w:hanging="820"/>
        <w:jc w:val="both"/>
        <w:rPr>
          <w:i/>
          <w:sz w:val="20"/>
        </w:rPr>
      </w:pPr>
      <w:r>
        <w:rPr>
          <w:i/>
          <w:sz w:val="20"/>
        </w:rPr>
        <w:t>Ecosystems</w:t>
      </w:r>
    </w:p>
    <w:p>
      <w:pPr>
        <w:pStyle w:val="BodyText"/>
        <w:spacing w:line="240" w:lineRule="exact" w:before="4"/>
        <w:ind w:left="157" w:right="530"/>
        <w:jc w:val="both"/>
      </w:pPr>
      <w:r>
        <w:rPr/>
        <w:t>The  health  of  terrestrial  and  subsurface  ecosystems  can  be determined directly by measuring the productivity </w:t>
      </w:r>
      <w:r>
        <w:rPr>
          <w:spacing w:val="-5"/>
        </w:rPr>
        <w:t>and </w:t>
      </w:r>
      <w:r>
        <w:rPr/>
        <w:t>biodiversity of flora and fauna and in some cases (such as at Mammoth Mountain in California) indirectly by using remote- sensing techniques such as hyperspectral imaging  (Martini and Silver, 2002; Onstott, 2005; Pickles, 2005). In many areas with natural CO</w:t>
      </w:r>
      <w:r>
        <w:rPr>
          <w:position w:val="-6"/>
          <w:sz w:val="11"/>
        </w:rPr>
        <w:t>2 </w:t>
      </w:r>
      <w:r>
        <w:rPr/>
        <w:t>seeps, even those with very low CO</w:t>
      </w:r>
      <w:r>
        <w:rPr>
          <w:position w:val="-6"/>
          <w:sz w:val="11"/>
        </w:rPr>
        <w:t>2 </w:t>
      </w:r>
      <w:r>
        <w:rPr/>
        <w:t>fluxes, the seeps are generally quite conspicuous features. They are easily recognized in populated areas, both in agriculture </w:t>
      </w:r>
      <w:r>
        <w:rPr>
          <w:spacing w:val="-5"/>
        </w:rPr>
        <w:t>and </w:t>
      </w:r>
      <w:r>
        <w:rPr/>
        <w:t>natural vegetation, by reduced plant growth and the presence of precipitants of minerals leached from rocks by  </w:t>
      </w:r>
      <w:r>
        <w:rPr>
          <w:spacing w:val="-3"/>
        </w:rPr>
        <w:t>acidic  water. </w:t>
      </w:r>
      <w:r>
        <w:rPr/>
        <w:t>Therefore, any conspicuous site could be quickly and easily checked for excess CO</w:t>
      </w:r>
      <w:r>
        <w:rPr>
          <w:position w:val="-6"/>
          <w:sz w:val="11"/>
        </w:rPr>
        <w:t>2 </w:t>
      </w:r>
      <w:r>
        <w:rPr/>
        <w:t>concentrations without any large remote-sensing ecosystem studies or surveys. However, in desert environments where vegetation is sparse, direct observation</w:t>
      </w:r>
      <w:r>
        <w:rPr>
          <w:spacing w:val="-12"/>
        </w:rPr>
        <w:t> </w:t>
      </w:r>
      <w:r>
        <w:rPr/>
        <w:t>may</w:t>
      </w:r>
      <w:r>
        <w:rPr>
          <w:spacing w:val="-12"/>
        </w:rPr>
        <w:t> </w:t>
      </w:r>
      <w:r>
        <w:rPr/>
        <w:t>not</w:t>
      </w:r>
      <w:r>
        <w:rPr>
          <w:spacing w:val="-12"/>
        </w:rPr>
        <w:t> </w:t>
      </w:r>
      <w:r>
        <w:rPr/>
        <w:t>be</w:t>
      </w:r>
      <w:r>
        <w:rPr>
          <w:spacing w:val="-12"/>
        </w:rPr>
        <w:t> </w:t>
      </w:r>
      <w:r>
        <w:rPr/>
        <w:t>possible.</w:t>
      </w:r>
      <w:r>
        <w:rPr>
          <w:spacing w:val="-12"/>
        </w:rPr>
        <w:t> </w:t>
      </w:r>
      <w:r>
        <w:rPr/>
        <w:t>In</w:t>
      </w:r>
      <w:r>
        <w:rPr>
          <w:spacing w:val="-12"/>
        </w:rPr>
        <w:t> </w:t>
      </w:r>
      <w:r>
        <w:rPr/>
        <w:t>addition</w:t>
      </w:r>
      <w:r>
        <w:rPr>
          <w:spacing w:val="-12"/>
        </w:rPr>
        <w:t> </w:t>
      </w:r>
      <w:r>
        <w:rPr/>
        <w:t>to</w:t>
      </w:r>
      <w:r>
        <w:rPr>
          <w:spacing w:val="-12"/>
        </w:rPr>
        <w:t> </w:t>
      </w:r>
      <w:r>
        <w:rPr/>
        <w:t>direct</w:t>
      </w:r>
      <w:r>
        <w:rPr>
          <w:spacing w:val="-12"/>
        </w:rPr>
        <w:t> </w:t>
      </w:r>
      <w:r>
        <w:rPr/>
        <w:t>ecosystem observations, analyses of soil gas composition and soil mineralogy can be used to indicate the presence of CO</w:t>
      </w:r>
      <w:r>
        <w:rPr>
          <w:position w:val="-6"/>
          <w:sz w:val="11"/>
        </w:rPr>
        <w:t>2 </w:t>
      </w:r>
      <w:r>
        <w:rPr/>
        <w:t>and </w:t>
      </w:r>
      <w:r>
        <w:rPr>
          <w:spacing w:val="-4"/>
        </w:rPr>
        <w:t>its </w:t>
      </w:r>
      <w:r>
        <w:rPr/>
        <w:t>impact on soil properties. Detection of elevated concentrations of CO</w:t>
      </w:r>
      <w:r>
        <w:rPr>
          <w:position w:val="-6"/>
          <w:sz w:val="11"/>
        </w:rPr>
        <w:t>2 </w:t>
      </w:r>
      <w:r>
        <w:rPr/>
        <w:t>or evidence of excessive soil weathering would</w:t>
      </w:r>
      <w:r>
        <w:rPr>
          <w:spacing w:val="-26"/>
        </w:rPr>
        <w:t> </w:t>
      </w:r>
      <w:r>
        <w:rPr/>
        <w:t>indicate the potential for ecosystem impacts.</w:t>
      </w:r>
    </w:p>
    <w:p>
      <w:pPr>
        <w:pStyle w:val="BodyText"/>
        <w:spacing w:line="240" w:lineRule="exact"/>
        <w:ind w:left="157" w:right="530" w:firstLine="283"/>
        <w:jc w:val="both"/>
      </w:pPr>
      <w:r>
        <w:rPr/>
        <w:t>For aquatic ecosystems, water quality and in particular low </w:t>
      </w:r>
      <w:r>
        <w:rPr>
          <w:i/>
        </w:rPr>
        <w:t>p</w:t>
      </w:r>
      <w:r>
        <w:rPr/>
        <w:t>H, would provide a diagnostic for potential impacts. Direct measurements of ecosystem productivity and biodiversity can also be obtained by using standard techniques developed for lakes and marine ecosystems. See Chapter 6 for additional discussion about the impact of elevated CO</w:t>
      </w:r>
      <w:r>
        <w:rPr>
          <w:position w:val="-6"/>
          <w:sz w:val="11"/>
        </w:rPr>
        <w:t>2 </w:t>
      </w:r>
      <w:r>
        <w:rPr/>
        <w:t>concentrations on marine environments.</w:t>
      </w:r>
    </w:p>
    <w:p>
      <w:pPr>
        <w:spacing w:after="0" w:line="240" w:lineRule="exact"/>
        <w:jc w:val="both"/>
        <w:sectPr>
          <w:type w:val="continuous"/>
          <w:pgSz w:w="12240" w:h="15840"/>
          <w:pgMar w:top="400" w:bottom="280" w:left="580" w:right="600"/>
          <w:cols w:num="2" w:equalWidth="0">
            <w:col w:w="5242" w:space="84"/>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Heading2"/>
        <w:numPr>
          <w:ilvl w:val="2"/>
          <w:numId w:val="14"/>
        </w:numPr>
        <w:tabs>
          <w:tab w:pos="1373" w:val="left" w:leader="none"/>
          <w:tab w:pos="1374" w:val="left" w:leader="none"/>
        </w:tabs>
        <w:spacing w:line="240" w:lineRule="auto" w:before="63" w:after="0"/>
        <w:ind w:left="1373" w:right="0" w:hanging="821"/>
        <w:jc w:val="left"/>
        <w:rPr>
          <w:i/>
        </w:rPr>
      </w:pPr>
      <w:bookmarkStart w:name="5.6.6 Monitoring network design" w:id="80"/>
      <w:bookmarkEnd w:id="80"/>
      <w:r>
        <w:rPr>
          <w:b w:val="0"/>
          <w:i w:val="0"/>
        </w:rPr>
      </w:r>
      <w:bookmarkStart w:name="5.6.7 Long-term stewardship monitoring" w:id="81"/>
      <w:bookmarkEnd w:id="81"/>
      <w:r>
        <w:rPr>
          <w:b w:val="0"/>
          <w:i w:val="0"/>
        </w:rPr>
      </w:r>
      <w:bookmarkStart w:name="5.6.7 Long-term stewardship monitoring" w:id="82"/>
      <w:bookmarkEnd w:id="82"/>
      <w:r>
        <w:rPr>
          <w:i/>
        </w:rPr>
        <w:t>Monitorin</w:t>
      </w:r>
      <w:r>
        <w:rPr>
          <w:i/>
        </w:rPr>
        <w:t>g network</w:t>
      </w:r>
      <w:r>
        <w:rPr>
          <w:i/>
          <w:spacing w:val="-3"/>
        </w:rPr>
        <w:t> </w:t>
      </w:r>
      <w:r>
        <w:rPr>
          <w:i/>
        </w:rPr>
        <w:t>design</w:t>
      </w:r>
    </w:p>
    <w:p>
      <w:pPr>
        <w:pStyle w:val="BodyText"/>
        <w:spacing w:before="3"/>
        <w:rPr>
          <w:b/>
          <w:i/>
          <w:sz w:val="21"/>
        </w:rPr>
      </w:pPr>
    </w:p>
    <w:p>
      <w:pPr>
        <w:pStyle w:val="BodyText"/>
        <w:spacing w:line="240" w:lineRule="exact"/>
        <w:ind w:left="553" w:right="1"/>
        <w:jc w:val="both"/>
      </w:pPr>
      <w:r>
        <w:rPr/>
        <w:t>There</w:t>
      </w:r>
      <w:r>
        <w:rPr>
          <w:spacing w:val="-17"/>
        </w:rPr>
        <w:t> </w:t>
      </w:r>
      <w:r>
        <w:rPr/>
        <w:t>are</w:t>
      </w:r>
      <w:r>
        <w:rPr>
          <w:spacing w:val="-17"/>
        </w:rPr>
        <w:t> </w:t>
      </w:r>
      <w:r>
        <w:rPr/>
        <w:t>currently</w:t>
      </w:r>
      <w:r>
        <w:rPr>
          <w:spacing w:val="-17"/>
        </w:rPr>
        <w:t> </w:t>
      </w:r>
      <w:r>
        <w:rPr/>
        <w:t>no</w:t>
      </w:r>
      <w:r>
        <w:rPr>
          <w:spacing w:val="-17"/>
        </w:rPr>
        <w:t> </w:t>
      </w:r>
      <w:r>
        <w:rPr/>
        <w:t>standard</w:t>
      </w:r>
      <w:r>
        <w:rPr>
          <w:spacing w:val="-17"/>
        </w:rPr>
        <w:t> </w:t>
      </w:r>
      <w:r>
        <w:rPr/>
        <w:t>protocols</w:t>
      </w:r>
      <w:r>
        <w:rPr>
          <w:spacing w:val="-16"/>
        </w:rPr>
        <w:t> </w:t>
      </w:r>
      <w:r>
        <w:rPr/>
        <w:t>or</w:t>
      </w:r>
      <w:r>
        <w:rPr>
          <w:spacing w:val="-17"/>
        </w:rPr>
        <w:t> </w:t>
      </w:r>
      <w:r>
        <w:rPr/>
        <w:t>established</w:t>
      </w:r>
      <w:r>
        <w:rPr>
          <w:spacing w:val="-17"/>
        </w:rPr>
        <w:t> </w:t>
      </w:r>
      <w:r>
        <w:rPr/>
        <w:t>network designs for monitoring leakage of CO</w:t>
      </w:r>
      <w:r>
        <w:rPr>
          <w:position w:val="-6"/>
          <w:sz w:val="11"/>
        </w:rPr>
        <w:t>2</w:t>
      </w:r>
      <w:r>
        <w:rPr/>
        <w:t>. Monitoring network design will depend on the objectives and requirements of </w:t>
      </w:r>
      <w:r>
        <w:rPr>
          <w:spacing w:val="-4"/>
        </w:rPr>
        <w:t>the </w:t>
      </w:r>
      <w:r>
        <w:rPr/>
        <w:t>monitoring</w:t>
      </w:r>
      <w:r>
        <w:rPr>
          <w:spacing w:val="-13"/>
        </w:rPr>
        <w:t> </w:t>
      </w:r>
      <w:r>
        <w:rPr/>
        <w:t>programme,</w:t>
      </w:r>
      <w:r>
        <w:rPr>
          <w:spacing w:val="-13"/>
        </w:rPr>
        <w:t> </w:t>
      </w:r>
      <w:r>
        <w:rPr/>
        <w:t>which</w:t>
      </w:r>
      <w:r>
        <w:rPr>
          <w:spacing w:val="-13"/>
        </w:rPr>
        <w:t> </w:t>
      </w:r>
      <w:r>
        <w:rPr/>
        <w:t>will</w:t>
      </w:r>
      <w:r>
        <w:rPr>
          <w:spacing w:val="-13"/>
        </w:rPr>
        <w:t> </w:t>
      </w:r>
      <w:r>
        <w:rPr/>
        <w:t>be</w:t>
      </w:r>
      <w:r>
        <w:rPr>
          <w:spacing w:val="-13"/>
        </w:rPr>
        <w:t> </w:t>
      </w:r>
      <w:r>
        <w:rPr/>
        <w:t>determined</w:t>
      </w:r>
      <w:r>
        <w:rPr>
          <w:spacing w:val="-13"/>
        </w:rPr>
        <w:t> </w:t>
      </w:r>
      <w:r>
        <w:rPr/>
        <w:t>by</w:t>
      </w:r>
      <w:r>
        <w:rPr>
          <w:spacing w:val="-13"/>
        </w:rPr>
        <w:t> </w:t>
      </w:r>
      <w:r>
        <w:rPr/>
        <w:t>regulatory requirements</w:t>
      </w:r>
      <w:r>
        <w:rPr>
          <w:spacing w:val="-13"/>
        </w:rPr>
        <w:t> </w:t>
      </w:r>
      <w:r>
        <w:rPr/>
        <w:t>and</w:t>
      </w:r>
      <w:r>
        <w:rPr>
          <w:spacing w:val="-12"/>
        </w:rPr>
        <w:t> </w:t>
      </w:r>
      <w:r>
        <w:rPr/>
        <w:t>perceived</w:t>
      </w:r>
      <w:r>
        <w:rPr>
          <w:spacing w:val="-13"/>
        </w:rPr>
        <w:t> </w:t>
      </w:r>
      <w:r>
        <w:rPr/>
        <w:t>risks</w:t>
      </w:r>
      <w:r>
        <w:rPr>
          <w:spacing w:val="-11"/>
        </w:rPr>
        <w:t> </w:t>
      </w:r>
      <w:r>
        <w:rPr/>
        <w:t>posed</w:t>
      </w:r>
      <w:r>
        <w:rPr>
          <w:spacing w:val="-12"/>
        </w:rPr>
        <w:t> </w:t>
      </w:r>
      <w:r>
        <w:rPr/>
        <w:t>by</w:t>
      </w:r>
      <w:r>
        <w:rPr>
          <w:spacing w:val="-13"/>
        </w:rPr>
        <w:t> </w:t>
      </w:r>
      <w:r>
        <w:rPr/>
        <w:t>the</w:t>
      </w:r>
      <w:r>
        <w:rPr>
          <w:spacing w:val="-12"/>
        </w:rPr>
        <w:t> </w:t>
      </w:r>
      <w:r>
        <w:rPr/>
        <w:t>site</w:t>
      </w:r>
      <w:r>
        <w:rPr>
          <w:spacing w:val="-12"/>
        </w:rPr>
        <w:t> </w:t>
      </w:r>
      <w:r>
        <w:rPr/>
        <w:t>(Chalaturnyk and Gunter, 2005). For example, current monitoring for EOR is designed to assess the sweep efficiency of the solvent flood and to deal with health and safety issues. In this regard, the monitoring designed for the </w:t>
      </w:r>
      <w:r>
        <w:rPr>
          <w:spacing w:val="-3"/>
        </w:rPr>
        <w:t>Weyburn </w:t>
      </w:r>
      <w:r>
        <w:rPr/>
        <w:t>Project uses seismic surveys to determine the lateral migration of CO</w:t>
      </w:r>
      <w:r>
        <w:rPr>
          <w:position w:val="-6"/>
          <w:sz w:val="11"/>
        </w:rPr>
        <w:t>2 </w:t>
      </w:r>
      <w:r>
        <w:rPr/>
        <w:t>over time. This is compared with the simulations undertaken to design</w:t>
      </w:r>
      <w:r>
        <w:rPr>
          <w:spacing w:val="-33"/>
        </w:rPr>
        <w:t> </w:t>
      </w:r>
      <w:r>
        <w:rPr/>
        <w:t>the operational</w:t>
      </w:r>
      <w:r>
        <w:rPr>
          <w:spacing w:val="-12"/>
        </w:rPr>
        <w:t> </w:t>
      </w:r>
      <w:r>
        <w:rPr/>
        <w:t>practices</w:t>
      </w:r>
      <w:r>
        <w:rPr>
          <w:spacing w:val="-11"/>
        </w:rPr>
        <w:t> </w:t>
      </w:r>
      <w:r>
        <w:rPr/>
        <w:t>of</w:t>
      </w:r>
      <w:r>
        <w:rPr>
          <w:spacing w:val="-10"/>
        </w:rPr>
        <w:t> </w:t>
      </w:r>
      <w:r>
        <w:rPr/>
        <w:t>the</w:t>
      </w:r>
      <w:r>
        <w:rPr>
          <w:spacing w:val="-10"/>
        </w:rPr>
        <w:t> </w:t>
      </w:r>
      <w:r>
        <w:rPr/>
        <w:t>CO</w:t>
      </w:r>
      <w:r>
        <w:rPr>
          <w:position w:val="-6"/>
          <w:sz w:val="11"/>
        </w:rPr>
        <w:t>2</w:t>
      </w:r>
      <w:r>
        <w:rPr>
          <w:spacing w:val="12"/>
          <w:position w:val="-6"/>
          <w:sz w:val="11"/>
        </w:rPr>
        <w:t> </w:t>
      </w:r>
      <w:r>
        <w:rPr/>
        <w:t>flood.</w:t>
      </w:r>
      <w:r>
        <w:rPr>
          <w:spacing w:val="-12"/>
        </w:rPr>
        <w:t> </w:t>
      </w:r>
      <w:r>
        <w:rPr/>
        <w:t>For</w:t>
      </w:r>
      <w:r>
        <w:rPr>
          <w:spacing w:val="-11"/>
        </w:rPr>
        <w:t> </w:t>
      </w:r>
      <w:r>
        <w:rPr/>
        <w:t>health</w:t>
      </w:r>
      <w:r>
        <w:rPr>
          <w:spacing w:val="-11"/>
        </w:rPr>
        <w:t> </w:t>
      </w:r>
      <w:r>
        <w:rPr/>
        <w:t>and</w:t>
      </w:r>
      <w:r>
        <w:rPr>
          <w:spacing w:val="-10"/>
        </w:rPr>
        <w:t> </w:t>
      </w:r>
      <w:r>
        <w:rPr>
          <w:spacing w:val="-3"/>
        </w:rPr>
        <w:t>safety,</w:t>
      </w:r>
      <w:r>
        <w:rPr>
          <w:spacing w:val="-10"/>
        </w:rPr>
        <w:t> </w:t>
      </w:r>
      <w:r>
        <w:rPr/>
        <w:t>the programme is designed to test groundwater for </w:t>
      </w:r>
      <w:r>
        <w:rPr>
          <w:spacing w:val="-2"/>
        </w:rPr>
        <w:t>contamination </w:t>
      </w:r>
      <w:r>
        <w:rPr/>
        <w:t>and to monitor for gas buildup in working areas of the field to ensure worker </w:t>
      </w:r>
      <w:r>
        <w:rPr>
          <w:spacing w:val="-3"/>
        </w:rPr>
        <w:t>safety. </w:t>
      </w:r>
      <w:r>
        <w:rPr/>
        <w:t>The surface procedure also uses pressure monitoring to ensure that the fracture pressure of the</w:t>
      </w:r>
      <w:r>
        <w:rPr>
          <w:spacing w:val="-23"/>
        </w:rPr>
        <w:t> </w:t>
      </w:r>
      <w:r>
        <w:rPr/>
        <w:t>formation is not exceeded (Chalaturnyk and Gunter,</w:t>
      </w:r>
      <w:r>
        <w:rPr>
          <w:spacing w:val="-3"/>
        </w:rPr>
        <w:t> </w:t>
      </w:r>
      <w:r>
        <w:rPr/>
        <w:t>2005).</w:t>
      </w:r>
    </w:p>
    <w:p>
      <w:pPr>
        <w:pStyle w:val="BodyText"/>
        <w:spacing w:line="240" w:lineRule="exact"/>
        <w:ind w:left="553" w:firstLine="283"/>
        <w:jc w:val="both"/>
      </w:pPr>
      <w:r>
        <w:rPr/>
        <w:t>The</w:t>
      </w:r>
      <w:r>
        <w:rPr>
          <w:spacing w:val="-16"/>
        </w:rPr>
        <w:t> </w:t>
      </w:r>
      <w:r>
        <w:rPr>
          <w:spacing w:val="-3"/>
        </w:rPr>
        <w:t>Weyburn</w:t>
      </w:r>
      <w:r>
        <w:rPr>
          <w:spacing w:val="-11"/>
        </w:rPr>
        <w:t> </w:t>
      </w:r>
      <w:r>
        <w:rPr/>
        <w:t>Project</w:t>
      </w:r>
      <w:r>
        <w:rPr>
          <w:spacing w:val="-12"/>
        </w:rPr>
        <w:t> </w:t>
      </w:r>
      <w:r>
        <w:rPr/>
        <w:t>is</w:t>
      </w:r>
      <w:r>
        <w:rPr>
          <w:spacing w:val="-11"/>
        </w:rPr>
        <w:t> </w:t>
      </w:r>
      <w:r>
        <w:rPr/>
        <w:t>designed</w:t>
      </w:r>
      <w:r>
        <w:rPr>
          <w:spacing w:val="-11"/>
        </w:rPr>
        <w:t> </w:t>
      </w:r>
      <w:r>
        <w:rPr/>
        <w:t>to</w:t>
      </w:r>
      <w:r>
        <w:rPr>
          <w:spacing w:val="-11"/>
        </w:rPr>
        <w:t> </w:t>
      </w:r>
      <w:r>
        <w:rPr/>
        <w:t>assess</w:t>
      </w:r>
      <w:r>
        <w:rPr>
          <w:spacing w:val="-11"/>
        </w:rPr>
        <w:t> </w:t>
      </w:r>
      <w:r>
        <w:rPr/>
        <w:t>the</w:t>
      </w:r>
      <w:r>
        <w:rPr>
          <w:spacing w:val="-11"/>
        </w:rPr>
        <w:t> </w:t>
      </w:r>
      <w:r>
        <w:rPr/>
        <w:t>integrity</w:t>
      </w:r>
      <w:r>
        <w:rPr>
          <w:spacing w:val="-11"/>
        </w:rPr>
        <w:t> </w:t>
      </w:r>
      <w:r>
        <w:rPr/>
        <w:t>of</w:t>
      </w:r>
      <w:r>
        <w:rPr>
          <w:spacing w:val="-11"/>
        </w:rPr>
        <w:t> </w:t>
      </w:r>
      <w:r>
        <w:rPr/>
        <w:t>an oil reservoir for long-term storage of CO</w:t>
      </w:r>
      <w:r>
        <w:rPr>
          <w:position w:val="-6"/>
          <w:sz w:val="11"/>
        </w:rPr>
        <w:t>2 </w:t>
      </w:r>
      <w:r>
        <w:rPr/>
        <w:t>(Wilson and Monea, 2005). In this regard, the demonstrated ability of seismic surveys to measure migration of CO</w:t>
      </w:r>
      <w:r>
        <w:rPr>
          <w:position w:val="-6"/>
          <w:sz w:val="11"/>
        </w:rPr>
        <w:t>2 </w:t>
      </w:r>
      <w:r>
        <w:rPr/>
        <w:t>within the formation is important, but in the long term it may be more important </w:t>
      </w:r>
      <w:r>
        <w:rPr>
          <w:spacing w:val="-8"/>
        </w:rPr>
        <w:t>to </w:t>
      </w:r>
      <w:r>
        <w:rPr/>
        <w:t>detect CO</w:t>
      </w:r>
      <w:r>
        <w:rPr>
          <w:position w:val="-6"/>
          <w:sz w:val="11"/>
        </w:rPr>
        <w:t>2 </w:t>
      </w:r>
      <w:r>
        <w:rPr/>
        <w:t>that has leaked out of the storage reservoir. In this case, the monitoring programme should be designed to</w:t>
      </w:r>
      <w:r>
        <w:rPr>
          <w:spacing w:val="-13"/>
        </w:rPr>
        <w:t> </w:t>
      </w:r>
      <w:r>
        <w:rPr/>
        <w:t>achieve the resolution and sensitivity needed to detect CO</w:t>
      </w:r>
      <w:r>
        <w:rPr>
          <w:position w:val="-6"/>
          <w:sz w:val="11"/>
        </w:rPr>
        <w:t>2 </w:t>
      </w:r>
      <w:r>
        <w:rPr/>
        <w:t>that has leaked</w:t>
      </w:r>
      <w:r>
        <w:rPr>
          <w:spacing w:val="-15"/>
        </w:rPr>
        <w:t> </w:t>
      </w:r>
      <w:r>
        <w:rPr/>
        <w:t>out</w:t>
      </w:r>
      <w:r>
        <w:rPr>
          <w:spacing w:val="-14"/>
        </w:rPr>
        <w:t> </w:t>
      </w:r>
      <w:r>
        <w:rPr/>
        <w:t>of</w:t>
      </w:r>
      <w:r>
        <w:rPr>
          <w:spacing w:val="-14"/>
        </w:rPr>
        <w:t> </w:t>
      </w:r>
      <w:r>
        <w:rPr/>
        <w:t>the</w:t>
      </w:r>
      <w:r>
        <w:rPr>
          <w:spacing w:val="-14"/>
        </w:rPr>
        <w:t> </w:t>
      </w:r>
      <w:r>
        <w:rPr/>
        <w:t>reservoir</w:t>
      </w:r>
      <w:r>
        <w:rPr>
          <w:spacing w:val="-14"/>
        </w:rPr>
        <w:t> </w:t>
      </w:r>
      <w:r>
        <w:rPr/>
        <w:t>and</w:t>
      </w:r>
      <w:r>
        <w:rPr>
          <w:spacing w:val="-14"/>
        </w:rPr>
        <w:t> </w:t>
      </w:r>
      <w:r>
        <w:rPr/>
        <w:t>is</w:t>
      </w:r>
      <w:r>
        <w:rPr>
          <w:spacing w:val="-15"/>
        </w:rPr>
        <w:t> </w:t>
      </w:r>
      <w:r>
        <w:rPr/>
        <w:t>migrating</w:t>
      </w:r>
      <w:r>
        <w:rPr>
          <w:spacing w:val="-14"/>
        </w:rPr>
        <w:t> </w:t>
      </w:r>
      <w:r>
        <w:rPr/>
        <w:t>vertically.</w:t>
      </w:r>
      <w:r>
        <w:rPr>
          <w:spacing w:val="-18"/>
        </w:rPr>
        <w:t> </w:t>
      </w:r>
      <w:r>
        <w:rPr/>
        <w:t>The</w:t>
      </w:r>
      <w:r>
        <w:rPr>
          <w:spacing w:val="-14"/>
        </w:rPr>
        <w:t> </w:t>
      </w:r>
      <w:r>
        <w:rPr/>
        <w:t>use</w:t>
      </w:r>
      <w:r>
        <w:rPr>
          <w:spacing w:val="-14"/>
        </w:rPr>
        <w:t> </w:t>
      </w:r>
      <w:r>
        <w:rPr>
          <w:spacing w:val="-6"/>
        </w:rPr>
        <w:t>of </w:t>
      </w:r>
      <w:r>
        <w:rPr/>
        <w:t>geochemical monitoring will determine the rate of dissolution of the CO</w:t>
      </w:r>
      <w:r>
        <w:rPr>
          <w:position w:val="-6"/>
          <w:sz w:val="11"/>
        </w:rPr>
        <w:t>2 </w:t>
      </w:r>
      <w:r>
        <w:rPr/>
        <w:t>into fluids and the capacity of the minerals within the reservoir to react with the CO</w:t>
      </w:r>
      <w:r>
        <w:rPr>
          <w:position w:val="-6"/>
          <w:sz w:val="11"/>
        </w:rPr>
        <w:t>2 </w:t>
      </w:r>
      <w:r>
        <w:rPr/>
        <w:t>and permanently store it. For identification of potential CO</w:t>
      </w:r>
      <w:r>
        <w:rPr>
          <w:position w:val="-6"/>
          <w:sz w:val="11"/>
        </w:rPr>
        <w:t>2 </w:t>
      </w:r>
      <w:r>
        <w:rPr/>
        <w:t>leaks, monitoring includes soil gas and groundwater surveys. The soil gas surveys use a grid pattern superimposed on the field to evaluate any change in</w:t>
      </w:r>
      <w:r>
        <w:rPr>
          <w:spacing w:val="-9"/>
        </w:rPr>
        <w:t> </w:t>
      </w:r>
      <w:r>
        <w:rPr/>
        <w:t>gas</w:t>
      </w:r>
      <w:r>
        <w:rPr>
          <w:spacing w:val="-9"/>
        </w:rPr>
        <w:t> </w:t>
      </w:r>
      <w:r>
        <w:rPr/>
        <w:t>chemistry.</w:t>
      </w:r>
      <w:r>
        <w:rPr>
          <w:spacing w:val="-9"/>
        </w:rPr>
        <w:t> </w:t>
      </w:r>
      <w:r>
        <w:rPr/>
        <w:t>Because</w:t>
      </w:r>
      <w:r>
        <w:rPr>
          <w:spacing w:val="-9"/>
        </w:rPr>
        <w:t> </w:t>
      </w:r>
      <w:r>
        <w:rPr/>
        <w:t>grid</w:t>
      </w:r>
      <w:r>
        <w:rPr>
          <w:spacing w:val="-9"/>
        </w:rPr>
        <w:t> </w:t>
      </w:r>
      <w:r>
        <w:rPr/>
        <w:t>patterns</w:t>
      </w:r>
      <w:r>
        <w:rPr>
          <w:spacing w:val="-9"/>
        </w:rPr>
        <w:t> </w:t>
      </w:r>
      <w:r>
        <w:rPr/>
        <w:t>may</w:t>
      </w:r>
      <w:r>
        <w:rPr>
          <w:spacing w:val="-9"/>
        </w:rPr>
        <w:t> </w:t>
      </w:r>
      <w:r>
        <w:rPr/>
        <w:t>miss</w:t>
      </w:r>
      <w:r>
        <w:rPr>
          <w:spacing w:val="-9"/>
        </w:rPr>
        <w:t> </w:t>
      </w:r>
      <w:r>
        <w:rPr/>
        <w:t>narrow,</w:t>
      </w:r>
      <w:r>
        <w:rPr>
          <w:spacing w:val="-9"/>
        </w:rPr>
        <w:t> </w:t>
      </w:r>
      <w:r>
        <w:rPr/>
        <w:t>linear anomalies,</w:t>
      </w:r>
      <w:r>
        <w:rPr>
          <w:spacing w:val="-15"/>
        </w:rPr>
        <w:t> </w:t>
      </w:r>
      <w:r>
        <w:rPr/>
        <w:t>the</w:t>
      </w:r>
      <w:r>
        <w:rPr>
          <w:spacing w:val="-14"/>
        </w:rPr>
        <w:t> </w:t>
      </w:r>
      <w:r>
        <w:rPr/>
        <w:t>study</w:t>
      </w:r>
      <w:r>
        <w:rPr>
          <w:spacing w:val="-15"/>
        </w:rPr>
        <w:t> </w:t>
      </w:r>
      <w:r>
        <w:rPr/>
        <w:t>also</w:t>
      </w:r>
      <w:r>
        <w:rPr>
          <w:spacing w:val="-14"/>
        </w:rPr>
        <w:t> </w:t>
      </w:r>
      <w:r>
        <w:rPr/>
        <w:t>looks</w:t>
      </w:r>
      <w:r>
        <w:rPr>
          <w:spacing w:val="-14"/>
        </w:rPr>
        <w:t> </w:t>
      </w:r>
      <w:r>
        <w:rPr/>
        <w:t>at</w:t>
      </w:r>
      <w:r>
        <w:rPr>
          <w:spacing w:val="-15"/>
        </w:rPr>
        <w:t> </w:t>
      </w:r>
      <w:r>
        <w:rPr/>
        <w:t>the</w:t>
      </w:r>
      <w:r>
        <w:rPr>
          <w:spacing w:val="-14"/>
        </w:rPr>
        <w:t> </w:t>
      </w:r>
      <w:r>
        <w:rPr/>
        <w:t>pattern</w:t>
      </w:r>
      <w:r>
        <w:rPr>
          <w:spacing w:val="-15"/>
        </w:rPr>
        <w:t> </w:t>
      </w:r>
      <w:r>
        <w:rPr/>
        <w:t>of</w:t>
      </w:r>
      <w:r>
        <w:rPr>
          <w:spacing w:val="-14"/>
        </w:rPr>
        <w:t> </w:t>
      </w:r>
      <w:r>
        <w:rPr/>
        <w:t>linear</w:t>
      </w:r>
      <w:r>
        <w:rPr>
          <w:spacing w:val="-14"/>
        </w:rPr>
        <w:t> </w:t>
      </w:r>
      <w:r>
        <w:rPr/>
        <w:t>anomalies on</w:t>
      </w:r>
      <w:r>
        <w:rPr>
          <w:spacing w:val="-15"/>
        </w:rPr>
        <w:t> </w:t>
      </w:r>
      <w:r>
        <w:rPr/>
        <w:t>the</w:t>
      </w:r>
      <w:r>
        <w:rPr>
          <w:spacing w:val="-14"/>
        </w:rPr>
        <w:t> </w:t>
      </w:r>
      <w:r>
        <w:rPr/>
        <w:t>surface</w:t>
      </w:r>
      <w:r>
        <w:rPr>
          <w:spacing w:val="-15"/>
        </w:rPr>
        <w:t> </w:t>
      </w:r>
      <w:r>
        <w:rPr/>
        <w:t>that</w:t>
      </w:r>
      <w:r>
        <w:rPr>
          <w:spacing w:val="-14"/>
        </w:rPr>
        <w:t> </w:t>
      </w:r>
      <w:r>
        <w:rPr/>
        <w:t>may</w:t>
      </w:r>
      <w:r>
        <w:rPr>
          <w:spacing w:val="-14"/>
        </w:rPr>
        <w:t> </w:t>
      </w:r>
      <w:r>
        <w:rPr/>
        <w:t>reflect</w:t>
      </w:r>
      <w:r>
        <w:rPr>
          <w:spacing w:val="-15"/>
        </w:rPr>
        <w:t> </w:t>
      </w:r>
      <w:r>
        <w:rPr/>
        <w:t>deeper</w:t>
      </w:r>
      <w:r>
        <w:rPr>
          <w:spacing w:val="-14"/>
        </w:rPr>
        <w:t> </w:t>
      </w:r>
      <w:r>
        <w:rPr/>
        <w:t>fault</w:t>
      </w:r>
      <w:r>
        <w:rPr>
          <w:spacing w:val="-14"/>
        </w:rPr>
        <w:t> </w:t>
      </w:r>
      <w:r>
        <w:rPr/>
        <w:t>and</w:t>
      </w:r>
      <w:r>
        <w:rPr>
          <w:spacing w:val="-15"/>
        </w:rPr>
        <w:t> </w:t>
      </w:r>
      <w:r>
        <w:rPr/>
        <w:t>fracture</w:t>
      </w:r>
      <w:r>
        <w:rPr>
          <w:spacing w:val="-14"/>
        </w:rPr>
        <w:t> </w:t>
      </w:r>
      <w:r>
        <w:rPr/>
        <w:t>systems, which could become natural migration</w:t>
      </w:r>
      <w:r>
        <w:rPr>
          <w:spacing w:val="-2"/>
        </w:rPr>
        <w:t> </w:t>
      </w:r>
      <w:r>
        <w:rPr/>
        <w:t>pathways.</w:t>
      </w:r>
    </w:p>
    <w:p>
      <w:pPr>
        <w:pStyle w:val="BodyText"/>
        <w:spacing w:line="249" w:lineRule="auto" w:before="6"/>
        <w:ind w:left="553" w:firstLine="283"/>
        <w:jc w:val="both"/>
      </w:pPr>
      <w:r>
        <w:rPr/>
        <w:t>Current projects, in particular Sleipner and Weyburn, are testing a variety of techniques to determine those that are </w:t>
      </w:r>
      <w:r>
        <w:rPr>
          <w:spacing w:val="-4"/>
        </w:rPr>
        <w:t>most </w:t>
      </w:r>
      <w:r>
        <w:rPr/>
        <w:t>effective</w:t>
      </w:r>
      <w:r>
        <w:rPr>
          <w:spacing w:val="-10"/>
        </w:rPr>
        <w:t> </w:t>
      </w:r>
      <w:r>
        <w:rPr/>
        <w:t>and</w:t>
      </w:r>
      <w:r>
        <w:rPr>
          <w:spacing w:val="-10"/>
        </w:rPr>
        <w:t> </w:t>
      </w:r>
      <w:r>
        <w:rPr/>
        <w:t>least</w:t>
      </w:r>
      <w:r>
        <w:rPr>
          <w:spacing w:val="-10"/>
        </w:rPr>
        <w:t> </w:t>
      </w:r>
      <w:r>
        <w:rPr/>
        <w:t>costly.</w:t>
      </w:r>
      <w:r>
        <w:rPr>
          <w:spacing w:val="-10"/>
        </w:rPr>
        <w:t> </w:t>
      </w:r>
      <w:r>
        <w:rPr/>
        <w:t>In</w:t>
      </w:r>
      <w:r>
        <w:rPr>
          <w:spacing w:val="-13"/>
        </w:rPr>
        <w:t> </w:t>
      </w:r>
      <w:r>
        <w:rPr>
          <w:spacing w:val="-3"/>
        </w:rPr>
        <w:t>Western</w:t>
      </w:r>
      <w:r>
        <w:rPr>
          <w:spacing w:val="-10"/>
        </w:rPr>
        <w:t> </w:t>
      </w:r>
      <w:r>
        <w:rPr/>
        <w:t>Canada,</w:t>
      </w:r>
      <w:r>
        <w:rPr>
          <w:spacing w:val="-10"/>
        </w:rPr>
        <w:t> </w:t>
      </w:r>
      <w:r>
        <w:rPr/>
        <w:t>acid-gas</w:t>
      </w:r>
      <w:r>
        <w:rPr>
          <w:spacing w:val="-10"/>
        </w:rPr>
        <w:t> </w:t>
      </w:r>
      <w:r>
        <w:rPr/>
        <w:t>injection wells use pressure monitoring and set maximum wellhead injection</w:t>
      </w:r>
      <w:r>
        <w:rPr>
          <w:spacing w:val="-13"/>
        </w:rPr>
        <w:t> </w:t>
      </w:r>
      <w:r>
        <w:rPr/>
        <w:t>pressures</w:t>
      </w:r>
      <w:r>
        <w:rPr>
          <w:spacing w:val="-13"/>
        </w:rPr>
        <w:t> </w:t>
      </w:r>
      <w:r>
        <w:rPr/>
        <w:t>to</w:t>
      </w:r>
      <w:r>
        <w:rPr>
          <w:spacing w:val="-13"/>
        </w:rPr>
        <w:t> </w:t>
      </w:r>
      <w:r>
        <w:rPr/>
        <w:t>ensure</w:t>
      </w:r>
      <w:r>
        <w:rPr>
          <w:spacing w:val="-12"/>
        </w:rPr>
        <w:t> </w:t>
      </w:r>
      <w:r>
        <w:rPr/>
        <w:t>that</w:t>
      </w:r>
      <w:r>
        <w:rPr>
          <w:spacing w:val="-13"/>
        </w:rPr>
        <w:t> </w:t>
      </w:r>
      <w:r>
        <w:rPr/>
        <w:t>reservoir</w:t>
      </w:r>
      <w:r>
        <w:rPr>
          <w:spacing w:val="-13"/>
        </w:rPr>
        <w:t> </w:t>
      </w:r>
      <w:r>
        <w:rPr/>
        <w:t>fracture</w:t>
      </w:r>
      <w:r>
        <w:rPr>
          <w:spacing w:val="-12"/>
        </w:rPr>
        <w:t> </w:t>
      </w:r>
      <w:r>
        <w:rPr/>
        <w:t>pressures</w:t>
      </w:r>
      <w:r>
        <w:rPr>
          <w:spacing w:val="-13"/>
        </w:rPr>
        <w:t> </w:t>
      </w:r>
      <w:r>
        <w:rPr>
          <w:spacing w:val="-5"/>
        </w:rPr>
        <w:t>are </w:t>
      </w:r>
      <w:r>
        <w:rPr/>
        <w:t>not exceeded. No subsurface monitoring is currently required for these projects. Chalaturnyk and Gunter (2005) suggest that an effectively designed monitoring programme should allow decisions to be made in the future that are based on ongoing interpretation of the data. The data from the programme</w:t>
      </w:r>
      <w:r>
        <w:rPr>
          <w:spacing w:val="-19"/>
        </w:rPr>
        <w:t> </w:t>
      </w:r>
      <w:r>
        <w:rPr/>
        <w:t>should also</w:t>
      </w:r>
      <w:r>
        <w:rPr>
          <w:spacing w:val="-13"/>
        </w:rPr>
        <w:t> </w:t>
      </w:r>
      <w:r>
        <w:rPr/>
        <w:t>provide</w:t>
      </w:r>
      <w:r>
        <w:rPr>
          <w:spacing w:val="-13"/>
        </w:rPr>
        <w:t> </w:t>
      </w:r>
      <w:r>
        <w:rPr/>
        <w:t>the</w:t>
      </w:r>
      <w:r>
        <w:rPr>
          <w:spacing w:val="-12"/>
        </w:rPr>
        <w:t> </w:t>
      </w:r>
      <w:r>
        <w:rPr/>
        <w:t>information</w:t>
      </w:r>
      <w:r>
        <w:rPr>
          <w:spacing w:val="-13"/>
        </w:rPr>
        <w:t> </w:t>
      </w:r>
      <w:r>
        <w:rPr/>
        <w:t>necessary</w:t>
      </w:r>
      <w:r>
        <w:rPr>
          <w:spacing w:val="-12"/>
        </w:rPr>
        <w:t> </w:t>
      </w:r>
      <w:r>
        <w:rPr/>
        <w:t>to</w:t>
      </w:r>
      <w:r>
        <w:rPr>
          <w:spacing w:val="-13"/>
        </w:rPr>
        <w:t> </w:t>
      </w:r>
      <w:r>
        <w:rPr/>
        <w:t>decrease</w:t>
      </w:r>
      <w:r>
        <w:rPr>
          <w:spacing w:val="-12"/>
        </w:rPr>
        <w:t> </w:t>
      </w:r>
      <w:r>
        <w:rPr/>
        <w:t>uncertainties over time or increase monitoring demand if things develop unexpectedly. The corollary to this is that unexpected changes may</w:t>
      </w:r>
      <w:r>
        <w:rPr>
          <w:spacing w:val="-9"/>
        </w:rPr>
        <w:t> </w:t>
      </w:r>
      <w:r>
        <w:rPr/>
        <w:t>result</w:t>
      </w:r>
      <w:r>
        <w:rPr>
          <w:spacing w:val="-9"/>
        </w:rPr>
        <w:t> </w:t>
      </w:r>
      <w:r>
        <w:rPr/>
        <w:t>in</w:t>
      </w:r>
      <w:r>
        <w:rPr>
          <w:spacing w:val="-8"/>
        </w:rPr>
        <w:t> </w:t>
      </w:r>
      <w:r>
        <w:rPr/>
        <w:t>the</w:t>
      </w:r>
      <w:r>
        <w:rPr>
          <w:spacing w:val="-9"/>
        </w:rPr>
        <w:t> </w:t>
      </w:r>
      <w:r>
        <w:rPr/>
        <w:t>requirement</w:t>
      </w:r>
      <w:r>
        <w:rPr>
          <w:spacing w:val="-9"/>
        </w:rPr>
        <w:t> </w:t>
      </w:r>
      <w:r>
        <w:rPr/>
        <w:t>of</w:t>
      </w:r>
      <w:r>
        <w:rPr>
          <w:spacing w:val="-7"/>
        </w:rPr>
        <w:t> </w:t>
      </w:r>
      <w:r>
        <w:rPr/>
        <w:t>increased</w:t>
      </w:r>
      <w:r>
        <w:rPr>
          <w:spacing w:val="-9"/>
        </w:rPr>
        <w:t> </w:t>
      </w:r>
      <w:r>
        <w:rPr/>
        <w:t>monitoring</w:t>
      </w:r>
      <w:r>
        <w:rPr>
          <w:spacing w:val="-9"/>
        </w:rPr>
        <w:t> </w:t>
      </w:r>
      <w:r>
        <w:rPr/>
        <w:t>until</w:t>
      </w:r>
      <w:r>
        <w:rPr>
          <w:spacing w:val="-9"/>
        </w:rPr>
        <w:t> </w:t>
      </w:r>
      <w:r>
        <w:rPr>
          <w:spacing w:val="-4"/>
        </w:rPr>
        <w:t>new </w:t>
      </w:r>
      <w:r>
        <w:rPr/>
        <w:t>uncertainties are resolved.</w:t>
      </w:r>
    </w:p>
    <w:p>
      <w:pPr>
        <w:pStyle w:val="Heading2"/>
        <w:numPr>
          <w:ilvl w:val="2"/>
          <w:numId w:val="14"/>
        </w:numPr>
        <w:tabs>
          <w:tab w:pos="1060" w:val="left" w:leader="none"/>
          <w:tab w:pos="1061" w:val="left" w:leader="none"/>
        </w:tabs>
        <w:spacing w:line="240" w:lineRule="auto" w:before="63" w:after="0"/>
        <w:ind w:left="1060" w:right="0" w:hanging="821"/>
        <w:jc w:val="left"/>
        <w:rPr>
          <w:i/>
        </w:rPr>
      </w:pPr>
      <w:r>
        <w:rPr>
          <w:i/>
        </w:rPr>
        <w:br w:type="column"/>
        <w:t>Long-term stewardship</w:t>
      </w:r>
      <w:r>
        <w:rPr>
          <w:i/>
          <w:spacing w:val="-2"/>
        </w:rPr>
        <w:t> </w:t>
      </w:r>
      <w:r>
        <w:rPr>
          <w:i/>
        </w:rPr>
        <w:t>monitoring</w:t>
      </w:r>
    </w:p>
    <w:p>
      <w:pPr>
        <w:pStyle w:val="BodyText"/>
        <w:spacing w:before="3"/>
        <w:rPr>
          <w:b/>
          <w:i/>
          <w:sz w:val="21"/>
        </w:rPr>
      </w:pPr>
    </w:p>
    <w:p>
      <w:pPr>
        <w:pStyle w:val="BodyText"/>
        <w:spacing w:line="240" w:lineRule="exact"/>
        <w:ind w:left="241" w:right="132"/>
        <w:jc w:val="both"/>
      </w:pPr>
      <w:r>
        <w:rPr/>
        <w:t>The purpose of long-term monitoring is to identify movement of CO</w:t>
      </w:r>
      <w:r>
        <w:rPr>
          <w:position w:val="-6"/>
          <w:sz w:val="11"/>
        </w:rPr>
        <w:t>2 </w:t>
      </w:r>
      <w:r>
        <w:rPr/>
        <w:t>that may lead to releases that could impact long-term storage security and </w:t>
      </w:r>
      <w:r>
        <w:rPr>
          <w:spacing w:val="-3"/>
        </w:rPr>
        <w:t>safety, </w:t>
      </w:r>
      <w:r>
        <w:rPr/>
        <w:t>as well as trigger the need for remedial action. Long-term monitoring can be </w:t>
      </w:r>
      <w:r>
        <w:rPr>
          <w:spacing w:val="-2"/>
        </w:rPr>
        <w:t>accomplished </w:t>
      </w:r>
      <w:r>
        <w:rPr/>
        <w:t>with the same suite of monitoring technologies used during  the injection phase. However, at the present time, there are   no established protocols for the kind of monitoring that will  be required, by whom, for how long and with what purpose. Geological storage of CO</w:t>
      </w:r>
      <w:r>
        <w:rPr>
          <w:position w:val="-6"/>
          <w:sz w:val="11"/>
        </w:rPr>
        <w:t>2   </w:t>
      </w:r>
      <w:r>
        <w:rPr/>
        <w:t>may persist over many millions    of years. The long duration of storage raises some questions about long-term monitoring – an issue that is also addressed </w:t>
      </w:r>
      <w:r>
        <w:rPr>
          <w:spacing w:val="-7"/>
        </w:rPr>
        <w:t>in </w:t>
      </w:r>
      <w:r>
        <w:rPr/>
        <w:t>Section</w:t>
      </w:r>
      <w:r>
        <w:rPr>
          <w:spacing w:val="-2"/>
        </w:rPr>
        <w:t> </w:t>
      </w:r>
      <w:r>
        <w:rPr/>
        <w:t>5.8.</w:t>
      </w:r>
    </w:p>
    <w:p>
      <w:pPr>
        <w:pStyle w:val="BodyText"/>
        <w:spacing w:line="240" w:lineRule="exact"/>
        <w:ind w:left="241" w:right="132" w:firstLine="283"/>
        <w:jc w:val="both"/>
      </w:pPr>
      <w:r>
        <w:rPr/>
        <w:t>Several</w:t>
      </w:r>
      <w:r>
        <w:rPr>
          <w:spacing w:val="-15"/>
        </w:rPr>
        <w:t> </w:t>
      </w:r>
      <w:r>
        <w:rPr/>
        <w:t>studies</w:t>
      </w:r>
      <w:r>
        <w:rPr>
          <w:spacing w:val="-15"/>
        </w:rPr>
        <w:t> </w:t>
      </w:r>
      <w:r>
        <w:rPr/>
        <w:t>have</w:t>
      </w:r>
      <w:r>
        <w:rPr>
          <w:spacing w:val="-15"/>
        </w:rPr>
        <w:t> </w:t>
      </w:r>
      <w:r>
        <w:rPr/>
        <w:t>attempted</w:t>
      </w:r>
      <w:r>
        <w:rPr>
          <w:spacing w:val="-15"/>
        </w:rPr>
        <w:t> </w:t>
      </w:r>
      <w:r>
        <w:rPr/>
        <w:t>to</w:t>
      </w:r>
      <w:r>
        <w:rPr>
          <w:spacing w:val="-15"/>
        </w:rPr>
        <w:t> </w:t>
      </w:r>
      <w:r>
        <w:rPr/>
        <w:t>address</w:t>
      </w:r>
      <w:r>
        <w:rPr>
          <w:spacing w:val="-15"/>
        </w:rPr>
        <w:t> </w:t>
      </w:r>
      <w:r>
        <w:rPr/>
        <w:t>these</w:t>
      </w:r>
      <w:r>
        <w:rPr>
          <w:spacing w:val="-15"/>
        </w:rPr>
        <w:t> </w:t>
      </w:r>
      <w:r>
        <w:rPr/>
        <w:t>issues.</w:t>
      </w:r>
      <w:r>
        <w:rPr>
          <w:spacing w:val="-15"/>
        </w:rPr>
        <w:t> </w:t>
      </w:r>
      <w:r>
        <w:rPr/>
        <w:t>Keith and Wilson (2002) have proposed that governments assume responsibility</w:t>
      </w:r>
      <w:r>
        <w:rPr>
          <w:spacing w:val="-18"/>
        </w:rPr>
        <w:t> </w:t>
      </w:r>
      <w:r>
        <w:rPr/>
        <w:t>for</w:t>
      </w:r>
      <w:r>
        <w:rPr>
          <w:spacing w:val="-18"/>
        </w:rPr>
        <w:t> </w:t>
      </w:r>
      <w:r>
        <w:rPr/>
        <w:t>monitoring</w:t>
      </w:r>
      <w:r>
        <w:rPr>
          <w:spacing w:val="-18"/>
        </w:rPr>
        <w:t> </w:t>
      </w:r>
      <w:r>
        <w:rPr/>
        <w:t>after</w:t>
      </w:r>
      <w:r>
        <w:rPr>
          <w:spacing w:val="-17"/>
        </w:rPr>
        <w:t> </w:t>
      </w:r>
      <w:r>
        <w:rPr/>
        <w:t>the</w:t>
      </w:r>
      <w:r>
        <w:rPr>
          <w:spacing w:val="-18"/>
        </w:rPr>
        <w:t> </w:t>
      </w:r>
      <w:r>
        <w:rPr/>
        <w:t>active</w:t>
      </w:r>
      <w:r>
        <w:rPr>
          <w:spacing w:val="-18"/>
        </w:rPr>
        <w:t> </w:t>
      </w:r>
      <w:r>
        <w:rPr/>
        <w:t>phase</w:t>
      </w:r>
      <w:r>
        <w:rPr>
          <w:spacing w:val="-18"/>
        </w:rPr>
        <w:t> </w:t>
      </w:r>
      <w:r>
        <w:rPr/>
        <w:t>of</w:t>
      </w:r>
      <w:r>
        <w:rPr>
          <w:spacing w:val="-17"/>
        </w:rPr>
        <w:t> </w:t>
      </w:r>
      <w:r>
        <w:rPr/>
        <w:t>the</w:t>
      </w:r>
      <w:r>
        <w:rPr>
          <w:spacing w:val="-18"/>
        </w:rPr>
        <w:t> </w:t>
      </w:r>
      <w:r>
        <w:rPr/>
        <w:t>storage project</w:t>
      </w:r>
      <w:r>
        <w:rPr>
          <w:spacing w:val="-7"/>
        </w:rPr>
        <w:t> </w:t>
      </w:r>
      <w:r>
        <w:rPr/>
        <w:t>is</w:t>
      </w:r>
      <w:r>
        <w:rPr>
          <w:spacing w:val="-7"/>
        </w:rPr>
        <w:t> </w:t>
      </w:r>
      <w:r>
        <w:rPr/>
        <w:t>over,</w:t>
      </w:r>
      <w:r>
        <w:rPr>
          <w:spacing w:val="-7"/>
        </w:rPr>
        <w:t> </w:t>
      </w:r>
      <w:r>
        <w:rPr/>
        <w:t>as</w:t>
      </w:r>
      <w:r>
        <w:rPr>
          <w:spacing w:val="-7"/>
        </w:rPr>
        <w:t> </w:t>
      </w:r>
      <w:r>
        <w:rPr/>
        <w:t>long</w:t>
      </w:r>
      <w:r>
        <w:rPr>
          <w:spacing w:val="-6"/>
        </w:rPr>
        <w:t> </w:t>
      </w:r>
      <w:r>
        <w:rPr/>
        <w:t>as</w:t>
      </w:r>
      <w:r>
        <w:rPr>
          <w:spacing w:val="-7"/>
        </w:rPr>
        <w:t> </w:t>
      </w:r>
      <w:r>
        <w:rPr/>
        <w:t>all</w:t>
      </w:r>
      <w:r>
        <w:rPr>
          <w:spacing w:val="-7"/>
        </w:rPr>
        <w:t> </w:t>
      </w:r>
      <w:r>
        <w:rPr/>
        <w:t>regulatory</w:t>
      </w:r>
      <w:r>
        <w:rPr>
          <w:spacing w:val="-7"/>
        </w:rPr>
        <w:t> </w:t>
      </w:r>
      <w:r>
        <w:rPr/>
        <w:t>requirements</w:t>
      </w:r>
      <w:r>
        <w:rPr>
          <w:spacing w:val="-7"/>
        </w:rPr>
        <w:t> </w:t>
      </w:r>
      <w:r>
        <w:rPr/>
        <w:t>have</w:t>
      </w:r>
      <w:r>
        <w:rPr>
          <w:spacing w:val="-6"/>
        </w:rPr>
        <w:t> </w:t>
      </w:r>
      <w:r>
        <w:rPr/>
        <w:t>been met</w:t>
      </w:r>
      <w:r>
        <w:rPr>
          <w:spacing w:val="-15"/>
        </w:rPr>
        <w:t> </w:t>
      </w:r>
      <w:r>
        <w:rPr/>
        <w:t>during</w:t>
      </w:r>
      <w:r>
        <w:rPr>
          <w:spacing w:val="-15"/>
        </w:rPr>
        <w:t> </w:t>
      </w:r>
      <w:r>
        <w:rPr/>
        <w:t>operation.</w:t>
      </w:r>
      <w:r>
        <w:rPr>
          <w:spacing w:val="-18"/>
        </w:rPr>
        <w:t> </w:t>
      </w:r>
      <w:r>
        <w:rPr/>
        <w:t>This</w:t>
      </w:r>
      <w:r>
        <w:rPr>
          <w:spacing w:val="-15"/>
        </w:rPr>
        <w:t> </w:t>
      </w:r>
      <w:r>
        <w:rPr/>
        <w:t>study</w:t>
      </w:r>
      <w:r>
        <w:rPr>
          <w:spacing w:val="-15"/>
        </w:rPr>
        <w:t> </w:t>
      </w:r>
      <w:r>
        <w:rPr/>
        <w:t>did</w:t>
      </w:r>
      <w:r>
        <w:rPr>
          <w:spacing w:val="-15"/>
        </w:rPr>
        <w:t> </w:t>
      </w:r>
      <w:r>
        <w:rPr/>
        <w:t>not,</w:t>
      </w:r>
      <w:r>
        <w:rPr>
          <w:spacing w:val="-15"/>
        </w:rPr>
        <w:t> </w:t>
      </w:r>
      <w:r>
        <w:rPr/>
        <w:t>however,</w:t>
      </w:r>
      <w:r>
        <w:rPr>
          <w:spacing w:val="-15"/>
        </w:rPr>
        <w:t> </w:t>
      </w:r>
      <w:r>
        <w:rPr/>
        <w:t>specify</w:t>
      </w:r>
      <w:r>
        <w:rPr>
          <w:spacing w:val="-14"/>
        </w:rPr>
        <w:t> </w:t>
      </w:r>
      <w:r>
        <w:rPr/>
        <w:t>long- term requirements for monitoring. Though perhaps somewhat impractical in terms of implementation, White </w:t>
      </w:r>
      <w:r>
        <w:rPr>
          <w:i/>
        </w:rPr>
        <w:t>et al. </w:t>
      </w:r>
      <w:r>
        <w:rPr/>
        <w:t>(2003) suggested that monitoring might be required for thousands of years. An alternative point of view is presented by Chow </w:t>
      </w:r>
      <w:r>
        <w:rPr>
          <w:i/>
        </w:rPr>
        <w:t>et al. </w:t>
      </w:r>
      <w:r>
        <w:rPr/>
        <w:t>(2003) and Benson </w:t>
      </w:r>
      <w:r>
        <w:rPr>
          <w:i/>
        </w:rPr>
        <w:t>et al. </w:t>
      </w:r>
      <w:r>
        <w:rPr/>
        <w:t>(2004), who suggest that once it has been demonstrated that the plume of CO</w:t>
      </w:r>
      <w:r>
        <w:rPr>
          <w:position w:val="-6"/>
          <w:sz w:val="11"/>
        </w:rPr>
        <w:t>2 </w:t>
      </w:r>
      <w:r>
        <w:rPr/>
        <w:t>is no longer moving, further</w:t>
      </w:r>
      <w:r>
        <w:rPr>
          <w:spacing w:val="-9"/>
        </w:rPr>
        <w:t> </w:t>
      </w:r>
      <w:r>
        <w:rPr/>
        <w:t>monitoring</w:t>
      </w:r>
      <w:r>
        <w:rPr>
          <w:spacing w:val="-9"/>
        </w:rPr>
        <w:t> </w:t>
      </w:r>
      <w:r>
        <w:rPr/>
        <w:t>should</w:t>
      </w:r>
      <w:r>
        <w:rPr>
          <w:spacing w:val="-8"/>
        </w:rPr>
        <w:t> </w:t>
      </w:r>
      <w:r>
        <w:rPr/>
        <w:t>not</w:t>
      </w:r>
      <w:r>
        <w:rPr>
          <w:spacing w:val="-8"/>
        </w:rPr>
        <w:t> </w:t>
      </w:r>
      <w:r>
        <w:rPr/>
        <w:t>be</w:t>
      </w:r>
      <w:r>
        <w:rPr>
          <w:spacing w:val="-7"/>
        </w:rPr>
        <w:t> </w:t>
      </w:r>
      <w:r>
        <w:rPr/>
        <w:t>required.</w:t>
      </w:r>
      <w:r>
        <w:rPr>
          <w:spacing w:val="-12"/>
        </w:rPr>
        <w:t> </w:t>
      </w:r>
      <w:r>
        <w:rPr/>
        <w:t>The</w:t>
      </w:r>
      <w:r>
        <w:rPr>
          <w:spacing w:val="-8"/>
        </w:rPr>
        <w:t> </w:t>
      </w:r>
      <w:r>
        <w:rPr/>
        <w:t>rationale</w:t>
      </w:r>
      <w:r>
        <w:rPr>
          <w:spacing w:val="-9"/>
        </w:rPr>
        <w:t> </w:t>
      </w:r>
      <w:r>
        <w:rPr/>
        <w:t>for</w:t>
      </w:r>
      <w:r>
        <w:rPr>
          <w:spacing w:val="-7"/>
        </w:rPr>
        <w:t> </w:t>
      </w:r>
      <w:r>
        <w:rPr/>
        <w:t>this point of view is that long-term monitoring provides little </w:t>
      </w:r>
      <w:r>
        <w:rPr>
          <w:spacing w:val="-3"/>
        </w:rPr>
        <w:t>value </w:t>
      </w:r>
      <w:r>
        <w:rPr/>
        <w:t>if</w:t>
      </w:r>
      <w:r>
        <w:rPr>
          <w:spacing w:val="-9"/>
        </w:rPr>
        <w:t> </w:t>
      </w:r>
      <w:r>
        <w:rPr/>
        <w:t>the</w:t>
      </w:r>
      <w:r>
        <w:rPr>
          <w:spacing w:val="-9"/>
        </w:rPr>
        <w:t> </w:t>
      </w:r>
      <w:r>
        <w:rPr/>
        <w:t>plume</w:t>
      </w:r>
      <w:r>
        <w:rPr>
          <w:spacing w:val="-9"/>
        </w:rPr>
        <w:t> </w:t>
      </w:r>
      <w:r>
        <w:rPr/>
        <w:t>is</w:t>
      </w:r>
      <w:r>
        <w:rPr>
          <w:spacing w:val="-9"/>
        </w:rPr>
        <w:t> </w:t>
      </w:r>
      <w:r>
        <w:rPr/>
        <w:t>no</w:t>
      </w:r>
      <w:r>
        <w:rPr>
          <w:spacing w:val="-9"/>
        </w:rPr>
        <w:t> </w:t>
      </w:r>
      <w:r>
        <w:rPr/>
        <w:t>longer</w:t>
      </w:r>
      <w:r>
        <w:rPr>
          <w:spacing w:val="-9"/>
        </w:rPr>
        <w:t> </w:t>
      </w:r>
      <w:r>
        <w:rPr/>
        <w:t>migrating</w:t>
      </w:r>
      <w:r>
        <w:rPr>
          <w:spacing w:val="-9"/>
        </w:rPr>
        <w:t> </w:t>
      </w:r>
      <w:r>
        <w:rPr/>
        <w:t>or</w:t>
      </w:r>
      <w:r>
        <w:rPr>
          <w:spacing w:val="-9"/>
        </w:rPr>
        <w:t> </w:t>
      </w:r>
      <w:r>
        <w:rPr/>
        <w:t>the</w:t>
      </w:r>
      <w:r>
        <w:rPr>
          <w:spacing w:val="-9"/>
        </w:rPr>
        <w:t> </w:t>
      </w:r>
      <w:r>
        <w:rPr/>
        <w:t>cessation</w:t>
      </w:r>
      <w:r>
        <w:rPr>
          <w:spacing w:val="-9"/>
        </w:rPr>
        <w:t> </w:t>
      </w:r>
      <w:r>
        <w:rPr/>
        <w:t>of</w:t>
      </w:r>
      <w:r>
        <w:rPr>
          <w:spacing w:val="-9"/>
        </w:rPr>
        <w:t> </w:t>
      </w:r>
      <w:r>
        <w:rPr/>
        <w:t>migration can be accurately predicted and verified by a combination of modelling and short- to mid-term</w:t>
      </w:r>
      <w:r>
        <w:rPr>
          <w:spacing w:val="-2"/>
        </w:rPr>
        <w:t> </w:t>
      </w:r>
      <w:r>
        <w:rPr/>
        <w:t>monitoring.</w:t>
      </w:r>
    </w:p>
    <w:p>
      <w:pPr>
        <w:pStyle w:val="BodyText"/>
        <w:spacing w:line="240" w:lineRule="exact"/>
        <w:ind w:left="241" w:right="132" w:firstLine="283"/>
        <w:jc w:val="both"/>
      </w:pPr>
      <w:r>
        <w:rPr/>
        <w:t>If</w:t>
      </w:r>
      <w:r>
        <w:rPr>
          <w:spacing w:val="-17"/>
        </w:rPr>
        <w:t> </w:t>
      </w:r>
      <w:r>
        <w:rPr/>
        <w:t>and</w:t>
      </w:r>
      <w:r>
        <w:rPr>
          <w:spacing w:val="-17"/>
        </w:rPr>
        <w:t> </w:t>
      </w:r>
      <w:r>
        <w:rPr/>
        <w:t>when</w:t>
      </w:r>
      <w:r>
        <w:rPr>
          <w:spacing w:val="-17"/>
        </w:rPr>
        <w:t> </w:t>
      </w:r>
      <w:r>
        <w:rPr/>
        <w:t>long-term</w:t>
      </w:r>
      <w:r>
        <w:rPr>
          <w:spacing w:val="-17"/>
        </w:rPr>
        <w:t> </w:t>
      </w:r>
      <w:r>
        <w:rPr/>
        <w:t>monitoring</w:t>
      </w:r>
      <w:r>
        <w:rPr>
          <w:spacing w:val="-17"/>
        </w:rPr>
        <w:t> </w:t>
      </w:r>
      <w:r>
        <w:rPr/>
        <w:t>is</w:t>
      </w:r>
      <w:r>
        <w:rPr>
          <w:spacing w:val="-17"/>
        </w:rPr>
        <w:t> </w:t>
      </w:r>
      <w:r>
        <w:rPr/>
        <w:t>required,</w:t>
      </w:r>
      <w:r>
        <w:rPr>
          <w:spacing w:val="-17"/>
        </w:rPr>
        <w:t> </w:t>
      </w:r>
      <w:r>
        <w:rPr/>
        <w:t>cost-effective, easily deployed methods for monitoring will be preferred. Methods that do not require wells that penetrate the plume will be desirable, because they will not increase the risk of leakage up the monitoring well itself. Technologies are available</w:t>
      </w:r>
      <w:r>
        <w:rPr>
          <w:spacing w:val="-12"/>
        </w:rPr>
        <w:t> </w:t>
      </w:r>
      <w:r>
        <w:rPr>
          <w:spacing w:val="-3"/>
        </w:rPr>
        <w:t>today, </w:t>
      </w:r>
      <w:r>
        <w:rPr/>
        <w:t>such</w:t>
      </w:r>
      <w:r>
        <w:rPr>
          <w:spacing w:val="-22"/>
        </w:rPr>
        <w:t> </w:t>
      </w:r>
      <w:r>
        <w:rPr/>
        <w:t>as</w:t>
      </w:r>
      <w:r>
        <w:rPr>
          <w:spacing w:val="-21"/>
        </w:rPr>
        <w:t> </w:t>
      </w:r>
      <w:r>
        <w:rPr/>
        <w:t>3D</w:t>
      </w:r>
      <w:r>
        <w:rPr>
          <w:spacing w:val="-21"/>
        </w:rPr>
        <w:t> </w:t>
      </w:r>
      <w:r>
        <w:rPr/>
        <w:t>seismic</w:t>
      </w:r>
      <w:r>
        <w:rPr>
          <w:spacing w:val="-21"/>
        </w:rPr>
        <w:t> </w:t>
      </w:r>
      <w:r>
        <w:rPr/>
        <w:t>imaging,</w:t>
      </w:r>
      <w:r>
        <w:rPr>
          <w:spacing w:val="-21"/>
        </w:rPr>
        <w:t> </w:t>
      </w:r>
      <w:r>
        <w:rPr/>
        <w:t>that</w:t>
      </w:r>
      <w:r>
        <w:rPr>
          <w:spacing w:val="-21"/>
        </w:rPr>
        <w:t> </w:t>
      </w:r>
      <w:r>
        <w:rPr/>
        <w:t>can</w:t>
      </w:r>
      <w:r>
        <w:rPr>
          <w:spacing w:val="-21"/>
        </w:rPr>
        <w:t> </w:t>
      </w:r>
      <w:r>
        <w:rPr/>
        <w:t>provide</w:t>
      </w:r>
      <w:r>
        <w:rPr>
          <w:spacing w:val="-21"/>
        </w:rPr>
        <w:t> </w:t>
      </w:r>
      <w:r>
        <w:rPr/>
        <w:t>satisfactory</w:t>
      </w:r>
      <w:r>
        <w:rPr>
          <w:spacing w:val="-21"/>
        </w:rPr>
        <w:t> </w:t>
      </w:r>
      <w:r>
        <w:rPr/>
        <w:t>images of CO</w:t>
      </w:r>
      <w:r>
        <w:rPr>
          <w:position w:val="-6"/>
          <w:sz w:val="11"/>
        </w:rPr>
        <w:t>2 </w:t>
      </w:r>
      <w:r>
        <w:rPr/>
        <w:t>plume location. While seismic surveys are perceived to be costly, a recent study by Benson </w:t>
      </w:r>
      <w:r>
        <w:rPr>
          <w:i/>
        </w:rPr>
        <w:t>et al. </w:t>
      </w:r>
      <w:r>
        <w:rPr/>
        <w:t>(2004) suggests that this</w:t>
      </w:r>
      <w:r>
        <w:rPr>
          <w:spacing w:val="-9"/>
        </w:rPr>
        <w:t> </w:t>
      </w:r>
      <w:r>
        <w:rPr/>
        <w:t>may</w:t>
      </w:r>
      <w:r>
        <w:rPr>
          <w:spacing w:val="-9"/>
        </w:rPr>
        <w:t> </w:t>
      </w:r>
      <w:r>
        <w:rPr/>
        <w:t>be</w:t>
      </w:r>
      <w:r>
        <w:rPr>
          <w:spacing w:val="-9"/>
        </w:rPr>
        <w:t> </w:t>
      </w:r>
      <w:r>
        <w:rPr/>
        <w:t>a</w:t>
      </w:r>
      <w:r>
        <w:rPr>
          <w:spacing w:val="-9"/>
        </w:rPr>
        <w:t> </w:t>
      </w:r>
      <w:r>
        <w:rPr/>
        <w:t>misconception</w:t>
      </w:r>
      <w:r>
        <w:rPr>
          <w:spacing w:val="-9"/>
        </w:rPr>
        <w:t> </w:t>
      </w:r>
      <w:r>
        <w:rPr/>
        <w:t>and</w:t>
      </w:r>
      <w:r>
        <w:rPr>
          <w:spacing w:val="-9"/>
        </w:rPr>
        <w:t> </w:t>
      </w:r>
      <w:r>
        <w:rPr/>
        <w:t>indicates</w:t>
      </w:r>
      <w:r>
        <w:rPr>
          <w:spacing w:val="-9"/>
        </w:rPr>
        <w:t> </w:t>
      </w:r>
      <w:r>
        <w:rPr/>
        <w:t>that</w:t>
      </w:r>
      <w:r>
        <w:rPr>
          <w:spacing w:val="-9"/>
        </w:rPr>
        <w:t> </w:t>
      </w:r>
      <w:r>
        <w:rPr/>
        <w:t>monitoring</w:t>
      </w:r>
      <w:r>
        <w:rPr>
          <w:spacing w:val="-9"/>
        </w:rPr>
        <w:t> </w:t>
      </w:r>
      <w:r>
        <w:rPr/>
        <w:t>costs on a discounted basis (10% discount rate) are likely to be no higher than 0.10 US$/tCO</w:t>
      </w:r>
      <w:r>
        <w:rPr>
          <w:position w:val="-6"/>
          <w:sz w:val="11"/>
        </w:rPr>
        <w:t>2 </w:t>
      </w:r>
      <w:r>
        <w:rPr/>
        <w:t>stored. However, seismic imaging has its limitations, as is evidenced by continued drilling of non-productive hydrocarbon wells, but confidence in its ability to meet most, but not all, of the needs of monitoring CO</w:t>
      </w:r>
      <w:r>
        <w:rPr>
          <w:position w:val="-6"/>
          <w:sz w:val="11"/>
        </w:rPr>
        <w:t>2 </w:t>
      </w:r>
      <w:r>
        <w:rPr/>
        <w:t>storage projects is growing. Less expensive and more passive alternatives that could be deployed remotely, such as satellite- based systems, may be desirable, but are not currently able to track underground migration. However, if CO</w:t>
      </w:r>
      <w:r>
        <w:rPr>
          <w:position w:val="-6"/>
          <w:sz w:val="11"/>
        </w:rPr>
        <w:t>2 </w:t>
      </w:r>
      <w:r>
        <w:rPr/>
        <w:t>has seeped to the surface, associated vegetative stress can be detected</w:t>
      </w:r>
      <w:r>
        <w:rPr>
          <w:spacing w:val="-20"/>
        </w:rPr>
        <w:t> </w:t>
      </w:r>
      <w:r>
        <w:rPr/>
        <w:t>readily in some ecosystems (Martini and Silver,</w:t>
      </w:r>
      <w:r>
        <w:rPr>
          <w:spacing w:val="-5"/>
        </w:rPr>
        <w:t> </w:t>
      </w:r>
      <w:r>
        <w:rPr/>
        <w:t>2002).</w:t>
      </w:r>
    </w:p>
    <w:p>
      <w:pPr>
        <w:pStyle w:val="BodyText"/>
        <w:spacing w:line="240" w:lineRule="exact"/>
        <w:ind w:left="241" w:right="133" w:firstLine="283"/>
        <w:jc w:val="both"/>
      </w:pPr>
      <w:r>
        <w:rPr/>
        <w:t>Until long-term monitoring requirements are established (Stenhouse </w:t>
      </w:r>
      <w:r>
        <w:rPr>
          <w:i/>
        </w:rPr>
        <w:t>et al.</w:t>
      </w:r>
      <w:r>
        <w:rPr/>
        <w:t>, 2005), it is not possible to evaluate which technology or combination of technologies for monitoring will be needed or desired. However, today’s technology could be deployed to continue monitoring the location of the CO</w:t>
      </w:r>
      <w:r>
        <w:rPr>
          <w:position w:val="-6"/>
          <w:sz w:val="11"/>
        </w:rPr>
        <w:t>2 </w:t>
      </w:r>
      <w:r>
        <w:rPr/>
        <w:t>plume over very long time periods with sufficient accuracy to assess</w:t>
      </w:r>
    </w:p>
    <w:p>
      <w:pPr>
        <w:spacing w:after="0" w:line="240" w:lineRule="exact"/>
        <w:jc w:val="both"/>
        <w:sectPr>
          <w:type w:val="continuous"/>
          <w:pgSz w:w="12240" w:h="15840"/>
          <w:pgMar w:top="400" w:bottom="280" w:left="580" w:right="600"/>
          <w:cols w:num="2" w:equalWidth="0">
            <w:col w:w="5600" w:space="40"/>
            <w:col w:w="5420"/>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25" w:lineRule="auto" w:before="74"/>
        <w:ind w:left="157" w:right="38"/>
        <w:jc w:val="both"/>
      </w:pPr>
      <w:bookmarkStart w:name="5.6.8 Verification of CO2 injection and " w:id="83"/>
      <w:bookmarkEnd w:id="83"/>
      <w:r>
        <w:rPr/>
      </w:r>
      <w:bookmarkStart w:name="5.7 Risk management, risk assessment and" w:id="84"/>
      <w:bookmarkEnd w:id="84"/>
      <w:r>
        <w:rPr/>
      </w:r>
      <w:bookmarkStart w:name="5.7.1 Framework for assessing environmen" w:id="85"/>
      <w:bookmarkEnd w:id="85"/>
      <w:r>
        <w:rPr/>
      </w:r>
      <w:bookmarkStart w:name="5.7.2 Processes and pathways for release" w:id="86"/>
      <w:bookmarkEnd w:id="86"/>
      <w:r>
        <w:rPr/>
      </w:r>
      <w:r>
        <w:rPr/>
        <w:t>the risk of the plume intersecting potential pathways, </w:t>
      </w:r>
      <w:r>
        <w:rPr>
          <w:spacing w:val="-3"/>
        </w:rPr>
        <w:t>natural  </w:t>
      </w:r>
      <w:r>
        <w:rPr/>
        <w:t>or human, out of the storage site into overlying zones. If CO</w:t>
      </w:r>
      <w:r>
        <w:rPr>
          <w:position w:val="-6"/>
          <w:sz w:val="11"/>
        </w:rPr>
        <w:t>2 </w:t>
      </w:r>
      <w:r>
        <w:rPr/>
        <w:t>escapes from the primary storage reservoir with no prospect</w:t>
      </w:r>
      <w:r>
        <w:rPr>
          <w:spacing w:val="16"/>
        </w:rPr>
        <w:t> </w:t>
      </w:r>
      <w:r>
        <w:rPr/>
        <w:t>of</w:t>
      </w:r>
    </w:p>
    <w:p>
      <w:pPr>
        <w:pStyle w:val="BodyText"/>
        <w:spacing w:line="249" w:lineRule="auto" w:before="63"/>
        <w:ind w:left="157" w:right="463"/>
      </w:pPr>
      <w:r>
        <w:rPr/>
        <w:br w:type="column"/>
      </w:r>
      <w:r>
        <w:rPr/>
        <w:t>Local health, safety and environmental hazards arise from three distinct causes:</w:t>
      </w:r>
    </w:p>
    <w:p>
      <w:pPr>
        <w:pStyle w:val="ListParagraph"/>
        <w:numPr>
          <w:ilvl w:val="0"/>
          <w:numId w:val="6"/>
        </w:numPr>
        <w:tabs>
          <w:tab w:pos="441" w:val="left" w:leader="none"/>
        </w:tabs>
        <w:spacing w:line="232" w:lineRule="exact" w:before="0" w:after="0"/>
        <w:ind w:left="440" w:right="0" w:hanging="284"/>
        <w:jc w:val="left"/>
        <w:rPr>
          <w:sz w:val="20"/>
        </w:rPr>
      </w:pPr>
      <w:r>
        <w:rPr/>
        <w:pict>
          <v:shape style="position:absolute;margin-left:479.860687pt;margin-top:8.375469pt;width:2.95pt;height:5.85pt;mso-position-horizontal-relative:page;mso-position-vertical-relative:paragraph;z-index:-25883750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Direct effects of elevated gas-phase CO concentrations</w:t>
      </w:r>
      <w:r>
        <w:rPr>
          <w:spacing w:val="1"/>
          <w:sz w:val="20"/>
        </w:rPr>
        <w:t> </w:t>
      </w:r>
      <w:r>
        <w:rPr>
          <w:sz w:val="20"/>
        </w:rPr>
        <w:t>in</w:t>
      </w:r>
    </w:p>
    <w:p>
      <w:pPr>
        <w:spacing w:after="0" w:line="232" w:lineRule="exact"/>
        <w:jc w:val="left"/>
        <w:rPr>
          <w:sz w:val="20"/>
        </w:rPr>
        <w:sectPr>
          <w:type w:val="continuous"/>
          <w:pgSz w:w="12240" w:h="15840"/>
          <w:pgMar w:top="400" w:bottom="280" w:left="580" w:right="600"/>
          <w:cols w:num="2" w:equalWidth="0">
            <w:col w:w="5241" w:space="86"/>
            <w:col w:w="5733"/>
          </w:cols>
        </w:sectPr>
      </w:pPr>
    </w:p>
    <w:p>
      <w:pPr>
        <w:pStyle w:val="BodyText"/>
        <w:tabs>
          <w:tab w:pos="5766" w:val="left" w:leader="none"/>
        </w:tabs>
        <w:spacing w:line="225" w:lineRule="exact" w:before="9"/>
        <w:ind w:left="157"/>
      </w:pPr>
      <w:r>
        <w:rPr/>
        <w:t>remedial</w:t>
      </w:r>
      <w:r>
        <w:rPr>
          <w:spacing w:val="-12"/>
        </w:rPr>
        <w:t> </w:t>
      </w:r>
      <w:r>
        <w:rPr/>
        <w:t>action</w:t>
      </w:r>
      <w:r>
        <w:rPr>
          <w:spacing w:val="-12"/>
        </w:rPr>
        <w:t> </w:t>
      </w:r>
      <w:r>
        <w:rPr/>
        <w:t>to</w:t>
      </w:r>
      <w:r>
        <w:rPr>
          <w:spacing w:val="-12"/>
        </w:rPr>
        <w:t> </w:t>
      </w:r>
      <w:r>
        <w:rPr/>
        <w:t>prevent</w:t>
      </w:r>
      <w:r>
        <w:rPr>
          <w:spacing w:val="-12"/>
        </w:rPr>
        <w:t> </w:t>
      </w:r>
      <w:r>
        <w:rPr/>
        <w:t>leakage,</w:t>
      </w:r>
      <w:r>
        <w:rPr>
          <w:spacing w:val="-12"/>
        </w:rPr>
        <w:t> </w:t>
      </w:r>
      <w:r>
        <w:rPr/>
        <w:t>technologies</w:t>
      </w:r>
      <w:r>
        <w:rPr>
          <w:spacing w:val="-12"/>
        </w:rPr>
        <w:t> </w:t>
      </w:r>
      <w:r>
        <w:rPr/>
        <w:t>are</w:t>
      </w:r>
      <w:r>
        <w:rPr>
          <w:spacing w:val="-12"/>
        </w:rPr>
        <w:t> </w:t>
      </w:r>
      <w:r>
        <w:rPr/>
        <w:t>available</w:t>
      </w:r>
      <w:r>
        <w:rPr>
          <w:spacing w:val="-12"/>
        </w:rPr>
        <w:t> </w:t>
      </w:r>
      <w:r>
        <w:rPr/>
        <w:t>to</w:t>
        <w:tab/>
        <w:t>the shallow subsurface and near-surface</w:t>
      </w:r>
      <w:r>
        <w:rPr>
          <w:spacing w:val="-6"/>
        </w:rPr>
        <w:t> </w:t>
      </w:r>
      <w:r>
        <w:rPr/>
        <w:t>environment;</w:t>
      </w:r>
    </w:p>
    <w:p>
      <w:pPr>
        <w:spacing w:after="0" w:line="225" w:lineRule="exact"/>
        <w:sectPr>
          <w:type w:val="continuous"/>
          <w:pgSz w:w="12240" w:h="15840"/>
          <w:pgMar w:top="400" w:bottom="280" w:left="580" w:right="600"/>
        </w:sectPr>
      </w:pPr>
    </w:p>
    <w:p>
      <w:pPr>
        <w:pStyle w:val="BodyText"/>
        <w:spacing w:line="249" w:lineRule="auto" w:before="16"/>
        <w:ind w:left="157" w:right="51"/>
        <w:jc w:val="both"/>
      </w:pPr>
      <w:r>
        <w:rPr/>
        <w:t>monitor the consequent environmental impact on groundwater, soils, ecosystems and the atmosphere.</w:t>
      </w:r>
    </w:p>
    <w:p>
      <w:pPr>
        <w:pStyle w:val="BodyText"/>
        <w:rPr>
          <w:sz w:val="21"/>
        </w:rPr>
      </w:pPr>
    </w:p>
    <w:p>
      <w:pPr>
        <w:pStyle w:val="Heading2"/>
        <w:numPr>
          <w:ilvl w:val="2"/>
          <w:numId w:val="14"/>
        </w:numPr>
        <w:tabs>
          <w:tab w:pos="976" w:val="left" w:leader="none"/>
          <w:tab w:pos="977" w:val="left" w:leader="none"/>
        </w:tabs>
        <w:spacing w:line="240" w:lineRule="auto" w:before="0" w:after="0"/>
        <w:ind w:left="977" w:right="0" w:hanging="820"/>
        <w:jc w:val="left"/>
        <w:rPr>
          <w:i/>
        </w:rPr>
      </w:pPr>
      <w:r>
        <w:rPr>
          <w:i/>
        </w:rPr>
        <w:t>Verification of CO</w:t>
      </w:r>
      <w:r>
        <w:rPr>
          <w:i/>
          <w:position w:val="-6"/>
          <w:sz w:val="11"/>
        </w:rPr>
        <w:t>2 </w:t>
      </w:r>
      <w:r>
        <w:rPr>
          <w:i/>
        </w:rPr>
        <w:t>injection and storage</w:t>
      </w:r>
      <w:r>
        <w:rPr>
          <w:i/>
          <w:spacing w:val="-34"/>
        </w:rPr>
        <w:t> </w:t>
      </w:r>
      <w:r>
        <w:rPr>
          <w:i/>
        </w:rPr>
        <w:t>inventory</w:t>
      </w:r>
    </w:p>
    <w:p>
      <w:pPr>
        <w:pStyle w:val="BodyText"/>
        <w:spacing w:line="240" w:lineRule="exact" w:before="194"/>
        <w:ind w:left="157" w:right="38"/>
        <w:jc w:val="both"/>
      </w:pPr>
      <w:r>
        <w:rPr/>
        <w:t>Verification as a topic is often combined with monitoring such as</w:t>
      </w:r>
      <w:r>
        <w:rPr>
          <w:spacing w:val="-12"/>
        </w:rPr>
        <w:t> </w:t>
      </w:r>
      <w:r>
        <w:rPr/>
        <w:t>in</w:t>
      </w:r>
      <w:r>
        <w:rPr>
          <w:spacing w:val="-11"/>
        </w:rPr>
        <w:t> </w:t>
      </w:r>
      <w:r>
        <w:rPr/>
        <w:t>the</w:t>
      </w:r>
      <w:r>
        <w:rPr>
          <w:spacing w:val="-11"/>
        </w:rPr>
        <w:t> </w:t>
      </w:r>
      <w:r>
        <w:rPr/>
        <w:t>Storage,</w:t>
      </w:r>
      <w:r>
        <w:rPr>
          <w:spacing w:val="-12"/>
        </w:rPr>
        <w:t> </w:t>
      </w:r>
      <w:r>
        <w:rPr/>
        <w:t>Monitoring</w:t>
      </w:r>
      <w:r>
        <w:rPr>
          <w:spacing w:val="-12"/>
        </w:rPr>
        <w:t> </w:t>
      </w:r>
      <w:r>
        <w:rPr/>
        <w:t>and</w:t>
      </w:r>
      <w:r>
        <w:rPr>
          <w:spacing w:val="-15"/>
        </w:rPr>
        <w:t> </w:t>
      </w:r>
      <w:r>
        <w:rPr/>
        <w:t>Verification</w:t>
      </w:r>
      <w:r>
        <w:rPr>
          <w:spacing w:val="-11"/>
        </w:rPr>
        <w:t> </w:t>
      </w:r>
      <w:r>
        <w:rPr/>
        <w:t>(SMV)</w:t>
      </w:r>
      <w:r>
        <w:rPr>
          <w:spacing w:val="-11"/>
        </w:rPr>
        <w:t> </w:t>
      </w:r>
      <w:r>
        <w:rPr/>
        <w:t>project</w:t>
      </w:r>
      <w:r>
        <w:rPr>
          <w:spacing w:val="-11"/>
        </w:rPr>
        <w:t> </w:t>
      </w:r>
      <w:r>
        <w:rPr/>
        <w:t>of the</w:t>
      </w:r>
      <w:r>
        <w:rPr>
          <w:spacing w:val="-18"/>
        </w:rPr>
        <w:t> </w:t>
      </w:r>
      <w:r>
        <w:rPr/>
        <w:t>Carbon</w:t>
      </w:r>
      <w:r>
        <w:rPr>
          <w:spacing w:val="-18"/>
        </w:rPr>
        <w:t> </w:t>
      </w:r>
      <w:r>
        <w:rPr/>
        <w:t>Capture</w:t>
      </w:r>
      <w:r>
        <w:rPr>
          <w:spacing w:val="-18"/>
        </w:rPr>
        <w:t> </w:t>
      </w:r>
      <w:r>
        <w:rPr/>
        <w:t>Project</w:t>
      </w:r>
      <w:r>
        <w:rPr>
          <w:spacing w:val="-18"/>
        </w:rPr>
        <w:t> </w:t>
      </w:r>
      <w:r>
        <w:rPr/>
        <w:t>(CCP)</w:t>
      </w:r>
      <w:r>
        <w:rPr>
          <w:spacing w:val="-17"/>
        </w:rPr>
        <w:t> </w:t>
      </w:r>
      <w:r>
        <w:rPr/>
        <w:t>or</w:t>
      </w:r>
      <w:r>
        <w:rPr>
          <w:spacing w:val="-18"/>
        </w:rPr>
        <w:t> </w:t>
      </w:r>
      <w:r>
        <w:rPr/>
        <w:t>the</w:t>
      </w:r>
      <w:r>
        <w:rPr>
          <w:spacing w:val="-18"/>
        </w:rPr>
        <w:t> </w:t>
      </w:r>
      <w:r>
        <w:rPr/>
        <w:t>Monitoring,</w:t>
      </w:r>
      <w:r>
        <w:rPr>
          <w:spacing w:val="-18"/>
        </w:rPr>
        <w:t> </w:t>
      </w:r>
      <w:r>
        <w:rPr/>
        <w:t>Mitigation and</w:t>
      </w:r>
      <w:r>
        <w:rPr>
          <w:spacing w:val="-9"/>
        </w:rPr>
        <w:t> </w:t>
      </w:r>
      <w:r>
        <w:rPr/>
        <w:t>Verification</w:t>
      </w:r>
      <w:r>
        <w:rPr>
          <w:spacing w:val="-4"/>
        </w:rPr>
        <w:t> </w:t>
      </w:r>
      <w:r>
        <w:rPr/>
        <w:t>(MMV)</w:t>
      </w:r>
      <w:r>
        <w:rPr>
          <w:spacing w:val="-5"/>
        </w:rPr>
        <w:t> </w:t>
      </w:r>
      <w:r>
        <w:rPr/>
        <w:t>subsection</w:t>
      </w:r>
      <w:r>
        <w:rPr>
          <w:spacing w:val="-5"/>
        </w:rPr>
        <w:t> </w:t>
      </w:r>
      <w:r>
        <w:rPr/>
        <w:t>of</w:t>
      </w:r>
      <w:r>
        <w:rPr>
          <w:spacing w:val="-4"/>
        </w:rPr>
        <w:t> </w:t>
      </w:r>
      <w:r>
        <w:rPr/>
        <w:t>the</w:t>
      </w:r>
      <w:r>
        <w:rPr>
          <w:spacing w:val="-5"/>
        </w:rPr>
        <w:t> </w:t>
      </w:r>
      <w:r>
        <w:rPr/>
        <w:t>DOE-NETL</w:t>
      </w:r>
      <w:r>
        <w:rPr>
          <w:spacing w:val="-12"/>
        </w:rPr>
        <w:t> </w:t>
      </w:r>
      <w:r>
        <w:rPr/>
        <w:t>Carbon Sequestration</w:t>
      </w:r>
      <w:r>
        <w:rPr>
          <w:spacing w:val="-11"/>
        </w:rPr>
        <w:t> </w:t>
      </w:r>
      <w:r>
        <w:rPr/>
        <w:t>Technology</w:t>
      </w:r>
      <w:r>
        <w:rPr>
          <w:spacing w:val="-7"/>
        </w:rPr>
        <w:t> </w:t>
      </w:r>
      <w:r>
        <w:rPr/>
        <w:t>Roadmap</w:t>
      </w:r>
      <w:r>
        <w:rPr>
          <w:spacing w:val="-8"/>
        </w:rPr>
        <w:t> </w:t>
      </w:r>
      <w:r>
        <w:rPr/>
        <w:t>and</w:t>
      </w:r>
      <w:r>
        <w:rPr>
          <w:spacing w:val="-7"/>
        </w:rPr>
        <w:t> </w:t>
      </w:r>
      <w:r>
        <w:rPr/>
        <w:t>Program</w:t>
      </w:r>
      <w:r>
        <w:rPr>
          <w:spacing w:val="-7"/>
        </w:rPr>
        <w:t> </w:t>
      </w:r>
      <w:r>
        <w:rPr/>
        <w:t>Plan</w:t>
      </w:r>
      <w:r>
        <w:rPr>
          <w:spacing w:val="-7"/>
        </w:rPr>
        <w:t> </w:t>
      </w:r>
      <w:r>
        <w:rPr/>
        <w:t>(NETL, 2004). In view of this frequently-used combination of terms, there is some overlap in usage between the terms ‘verification’ and ‘monitoring’. For this report, ‘verification’ is defined as the set of activities used for assessing the amount of CO</w:t>
      </w:r>
      <w:r>
        <w:rPr>
          <w:position w:val="-6"/>
          <w:sz w:val="11"/>
        </w:rPr>
        <w:t>2 </w:t>
      </w:r>
      <w:r>
        <w:rPr/>
        <w:t>that  is stored underground and for assessing how much, if </w:t>
      </w:r>
      <w:r>
        <w:rPr>
          <w:spacing w:val="-4"/>
        </w:rPr>
        <w:t>any, </w:t>
      </w:r>
      <w:r>
        <w:rPr/>
        <w:t>is leaking back into the atmosphere.</w:t>
      </w:r>
    </w:p>
    <w:p>
      <w:pPr>
        <w:pStyle w:val="BodyText"/>
        <w:spacing w:line="240" w:lineRule="exact"/>
        <w:ind w:left="157" w:right="51" w:firstLine="283"/>
        <w:jc w:val="both"/>
      </w:pPr>
      <w:r>
        <w:rPr/>
        <w:t>No standard protocols have been developed specifically  for verification of geological storage. However, experience at the </w:t>
      </w:r>
      <w:r>
        <w:rPr>
          <w:spacing w:val="-3"/>
        </w:rPr>
        <w:t>Weyburn </w:t>
      </w:r>
      <w:r>
        <w:rPr/>
        <w:t>and Sleipner projects has demonstrated the utility of various techniques for most if not all aspects of verification (Wilson and Monea, 2005; Sleipner Best Practice Manual, 2004). At the very least, verification will require measurement of the quantity of CO</w:t>
      </w:r>
      <w:r>
        <w:rPr>
          <w:position w:val="-6"/>
          <w:sz w:val="11"/>
        </w:rPr>
        <w:t>2 </w:t>
      </w:r>
      <w:r>
        <w:rPr/>
        <w:t>stored. Demonstrating that it remains within</w:t>
      </w:r>
      <w:r>
        <w:rPr>
          <w:spacing w:val="-14"/>
        </w:rPr>
        <w:t> </w:t>
      </w:r>
      <w:r>
        <w:rPr/>
        <w:t>the</w:t>
      </w:r>
      <w:r>
        <w:rPr>
          <w:spacing w:val="-13"/>
        </w:rPr>
        <w:t> </w:t>
      </w:r>
      <w:r>
        <w:rPr/>
        <w:t>storage</w:t>
      </w:r>
      <w:r>
        <w:rPr>
          <w:spacing w:val="-14"/>
        </w:rPr>
        <w:t> </w:t>
      </w:r>
      <w:r>
        <w:rPr/>
        <w:t>site,</w:t>
      </w:r>
      <w:r>
        <w:rPr>
          <w:spacing w:val="-13"/>
        </w:rPr>
        <w:t> </w:t>
      </w:r>
      <w:r>
        <w:rPr/>
        <w:t>from</w:t>
      </w:r>
      <w:r>
        <w:rPr>
          <w:spacing w:val="-14"/>
        </w:rPr>
        <w:t> </w:t>
      </w:r>
      <w:r>
        <w:rPr/>
        <w:t>both</w:t>
      </w:r>
      <w:r>
        <w:rPr>
          <w:spacing w:val="-13"/>
        </w:rPr>
        <w:t> </w:t>
      </w:r>
      <w:r>
        <w:rPr/>
        <w:t>a</w:t>
      </w:r>
      <w:r>
        <w:rPr>
          <w:spacing w:val="-13"/>
        </w:rPr>
        <w:t> </w:t>
      </w:r>
      <w:r>
        <w:rPr/>
        <w:t>lateral</w:t>
      </w:r>
      <w:r>
        <w:rPr>
          <w:spacing w:val="-14"/>
        </w:rPr>
        <w:t> </w:t>
      </w:r>
      <w:r>
        <w:rPr/>
        <w:t>and</w:t>
      </w:r>
      <w:r>
        <w:rPr>
          <w:spacing w:val="-13"/>
        </w:rPr>
        <w:t> </w:t>
      </w:r>
      <w:r>
        <w:rPr/>
        <w:t>vertical</w:t>
      </w:r>
      <w:r>
        <w:rPr>
          <w:spacing w:val="-14"/>
        </w:rPr>
        <w:t> </w:t>
      </w:r>
      <w:r>
        <w:rPr/>
        <w:t>migration perspective, is likely to require some combination of models and monitoring. Requirements may be site-specific, depending on the regulatory environment, requirements for economic instruments and the degree of risk of leakage. The oversight for verification may be handled by regulators, either directly or by independent third parties contracted by regulators </w:t>
      </w:r>
      <w:r>
        <w:rPr>
          <w:spacing w:val="-3"/>
        </w:rPr>
        <w:t>under </w:t>
      </w:r>
      <w:r>
        <w:rPr/>
        <w:t>national </w:t>
      </w:r>
      <w:r>
        <w:rPr>
          <w:spacing w:val="-4"/>
        </w:rPr>
        <w:t>law.</w:t>
      </w:r>
    </w:p>
    <w:p>
      <w:pPr>
        <w:pStyle w:val="BodyText"/>
        <w:spacing w:before="4"/>
        <w:rPr>
          <w:sz w:val="21"/>
        </w:rPr>
      </w:pPr>
    </w:p>
    <w:p>
      <w:pPr>
        <w:pStyle w:val="Heading1"/>
        <w:numPr>
          <w:ilvl w:val="1"/>
          <w:numId w:val="7"/>
        </w:numPr>
        <w:tabs>
          <w:tab w:pos="865" w:val="left" w:leader="none"/>
          <w:tab w:pos="866" w:val="left" w:leader="none"/>
        </w:tabs>
        <w:spacing w:line="249" w:lineRule="auto" w:before="0" w:after="0"/>
        <w:ind w:left="977" w:right="1058" w:hanging="820"/>
        <w:jc w:val="left"/>
      </w:pPr>
      <w:r>
        <w:rPr/>
        <w:t>Risk management, risk assessment </w:t>
      </w:r>
      <w:r>
        <w:rPr>
          <w:spacing w:val="-5"/>
        </w:rPr>
        <w:t>and </w:t>
      </w:r>
      <w:r>
        <w:rPr/>
        <w:t>remediation</w:t>
      </w:r>
    </w:p>
    <w:p>
      <w:pPr>
        <w:pStyle w:val="BodyText"/>
        <w:spacing w:before="8"/>
        <w:rPr>
          <w:b/>
          <w:sz w:val="21"/>
        </w:rPr>
      </w:pPr>
    </w:p>
    <w:p>
      <w:pPr>
        <w:pStyle w:val="BodyText"/>
        <w:spacing w:line="225" w:lineRule="auto"/>
        <w:ind w:left="157" w:right="51"/>
        <w:jc w:val="both"/>
      </w:pPr>
      <w:r>
        <w:rPr/>
        <w:t>What</w:t>
      </w:r>
      <w:r>
        <w:rPr>
          <w:spacing w:val="-15"/>
        </w:rPr>
        <w:t> </w:t>
      </w:r>
      <w:r>
        <w:rPr/>
        <w:t>are</w:t>
      </w:r>
      <w:r>
        <w:rPr>
          <w:spacing w:val="-14"/>
        </w:rPr>
        <w:t> </w:t>
      </w:r>
      <w:r>
        <w:rPr/>
        <w:t>the</w:t>
      </w:r>
      <w:r>
        <w:rPr>
          <w:spacing w:val="-14"/>
        </w:rPr>
        <w:t> </w:t>
      </w:r>
      <w:r>
        <w:rPr/>
        <w:t>risks</w:t>
      </w:r>
      <w:r>
        <w:rPr>
          <w:spacing w:val="-15"/>
        </w:rPr>
        <w:t> </w:t>
      </w:r>
      <w:r>
        <w:rPr/>
        <w:t>of</w:t>
      </w:r>
      <w:r>
        <w:rPr>
          <w:spacing w:val="-14"/>
        </w:rPr>
        <w:t> </w:t>
      </w:r>
      <w:r>
        <w:rPr/>
        <w:t>storing</w:t>
      </w:r>
      <w:r>
        <w:rPr>
          <w:spacing w:val="-14"/>
        </w:rPr>
        <w:t> </w:t>
      </w:r>
      <w:r>
        <w:rPr/>
        <w:t>CO</w:t>
      </w:r>
      <w:r>
        <w:rPr>
          <w:position w:val="-6"/>
          <w:sz w:val="11"/>
        </w:rPr>
        <w:t>2</w:t>
      </w:r>
      <w:r>
        <w:rPr>
          <w:spacing w:val="8"/>
          <w:position w:val="-6"/>
          <w:sz w:val="11"/>
        </w:rPr>
        <w:t> </w:t>
      </w:r>
      <w:r>
        <w:rPr/>
        <w:t>in</w:t>
      </w:r>
      <w:r>
        <w:rPr>
          <w:spacing w:val="-15"/>
        </w:rPr>
        <w:t> </w:t>
      </w:r>
      <w:r>
        <w:rPr/>
        <w:t>deep</w:t>
      </w:r>
      <w:r>
        <w:rPr>
          <w:spacing w:val="-14"/>
        </w:rPr>
        <w:t> </w:t>
      </w:r>
      <w:r>
        <w:rPr/>
        <w:t>geological</w:t>
      </w:r>
      <w:r>
        <w:rPr>
          <w:spacing w:val="-14"/>
        </w:rPr>
        <w:t> </w:t>
      </w:r>
      <w:r>
        <w:rPr/>
        <w:t>formations? Can a geological storage site be operated safely? What are the safety</w:t>
      </w:r>
      <w:r>
        <w:rPr>
          <w:spacing w:val="-19"/>
        </w:rPr>
        <w:t> </w:t>
      </w:r>
      <w:r>
        <w:rPr/>
        <w:t>concerns</w:t>
      </w:r>
      <w:r>
        <w:rPr>
          <w:spacing w:val="-18"/>
        </w:rPr>
        <w:t> </w:t>
      </w:r>
      <w:r>
        <w:rPr/>
        <w:t>and</w:t>
      </w:r>
      <w:r>
        <w:rPr>
          <w:spacing w:val="-19"/>
        </w:rPr>
        <w:t> </w:t>
      </w:r>
      <w:r>
        <w:rPr/>
        <w:t>environmental</w:t>
      </w:r>
      <w:r>
        <w:rPr>
          <w:spacing w:val="-18"/>
        </w:rPr>
        <w:t> </w:t>
      </w:r>
      <w:r>
        <w:rPr/>
        <w:t>impact</w:t>
      </w:r>
      <w:r>
        <w:rPr>
          <w:spacing w:val="-19"/>
        </w:rPr>
        <w:t> </w:t>
      </w:r>
      <w:r>
        <w:rPr/>
        <w:t>if</w:t>
      </w:r>
      <w:r>
        <w:rPr>
          <w:spacing w:val="-18"/>
        </w:rPr>
        <w:t> </w:t>
      </w:r>
      <w:r>
        <w:rPr/>
        <w:t>a</w:t>
      </w:r>
      <w:r>
        <w:rPr>
          <w:spacing w:val="-19"/>
        </w:rPr>
        <w:t> </w:t>
      </w:r>
      <w:r>
        <w:rPr/>
        <w:t>storage</w:t>
      </w:r>
      <w:r>
        <w:rPr>
          <w:spacing w:val="-18"/>
        </w:rPr>
        <w:t> </w:t>
      </w:r>
      <w:r>
        <w:rPr/>
        <w:t>site</w:t>
      </w:r>
      <w:r>
        <w:rPr>
          <w:spacing w:val="-19"/>
        </w:rPr>
        <w:t> </w:t>
      </w:r>
      <w:r>
        <w:rPr/>
        <w:t>leaks? Can a CO</w:t>
      </w:r>
      <w:r>
        <w:rPr>
          <w:position w:val="-6"/>
          <w:sz w:val="11"/>
        </w:rPr>
        <w:t>2 </w:t>
      </w:r>
      <w:r>
        <w:rPr/>
        <w:t>storage site be fixed if something does go wrong? These questions are addressed in this section of the</w:t>
      </w:r>
      <w:r>
        <w:rPr>
          <w:spacing w:val="-5"/>
        </w:rPr>
        <w:t> </w:t>
      </w:r>
      <w:r>
        <w:rPr/>
        <w:t>report.</w:t>
      </w:r>
    </w:p>
    <w:p>
      <w:pPr>
        <w:pStyle w:val="BodyText"/>
        <w:spacing w:before="8"/>
        <w:rPr>
          <w:sz w:val="21"/>
        </w:rPr>
      </w:pPr>
    </w:p>
    <w:p>
      <w:pPr>
        <w:pStyle w:val="Heading2"/>
        <w:numPr>
          <w:ilvl w:val="2"/>
          <w:numId w:val="7"/>
        </w:numPr>
        <w:tabs>
          <w:tab w:pos="976" w:val="left" w:leader="none"/>
          <w:tab w:pos="977" w:val="left" w:leader="none"/>
        </w:tabs>
        <w:spacing w:line="240" w:lineRule="auto" w:before="1" w:after="0"/>
        <w:ind w:left="977" w:right="0" w:hanging="820"/>
        <w:jc w:val="left"/>
        <w:rPr>
          <w:i/>
        </w:rPr>
      </w:pPr>
      <w:r>
        <w:rPr>
          <w:i/>
        </w:rPr>
        <w:t>Framework for assessing environmental</w:t>
      </w:r>
      <w:r>
        <w:rPr>
          <w:i/>
          <w:spacing w:val="-2"/>
        </w:rPr>
        <w:t> </w:t>
      </w:r>
      <w:r>
        <w:rPr>
          <w:i/>
        </w:rPr>
        <w:t>risks</w:t>
      </w:r>
    </w:p>
    <w:p>
      <w:pPr>
        <w:pStyle w:val="BodyText"/>
        <w:spacing w:before="3"/>
        <w:rPr>
          <w:b/>
          <w:i/>
          <w:sz w:val="21"/>
        </w:rPr>
      </w:pPr>
    </w:p>
    <w:p>
      <w:pPr>
        <w:pStyle w:val="BodyText"/>
        <w:spacing w:line="240" w:lineRule="exact"/>
        <w:ind w:left="157" w:right="50"/>
        <w:jc w:val="both"/>
      </w:pPr>
      <w:r>
        <w:rPr/>
        <w:t>The environmental impacts arising from geological storage</w:t>
      </w:r>
      <w:r>
        <w:rPr>
          <w:spacing w:val="-13"/>
        </w:rPr>
        <w:t> </w:t>
      </w:r>
      <w:r>
        <w:rPr/>
        <w:t>fall into</w:t>
      </w:r>
      <w:r>
        <w:rPr>
          <w:spacing w:val="-21"/>
        </w:rPr>
        <w:t> </w:t>
      </w:r>
      <w:r>
        <w:rPr/>
        <w:t>two</w:t>
      </w:r>
      <w:r>
        <w:rPr>
          <w:spacing w:val="-21"/>
        </w:rPr>
        <w:t> </w:t>
      </w:r>
      <w:r>
        <w:rPr/>
        <w:t>broad</w:t>
      </w:r>
      <w:r>
        <w:rPr>
          <w:spacing w:val="-21"/>
        </w:rPr>
        <w:t> </w:t>
      </w:r>
      <w:r>
        <w:rPr/>
        <w:t>categories:</w:t>
      </w:r>
      <w:r>
        <w:rPr>
          <w:spacing w:val="-22"/>
        </w:rPr>
        <w:t> </w:t>
      </w:r>
      <w:r>
        <w:rPr/>
        <w:t>local</w:t>
      </w:r>
      <w:r>
        <w:rPr>
          <w:spacing w:val="-22"/>
        </w:rPr>
        <w:t> </w:t>
      </w:r>
      <w:r>
        <w:rPr/>
        <w:t>environmental</w:t>
      </w:r>
      <w:r>
        <w:rPr>
          <w:spacing w:val="-21"/>
        </w:rPr>
        <w:t> </w:t>
      </w:r>
      <w:r>
        <w:rPr/>
        <w:t>effects</w:t>
      </w:r>
      <w:r>
        <w:rPr>
          <w:spacing w:val="-21"/>
        </w:rPr>
        <w:t> </w:t>
      </w:r>
      <w:r>
        <w:rPr/>
        <w:t>and</w:t>
      </w:r>
      <w:r>
        <w:rPr>
          <w:spacing w:val="-21"/>
        </w:rPr>
        <w:t> </w:t>
      </w:r>
      <w:r>
        <w:rPr/>
        <w:t>global effects</w:t>
      </w:r>
      <w:r>
        <w:rPr>
          <w:spacing w:val="-10"/>
        </w:rPr>
        <w:t> </w:t>
      </w:r>
      <w:r>
        <w:rPr/>
        <w:t>arising</w:t>
      </w:r>
      <w:r>
        <w:rPr>
          <w:spacing w:val="-10"/>
        </w:rPr>
        <w:t> </w:t>
      </w:r>
      <w:r>
        <w:rPr/>
        <w:t>from</w:t>
      </w:r>
      <w:r>
        <w:rPr>
          <w:spacing w:val="-9"/>
        </w:rPr>
        <w:t> </w:t>
      </w:r>
      <w:r>
        <w:rPr/>
        <w:t>the</w:t>
      </w:r>
      <w:r>
        <w:rPr>
          <w:spacing w:val="-10"/>
        </w:rPr>
        <w:t> </w:t>
      </w:r>
      <w:r>
        <w:rPr/>
        <w:t>release</w:t>
      </w:r>
      <w:r>
        <w:rPr>
          <w:spacing w:val="-9"/>
        </w:rPr>
        <w:t> </w:t>
      </w:r>
      <w:r>
        <w:rPr/>
        <w:t>of</w:t>
      </w:r>
      <w:r>
        <w:rPr>
          <w:spacing w:val="-10"/>
        </w:rPr>
        <w:t> </w:t>
      </w:r>
      <w:r>
        <w:rPr/>
        <w:t>stored</w:t>
      </w:r>
      <w:r>
        <w:rPr>
          <w:spacing w:val="-9"/>
        </w:rPr>
        <w:t> </w:t>
      </w:r>
      <w:r>
        <w:rPr/>
        <w:t>CO</w:t>
      </w:r>
      <w:r>
        <w:rPr>
          <w:position w:val="-6"/>
          <w:sz w:val="11"/>
        </w:rPr>
        <w:t>2</w:t>
      </w:r>
      <w:r>
        <w:rPr>
          <w:spacing w:val="13"/>
          <w:position w:val="-6"/>
          <w:sz w:val="11"/>
        </w:rPr>
        <w:t> </w:t>
      </w:r>
      <w:r>
        <w:rPr/>
        <w:t>to</w:t>
      </w:r>
      <w:r>
        <w:rPr>
          <w:spacing w:val="-10"/>
        </w:rPr>
        <w:t> </w:t>
      </w:r>
      <w:r>
        <w:rPr/>
        <w:t>the</w:t>
      </w:r>
      <w:r>
        <w:rPr>
          <w:spacing w:val="-9"/>
        </w:rPr>
        <w:t> </w:t>
      </w:r>
      <w:r>
        <w:rPr/>
        <w:t>atmosphere. Global effects of CO</w:t>
      </w:r>
      <w:r>
        <w:rPr>
          <w:position w:val="-6"/>
          <w:sz w:val="11"/>
        </w:rPr>
        <w:t>2 </w:t>
      </w:r>
      <w:r>
        <w:rPr/>
        <w:t>storage may be viewed as the</w:t>
      </w:r>
      <w:r>
        <w:rPr>
          <w:spacing w:val="-29"/>
        </w:rPr>
        <w:t> </w:t>
      </w:r>
      <w:r>
        <w:rPr/>
        <w:t>uncertainty in the effectiveness of CO</w:t>
      </w:r>
      <w:r>
        <w:rPr>
          <w:position w:val="-6"/>
          <w:sz w:val="11"/>
        </w:rPr>
        <w:t>2 </w:t>
      </w:r>
      <w:r>
        <w:rPr/>
        <w:t>storage. Estimates of the likelihood of</w:t>
      </w:r>
      <w:r>
        <w:rPr>
          <w:spacing w:val="-17"/>
        </w:rPr>
        <w:t> </w:t>
      </w:r>
      <w:r>
        <w:rPr/>
        <w:t>release</w:t>
      </w:r>
      <w:r>
        <w:rPr>
          <w:spacing w:val="-16"/>
        </w:rPr>
        <w:t> </w:t>
      </w:r>
      <w:r>
        <w:rPr/>
        <w:t>to</w:t>
      </w:r>
      <w:r>
        <w:rPr>
          <w:spacing w:val="-17"/>
        </w:rPr>
        <w:t> </w:t>
      </w:r>
      <w:r>
        <w:rPr/>
        <w:t>the</w:t>
      </w:r>
      <w:r>
        <w:rPr>
          <w:spacing w:val="-16"/>
        </w:rPr>
        <w:t> </w:t>
      </w:r>
      <w:r>
        <w:rPr/>
        <w:t>atmosphere</w:t>
      </w:r>
      <w:r>
        <w:rPr>
          <w:spacing w:val="-17"/>
        </w:rPr>
        <w:t> </w:t>
      </w:r>
      <w:r>
        <w:rPr/>
        <w:t>are</w:t>
      </w:r>
      <w:r>
        <w:rPr>
          <w:spacing w:val="-16"/>
        </w:rPr>
        <w:t> </w:t>
      </w:r>
      <w:r>
        <w:rPr/>
        <w:t>discussed</w:t>
      </w:r>
      <w:r>
        <w:rPr>
          <w:spacing w:val="-17"/>
        </w:rPr>
        <w:t> </w:t>
      </w:r>
      <w:r>
        <w:rPr/>
        <w:t>below</w:t>
      </w:r>
      <w:r>
        <w:rPr>
          <w:spacing w:val="-16"/>
        </w:rPr>
        <w:t> </w:t>
      </w:r>
      <w:r>
        <w:rPr/>
        <w:t>(Section</w:t>
      </w:r>
      <w:r>
        <w:rPr>
          <w:spacing w:val="-16"/>
        </w:rPr>
        <w:t> </w:t>
      </w:r>
      <w:r>
        <w:rPr/>
        <w:t>5.7.3), while the policy implications of potential release from storage are discussed elsewhere (Chapters 1, 8 and 9).</w:t>
      </w:r>
    </w:p>
    <w:p>
      <w:pPr>
        <w:pStyle w:val="ListParagraph"/>
        <w:numPr>
          <w:ilvl w:val="0"/>
          <w:numId w:val="6"/>
        </w:numPr>
        <w:tabs>
          <w:tab w:pos="441" w:val="left" w:leader="none"/>
        </w:tabs>
        <w:spacing w:line="243" w:lineRule="exact" w:before="1" w:after="0"/>
        <w:ind w:left="440" w:right="0" w:hanging="284"/>
        <w:jc w:val="left"/>
        <w:rPr>
          <w:sz w:val="20"/>
        </w:rPr>
      </w:pPr>
      <w:r>
        <w:rPr>
          <w:w w:val="100"/>
          <w:sz w:val="20"/>
        </w:rPr>
        <w:br w:type="column"/>
      </w:r>
      <w:r>
        <w:rPr>
          <w:sz w:val="20"/>
        </w:rPr>
        <w:t>Effects of dissolved CO on groundwater</w:t>
      </w:r>
      <w:r>
        <w:rPr>
          <w:spacing w:val="7"/>
          <w:sz w:val="20"/>
        </w:rPr>
        <w:t> </w:t>
      </w:r>
      <w:r>
        <w:rPr>
          <w:sz w:val="20"/>
        </w:rPr>
        <w:t>chemistry;</w:t>
      </w:r>
    </w:p>
    <w:p>
      <w:pPr>
        <w:pStyle w:val="ListParagraph"/>
        <w:numPr>
          <w:ilvl w:val="0"/>
          <w:numId w:val="6"/>
        </w:numPr>
        <w:tabs>
          <w:tab w:pos="441" w:val="left" w:leader="none"/>
        </w:tabs>
        <w:spacing w:line="243" w:lineRule="exact" w:before="0" w:after="0"/>
        <w:ind w:left="440" w:right="0" w:hanging="284"/>
        <w:jc w:val="left"/>
        <w:rPr>
          <w:sz w:val="20"/>
        </w:rPr>
      </w:pPr>
      <w:r>
        <w:rPr/>
        <w:pict>
          <v:shape style="position:absolute;margin-left:412.97821pt;margin-top:-3.114277pt;width:2.95pt;height:5.85pt;mso-position-horizontal-relative:page;mso-position-vertical-relative:paragraph;z-index:-25883648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Effects</w:t>
      </w:r>
      <w:r>
        <w:rPr>
          <w:spacing w:val="34"/>
          <w:sz w:val="20"/>
        </w:rPr>
        <w:t> </w:t>
      </w:r>
      <w:r>
        <w:rPr>
          <w:sz w:val="20"/>
        </w:rPr>
        <w:t>that</w:t>
      </w:r>
      <w:r>
        <w:rPr>
          <w:spacing w:val="35"/>
          <w:sz w:val="20"/>
        </w:rPr>
        <w:t> </w:t>
      </w:r>
      <w:r>
        <w:rPr>
          <w:sz w:val="20"/>
        </w:rPr>
        <w:t>arise</w:t>
      </w:r>
      <w:r>
        <w:rPr>
          <w:spacing w:val="35"/>
          <w:sz w:val="20"/>
        </w:rPr>
        <w:t> </w:t>
      </w:r>
      <w:r>
        <w:rPr>
          <w:sz w:val="20"/>
        </w:rPr>
        <w:t>from</w:t>
      </w:r>
      <w:r>
        <w:rPr>
          <w:spacing w:val="34"/>
          <w:sz w:val="20"/>
        </w:rPr>
        <w:t> </w:t>
      </w:r>
      <w:r>
        <w:rPr>
          <w:sz w:val="20"/>
        </w:rPr>
        <w:t>the</w:t>
      </w:r>
      <w:r>
        <w:rPr>
          <w:spacing w:val="35"/>
          <w:sz w:val="20"/>
        </w:rPr>
        <w:t> </w:t>
      </w:r>
      <w:r>
        <w:rPr>
          <w:sz w:val="20"/>
        </w:rPr>
        <w:t>displacement</w:t>
      </w:r>
      <w:r>
        <w:rPr>
          <w:spacing w:val="35"/>
          <w:sz w:val="20"/>
        </w:rPr>
        <w:t> </w:t>
      </w:r>
      <w:r>
        <w:rPr>
          <w:sz w:val="20"/>
        </w:rPr>
        <w:t>of</w:t>
      </w:r>
      <w:r>
        <w:rPr>
          <w:spacing w:val="35"/>
          <w:sz w:val="20"/>
        </w:rPr>
        <w:t> </w:t>
      </w:r>
      <w:r>
        <w:rPr>
          <w:sz w:val="20"/>
        </w:rPr>
        <w:t>fluids</w:t>
      </w:r>
      <w:r>
        <w:rPr>
          <w:spacing w:val="34"/>
          <w:sz w:val="20"/>
        </w:rPr>
        <w:t> </w:t>
      </w:r>
      <w:r>
        <w:rPr>
          <w:sz w:val="20"/>
        </w:rPr>
        <w:t>by</w:t>
      </w:r>
      <w:r>
        <w:rPr>
          <w:spacing w:val="35"/>
          <w:sz w:val="20"/>
        </w:rPr>
        <w:t> </w:t>
      </w:r>
      <w:r>
        <w:rPr>
          <w:sz w:val="20"/>
        </w:rPr>
        <w:t>the</w:t>
      </w:r>
    </w:p>
    <w:p>
      <w:pPr>
        <w:pStyle w:val="BodyText"/>
        <w:spacing w:before="10"/>
        <w:ind w:left="440"/>
      </w:pPr>
      <w:r>
        <w:rPr/>
        <w:t>injected CO</w:t>
      </w:r>
      <w:r>
        <w:rPr>
          <w:position w:val="-6"/>
          <w:sz w:val="11"/>
        </w:rPr>
        <w:t>2</w:t>
      </w:r>
      <w:r>
        <w:rPr/>
        <w:t>.</w:t>
      </w:r>
    </w:p>
    <w:p>
      <w:pPr>
        <w:pStyle w:val="BodyText"/>
        <w:spacing w:line="240" w:lineRule="exact" w:before="194"/>
        <w:ind w:left="157" w:right="531"/>
        <w:jc w:val="both"/>
      </w:pPr>
      <w:r>
        <w:rPr/>
        <w:t>In this section, assessment of possible local and regional environmental hazards is organized by the kind of hazard </w:t>
      </w:r>
      <w:r>
        <w:rPr>
          <w:spacing w:val="-3"/>
        </w:rPr>
        <w:t>(e.g., </w:t>
      </w:r>
      <w:r>
        <w:rPr/>
        <w:t>human</w:t>
      </w:r>
      <w:r>
        <w:rPr>
          <w:spacing w:val="-12"/>
        </w:rPr>
        <w:t> </w:t>
      </w:r>
      <w:r>
        <w:rPr/>
        <w:t>health</w:t>
      </w:r>
      <w:r>
        <w:rPr>
          <w:spacing w:val="-11"/>
        </w:rPr>
        <w:t> </w:t>
      </w:r>
      <w:r>
        <w:rPr/>
        <w:t>and</w:t>
      </w:r>
      <w:r>
        <w:rPr>
          <w:spacing w:val="-11"/>
        </w:rPr>
        <w:t> </w:t>
      </w:r>
      <w:r>
        <w:rPr/>
        <w:t>ecosystem</w:t>
      </w:r>
      <w:r>
        <w:rPr>
          <w:spacing w:val="-11"/>
        </w:rPr>
        <w:t> </w:t>
      </w:r>
      <w:r>
        <w:rPr/>
        <w:t>hazards</w:t>
      </w:r>
      <w:r>
        <w:rPr>
          <w:spacing w:val="-11"/>
        </w:rPr>
        <w:t> </w:t>
      </w:r>
      <w:r>
        <w:rPr/>
        <w:t>are</w:t>
      </w:r>
      <w:r>
        <w:rPr>
          <w:spacing w:val="-12"/>
        </w:rPr>
        <w:t> </w:t>
      </w:r>
      <w:r>
        <w:rPr/>
        <w:t>treated</w:t>
      </w:r>
      <w:r>
        <w:rPr>
          <w:spacing w:val="-11"/>
        </w:rPr>
        <w:t> </w:t>
      </w:r>
      <w:r>
        <w:rPr/>
        <w:t>separately)</w:t>
      </w:r>
      <w:r>
        <w:rPr>
          <w:spacing w:val="-11"/>
        </w:rPr>
        <w:t> </w:t>
      </w:r>
      <w:r>
        <w:rPr/>
        <w:t>and by the underlying physical mechanism (e.g., seismic hazards). For example, the discussion of hazards to groundwater quality includes effects that arise directly from the effect of dissolved CO</w:t>
      </w:r>
      <w:r>
        <w:rPr>
          <w:position w:val="-6"/>
          <w:sz w:val="11"/>
        </w:rPr>
        <w:t>2 </w:t>
      </w:r>
      <w:r>
        <w:rPr/>
        <w:t>in groundwater, as well as indirect effects resulting from contamination by displaced brines.</w:t>
      </w:r>
    </w:p>
    <w:p>
      <w:pPr>
        <w:pStyle w:val="BodyText"/>
        <w:spacing w:line="240" w:lineRule="exact"/>
        <w:ind w:left="157" w:right="530" w:firstLine="283"/>
        <w:jc w:val="both"/>
      </w:pPr>
      <w:r>
        <w:rPr/>
        <w:t>Risks are proportional to the magnitude of the potential hazards and the probability that these hazards will occur. For hazards that arise from locally elevated CO</w:t>
      </w:r>
      <w:r>
        <w:rPr>
          <w:position w:val="-6"/>
          <w:sz w:val="11"/>
        </w:rPr>
        <w:t>2 </w:t>
      </w:r>
      <w:r>
        <w:rPr/>
        <w:t>concentrations –</w:t>
      </w:r>
      <w:r>
        <w:rPr>
          <w:spacing w:val="-29"/>
        </w:rPr>
        <w:t> </w:t>
      </w:r>
      <w:r>
        <w:rPr>
          <w:spacing w:val="-7"/>
        </w:rPr>
        <w:t>in </w:t>
      </w:r>
      <w:r>
        <w:rPr/>
        <w:t>the</w:t>
      </w:r>
      <w:r>
        <w:rPr>
          <w:spacing w:val="31"/>
        </w:rPr>
        <w:t> </w:t>
      </w:r>
      <w:r>
        <w:rPr/>
        <w:t>near-surface</w:t>
      </w:r>
      <w:r>
        <w:rPr>
          <w:spacing w:val="31"/>
        </w:rPr>
        <w:t> </w:t>
      </w:r>
      <w:r>
        <w:rPr/>
        <w:t>atmosphere,</w:t>
      </w:r>
      <w:r>
        <w:rPr>
          <w:spacing w:val="31"/>
        </w:rPr>
        <w:t> </w:t>
      </w:r>
      <w:r>
        <w:rPr/>
        <w:t>soil</w:t>
      </w:r>
      <w:r>
        <w:rPr>
          <w:spacing w:val="30"/>
        </w:rPr>
        <w:t> </w:t>
      </w:r>
      <w:r>
        <w:rPr/>
        <w:t>gas</w:t>
      </w:r>
      <w:r>
        <w:rPr>
          <w:spacing w:val="31"/>
        </w:rPr>
        <w:t> </w:t>
      </w:r>
      <w:r>
        <w:rPr/>
        <w:t>or</w:t>
      </w:r>
      <w:r>
        <w:rPr>
          <w:spacing w:val="32"/>
        </w:rPr>
        <w:t> </w:t>
      </w:r>
      <w:r>
        <w:rPr/>
        <w:t>in</w:t>
      </w:r>
      <w:r>
        <w:rPr>
          <w:spacing w:val="31"/>
        </w:rPr>
        <w:t> </w:t>
      </w:r>
      <w:r>
        <w:rPr/>
        <w:t>aqueous</w:t>
      </w:r>
      <w:r>
        <w:rPr>
          <w:spacing w:val="31"/>
        </w:rPr>
        <w:t> </w:t>
      </w:r>
      <w:r>
        <w:rPr/>
        <w:t>solution</w:t>
      </w:r>
    </w:p>
    <w:p>
      <w:pPr>
        <w:pStyle w:val="BodyText"/>
        <w:spacing w:line="249" w:lineRule="auto" w:before="5"/>
        <w:ind w:left="157" w:right="531"/>
        <w:jc w:val="both"/>
      </w:pPr>
      <w:r>
        <w:rPr/>
        <w:t>– the risks depend on the probability of leakage from the </w:t>
      </w:r>
      <w:r>
        <w:rPr>
          <w:spacing w:val="-3"/>
        </w:rPr>
        <w:t>deep </w:t>
      </w:r>
      <w:r>
        <w:rPr/>
        <w:t>storage site to the surface. Thus, most of the hazards described in</w:t>
      </w:r>
      <w:r>
        <w:rPr>
          <w:spacing w:val="-14"/>
        </w:rPr>
        <w:t> </w:t>
      </w:r>
      <w:r>
        <w:rPr/>
        <w:t>Section</w:t>
      </w:r>
      <w:r>
        <w:rPr>
          <w:spacing w:val="-14"/>
        </w:rPr>
        <w:t> </w:t>
      </w:r>
      <w:r>
        <w:rPr/>
        <w:t>5.7.4</w:t>
      </w:r>
      <w:r>
        <w:rPr>
          <w:spacing w:val="-13"/>
        </w:rPr>
        <w:t> </w:t>
      </w:r>
      <w:r>
        <w:rPr/>
        <w:t>should</w:t>
      </w:r>
      <w:r>
        <w:rPr>
          <w:spacing w:val="-14"/>
        </w:rPr>
        <w:t> </w:t>
      </w:r>
      <w:r>
        <w:rPr/>
        <w:t>be</w:t>
      </w:r>
      <w:r>
        <w:rPr>
          <w:spacing w:val="-14"/>
        </w:rPr>
        <w:t> </w:t>
      </w:r>
      <w:r>
        <w:rPr/>
        <w:t>weighted</w:t>
      </w:r>
      <w:r>
        <w:rPr>
          <w:spacing w:val="-14"/>
        </w:rPr>
        <w:t> </w:t>
      </w:r>
      <w:r>
        <w:rPr/>
        <w:t>by</w:t>
      </w:r>
      <w:r>
        <w:rPr>
          <w:spacing w:val="-13"/>
        </w:rPr>
        <w:t> </w:t>
      </w:r>
      <w:r>
        <w:rPr/>
        <w:t>the</w:t>
      </w:r>
      <w:r>
        <w:rPr>
          <w:spacing w:val="-14"/>
        </w:rPr>
        <w:t> </w:t>
      </w:r>
      <w:r>
        <w:rPr/>
        <w:t>probability</w:t>
      </w:r>
      <w:r>
        <w:rPr>
          <w:spacing w:val="-14"/>
        </w:rPr>
        <w:t> </w:t>
      </w:r>
      <w:r>
        <w:rPr/>
        <w:t>of</w:t>
      </w:r>
      <w:r>
        <w:rPr>
          <w:spacing w:val="-13"/>
        </w:rPr>
        <w:t> </w:t>
      </w:r>
      <w:r>
        <w:rPr/>
        <w:t>release described in Section 5.7.3. Regarding those risks associated with</w:t>
      </w:r>
      <w:r>
        <w:rPr>
          <w:spacing w:val="-16"/>
        </w:rPr>
        <w:t> </w:t>
      </w:r>
      <w:r>
        <w:rPr/>
        <w:t>routine</w:t>
      </w:r>
      <w:r>
        <w:rPr>
          <w:spacing w:val="-15"/>
        </w:rPr>
        <w:t> </w:t>
      </w:r>
      <w:r>
        <w:rPr/>
        <w:t>operation</w:t>
      </w:r>
      <w:r>
        <w:rPr>
          <w:spacing w:val="-15"/>
        </w:rPr>
        <w:t> </w:t>
      </w:r>
      <w:r>
        <w:rPr/>
        <w:t>of</w:t>
      </w:r>
      <w:r>
        <w:rPr>
          <w:spacing w:val="-15"/>
        </w:rPr>
        <w:t> </w:t>
      </w:r>
      <w:r>
        <w:rPr/>
        <w:t>the</w:t>
      </w:r>
      <w:r>
        <w:rPr>
          <w:spacing w:val="-15"/>
        </w:rPr>
        <w:t> </w:t>
      </w:r>
      <w:r>
        <w:rPr/>
        <w:t>facility</w:t>
      </w:r>
      <w:r>
        <w:rPr>
          <w:spacing w:val="-15"/>
        </w:rPr>
        <w:t> </w:t>
      </w:r>
      <w:r>
        <w:rPr/>
        <w:t>and</w:t>
      </w:r>
      <w:r>
        <w:rPr>
          <w:spacing w:val="-15"/>
        </w:rPr>
        <w:t> </w:t>
      </w:r>
      <w:r>
        <w:rPr/>
        <w:t>well</w:t>
      </w:r>
      <w:r>
        <w:rPr>
          <w:spacing w:val="-15"/>
        </w:rPr>
        <w:t> </w:t>
      </w:r>
      <w:r>
        <w:rPr/>
        <w:t>maintenance,</w:t>
      </w:r>
      <w:r>
        <w:rPr>
          <w:spacing w:val="-15"/>
        </w:rPr>
        <w:t> </w:t>
      </w:r>
      <w:r>
        <w:rPr/>
        <w:t>such risks are expected to be comparable to CO</w:t>
      </w:r>
      <w:r>
        <w:rPr>
          <w:position w:val="-6"/>
          <w:sz w:val="11"/>
        </w:rPr>
        <w:t>2</w:t>
      </w:r>
      <w:r>
        <w:rPr/>
        <w:t>-EOR operations.</w:t>
      </w:r>
    </w:p>
    <w:p>
      <w:pPr>
        <w:pStyle w:val="BodyText"/>
        <w:spacing w:line="184" w:lineRule="exact"/>
        <w:ind w:left="440"/>
        <w:jc w:val="both"/>
      </w:pPr>
      <w:r>
        <w:rPr/>
        <w:t>There are two important exceptions to the rule that risk is</w:t>
      </w:r>
    </w:p>
    <w:p>
      <w:pPr>
        <w:pStyle w:val="BodyText"/>
        <w:spacing w:line="240" w:lineRule="exact" w:before="5"/>
        <w:ind w:left="157" w:right="530"/>
        <w:jc w:val="both"/>
      </w:pPr>
      <w:r>
        <w:rPr/>
        <w:t>proportional to the probability of release. First, local impacts will be strongly dependent on the spatial and temporal distribution of fluxes and the resulting CO</w:t>
      </w:r>
      <w:r>
        <w:rPr>
          <w:position w:val="-6"/>
          <w:sz w:val="11"/>
        </w:rPr>
        <w:t>2 </w:t>
      </w:r>
      <w:r>
        <w:rPr/>
        <w:t>concentrations. Episodic and localized seepage will likely tend to have more significant impacts per unit of CO</w:t>
      </w:r>
      <w:r>
        <w:rPr>
          <w:position w:val="-6"/>
          <w:sz w:val="11"/>
        </w:rPr>
        <w:t>2 </w:t>
      </w:r>
      <w:r>
        <w:rPr/>
        <w:t>released than will seepage that is continuous and or spatially dispersed. Global impacts arising from release of CO</w:t>
      </w:r>
      <w:r>
        <w:rPr>
          <w:position w:val="-6"/>
          <w:sz w:val="11"/>
        </w:rPr>
        <w:t>2 </w:t>
      </w:r>
      <w:r>
        <w:rPr/>
        <w:t>to the atmosphere depend only on the average quantity released over time scales of decades to centuries. Second, the hazards arising from displacement, such as</w:t>
      </w:r>
      <w:r>
        <w:rPr>
          <w:spacing w:val="-7"/>
        </w:rPr>
        <w:t> </w:t>
      </w:r>
      <w:r>
        <w:rPr/>
        <w:t>the</w:t>
      </w:r>
      <w:r>
        <w:rPr>
          <w:spacing w:val="-7"/>
        </w:rPr>
        <w:t> </w:t>
      </w:r>
      <w:r>
        <w:rPr/>
        <w:t>risk</w:t>
      </w:r>
      <w:r>
        <w:rPr>
          <w:spacing w:val="-6"/>
        </w:rPr>
        <w:t> </w:t>
      </w:r>
      <w:r>
        <w:rPr/>
        <w:t>of</w:t>
      </w:r>
      <w:r>
        <w:rPr>
          <w:spacing w:val="-6"/>
        </w:rPr>
        <w:t> </w:t>
      </w:r>
      <w:r>
        <w:rPr/>
        <w:t>induced</w:t>
      </w:r>
      <w:r>
        <w:rPr>
          <w:spacing w:val="-7"/>
        </w:rPr>
        <w:t> </w:t>
      </w:r>
      <w:r>
        <w:rPr>
          <w:spacing w:val="-3"/>
        </w:rPr>
        <w:t>seismicity,</w:t>
      </w:r>
      <w:r>
        <w:rPr>
          <w:spacing w:val="-6"/>
        </w:rPr>
        <w:t> </w:t>
      </w:r>
      <w:r>
        <w:rPr/>
        <w:t>are</w:t>
      </w:r>
      <w:r>
        <w:rPr>
          <w:spacing w:val="-7"/>
        </w:rPr>
        <w:t> </w:t>
      </w:r>
      <w:r>
        <w:rPr/>
        <w:t>roughly</w:t>
      </w:r>
      <w:r>
        <w:rPr>
          <w:spacing w:val="-7"/>
        </w:rPr>
        <w:t> </w:t>
      </w:r>
      <w:r>
        <w:rPr/>
        <w:t>independent</w:t>
      </w:r>
      <w:r>
        <w:rPr>
          <w:spacing w:val="-7"/>
        </w:rPr>
        <w:t> </w:t>
      </w:r>
      <w:r>
        <w:rPr/>
        <w:t>of</w:t>
      </w:r>
      <w:r>
        <w:rPr>
          <w:spacing w:val="-6"/>
        </w:rPr>
        <w:t> </w:t>
      </w:r>
      <w:r>
        <w:rPr/>
        <w:t>the probability of release.</w:t>
      </w:r>
    </w:p>
    <w:p>
      <w:pPr>
        <w:pStyle w:val="BodyText"/>
        <w:spacing w:line="240" w:lineRule="exact"/>
        <w:ind w:left="157" w:right="530" w:firstLine="283"/>
        <w:jc w:val="both"/>
      </w:pPr>
      <w:r>
        <w:rPr/>
        <w:t>Although we have limited experience with injection of CO</w:t>
      </w:r>
      <w:r>
        <w:rPr>
          <w:position w:val="-6"/>
          <w:sz w:val="11"/>
        </w:rPr>
        <w:t>2 </w:t>
      </w:r>
      <w:r>
        <w:rPr/>
        <w:t>for the explicit purpose of avoiding atmospheric emissions, </w:t>
      </w:r>
      <w:r>
        <w:rPr>
          <w:spacing w:val="-15"/>
        </w:rPr>
        <w:t>a </w:t>
      </w:r>
      <w:r>
        <w:rPr/>
        <w:t>wealth of closely related industrial experience and scientific knowledge exists that can serve as a  basis  for  appropriate risk management. In addition to the discussion in this section, relevant industrial experience has been described in Sections 5.1 to 5.6.</w:t>
      </w:r>
    </w:p>
    <w:p>
      <w:pPr>
        <w:pStyle w:val="BodyText"/>
        <w:rPr>
          <w:sz w:val="23"/>
        </w:rPr>
      </w:pPr>
    </w:p>
    <w:p>
      <w:pPr>
        <w:pStyle w:val="Heading2"/>
        <w:numPr>
          <w:ilvl w:val="2"/>
          <w:numId w:val="7"/>
        </w:numPr>
        <w:tabs>
          <w:tab w:pos="976" w:val="left" w:leader="none"/>
          <w:tab w:pos="978" w:val="left" w:leader="none"/>
        </w:tabs>
        <w:spacing w:line="206" w:lineRule="auto" w:before="0" w:after="0"/>
        <w:ind w:left="976" w:right="752" w:hanging="820"/>
        <w:jc w:val="left"/>
      </w:pPr>
      <w:r>
        <w:rPr>
          <w:i/>
        </w:rPr>
        <w:t>Processes and pathways for release of CO</w:t>
      </w:r>
      <w:r>
        <w:rPr>
          <w:i/>
          <w:position w:val="-6"/>
          <w:sz w:val="11"/>
        </w:rPr>
        <w:t>2 </w:t>
      </w:r>
      <w:r>
        <w:rPr>
          <w:i/>
        </w:rPr>
        <w:t>from </w:t>
      </w:r>
      <w:r>
        <w:rPr/>
        <w:t>geological storage</w:t>
      </w:r>
      <w:r>
        <w:rPr>
          <w:spacing w:val="-2"/>
        </w:rPr>
        <w:t> </w:t>
      </w:r>
      <w:r>
        <w:rPr/>
        <w:t>sites</w:t>
      </w:r>
    </w:p>
    <w:p>
      <w:pPr>
        <w:pStyle w:val="BodyText"/>
        <w:spacing w:before="1"/>
        <w:rPr>
          <w:b/>
          <w:i/>
          <w:sz w:val="22"/>
        </w:rPr>
      </w:pPr>
    </w:p>
    <w:p>
      <w:pPr>
        <w:pStyle w:val="BodyText"/>
        <w:spacing w:line="249" w:lineRule="auto" w:before="1"/>
        <w:ind w:left="157" w:right="531"/>
        <w:jc w:val="both"/>
      </w:pPr>
      <w:r>
        <w:rPr/>
        <w:t>Carbon dioxide that exists as a separate phase (supercritical, liquid or gas) may escape from formations used for geological storage </w:t>
      </w:r>
      <w:hyperlink w:history="true" w:anchor="_bookmark40">
        <w:r>
          <w:rPr/>
          <w:t>through the following pathways (Figure</w:t>
        </w:r>
      </w:hyperlink>
      <w:r>
        <w:rPr/>
        <w:t> 5.25):</w:t>
      </w:r>
    </w:p>
    <w:p>
      <w:pPr>
        <w:pStyle w:val="ListParagraph"/>
        <w:numPr>
          <w:ilvl w:val="0"/>
          <w:numId w:val="6"/>
        </w:numPr>
        <w:tabs>
          <w:tab w:pos="441" w:val="left" w:leader="none"/>
        </w:tabs>
        <w:spacing w:line="225" w:lineRule="auto" w:before="0" w:after="0"/>
        <w:ind w:left="440" w:right="530" w:hanging="284"/>
        <w:jc w:val="both"/>
        <w:rPr>
          <w:sz w:val="20"/>
        </w:rPr>
      </w:pPr>
      <w:r>
        <w:rPr>
          <w:sz w:val="20"/>
        </w:rPr>
        <w:t>Through</w:t>
      </w:r>
      <w:r>
        <w:rPr>
          <w:spacing w:val="-9"/>
          <w:sz w:val="20"/>
        </w:rPr>
        <w:t> </w:t>
      </w:r>
      <w:r>
        <w:rPr>
          <w:sz w:val="20"/>
        </w:rPr>
        <w:t>the</w:t>
      </w:r>
      <w:r>
        <w:rPr>
          <w:spacing w:val="-8"/>
          <w:sz w:val="20"/>
        </w:rPr>
        <w:t> </w:t>
      </w:r>
      <w:r>
        <w:rPr>
          <w:sz w:val="20"/>
        </w:rPr>
        <w:t>pore</w:t>
      </w:r>
      <w:r>
        <w:rPr>
          <w:spacing w:val="-8"/>
          <w:sz w:val="20"/>
        </w:rPr>
        <w:t> </w:t>
      </w:r>
      <w:r>
        <w:rPr>
          <w:sz w:val="20"/>
        </w:rPr>
        <w:t>system</w:t>
      </w:r>
      <w:r>
        <w:rPr>
          <w:spacing w:val="-8"/>
          <w:sz w:val="20"/>
        </w:rPr>
        <w:t> </w:t>
      </w:r>
      <w:r>
        <w:rPr>
          <w:sz w:val="20"/>
        </w:rPr>
        <w:t>in</w:t>
      </w:r>
      <w:r>
        <w:rPr>
          <w:spacing w:val="-8"/>
          <w:sz w:val="20"/>
        </w:rPr>
        <w:t> </w:t>
      </w:r>
      <w:r>
        <w:rPr>
          <w:sz w:val="20"/>
        </w:rPr>
        <w:t>low-permeability</w:t>
      </w:r>
      <w:r>
        <w:rPr>
          <w:spacing w:val="-8"/>
          <w:sz w:val="20"/>
        </w:rPr>
        <w:t> </w:t>
      </w:r>
      <w:r>
        <w:rPr>
          <w:sz w:val="20"/>
        </w:rPr>
        <w:t>caprocks</w:t>
      </w:r>
      <w:r>
        <w:rPr>
          <w:spacing w:val="-9"/>
          <w:sz w:val="20"/>
        </w:rPr>
        <w:t> </w:t>
      </w:r>
      <w:r>
        <w:rPr>
          <w:sz w:val="20"/>
        </w:rPr>
        <w:t>such as shales, if the capillary entry pressure at which CO</w:t>
      </w:r>
      <w:r>
        <w:rPr>
          <w:position w:val="-6"/>
          <w:sz w:val="11"/>
        </w:rPr>
        <w:t>2 </w:t>
      </w:r>
      <w:r>
        <w:rPr>
          <w:sz w:val="20"/>
        </w:rPr>
        <w:t>may enter the caprock is exceeded;</w:t>
      </w:r>
    </w:p>
    <w:p>
      <w:pPr>
        <w:pStyle w:val="ListParagraph"/>
        <w:numPr>
          <w:ilvl w:val="0"/>
          <w:numId w:val="6"/>
        </w:numPr>
        <w:tabs>
          <w:tab w:pos="441" w:val="left" w:leader="none"/>
        </w:tabs>
        <w:spacing w:line="240" w:lineRule="exact" w:before="0" w:after="0"/>
        <w:ind w:left="440" w:right="0" w:hanging="284"/>
        <w:jc w:val="both"/>
        <w:rPr>
          <w:sz w:val="20"/>
        </w:rPr>
      </w:pPr>
      <w:r>
        <w:rPr>
          <w:sz w:val="20"/>
        </w:rPr>
        <w:t>Through openings in the caprock or fractures and faults;</w:t>
      </w:r>
    </w:p>
    <w:p>
      <w:pPr>
        <w:spacing w:after="0" w:line="240" w:lineRule="exact"/>
        <w:jc w:val="both"/>
        <w:rPr>
          <w:sz w:val="20"/>
        </w:rPr>
        <w:sectPr>
          <w:type w:val="continuous"/>
          <w:pgSz w:w="12240" w:h="15840"/>
          <w:pgMar w:top="400" w:bottom="280" w:left="580" w:right="600"/>
          <w:cols w:num="2" w:equalWidth="0">
            <w:col w:w="5255" w:space="71"/>
            <w:col w:w="5734"/>
          </w:cols>
        </w:sectPr>
      </w:pPr>
    </w:p>
    <w:p>
      <w:pPr>
        <w:pStyle w:val="BodyText"/>
      </w:pPr>
    </w:p>
    <w:p>
      <w:pPr>
        <w:spacing w:after="0"/>
        <w:sectPr>
          <w:pgSz w:w="12240" w:h="15840"/>
          <w:pgMar w:header="567" w:footer="0" w:top="760" w:bottom="280" w:left="580" w:right="600"/>
        </w:sectPr>
      </w:pPr>
    </w:p>
    <w:p>
      <w:pPr>
        <w:pStyle w:val="BodyText"/>
        <w:rPr>
          <w:sz w:val="21"/>
        </w:rPr>
      </w:pPr>
    </w:p>
    <w:p>
      <w:pPr>
        <w:pStyle w:val="ListParagraph"/>
        <w:numPr>
          <w:ilvl w:val="1"/>
          <w:numId w:val="6"/>
        </w:numPr>
        <w:tabs>
          <w:tab w:pos="838" w:val="left" w:leader="none"/>
        </w:tabs>
        <w:spacing w:line="240" w:lineRule="auto" w:before="0" w:after="0"/>
        <w:ind w:left="837" w:right="0" w:hanging="285"/>
        <w:jc w:val="left"/>
        <w:rPr>
          <w:sz w:val="20"/>
        </w:rPr>
      </w:pPr>
      <w:r>
        <w:rPr>
          <w:sz w:val="20"/>
        </w:rPr>
        <w:t>Through</w:t>
      </w:r>
      <w:r>
        <w:rPr>
          <w:spacing w:val="16"/>
          <w:sz w:val="20"/>
        </w:rPr>
        <w:t> </w:t>
      </w:r>
      <w:r>
        <w:rPr>
          <w:sz w:val="20"/>
        </w:rPr>
        <w:t>anthropomorphic</w:t>
      </w:r>
      <w:r>
        <w:rPr>
          <w:spacing w:val="17"/>
          <w:sz w:val="20"/>
        </w:rPr>
        <w:t> </w:t>
      </w:r>
      <w:r>
        <w:rPr>
          <w:sz w:val="20"/>
        </w:rPr>
        <w:t>pathways,</w:t>
      </w:r>
      <w:r>
        <w:rPr>
          <w:spacing w:val="16"/>
          <w:sz w:val="20"/>
        </w:rPr>
        <w:t> </w:t>
      </w:r>
      <w:r>
        <w:rPr>
          <w:sz w:val="20"/>
        </w:rPr>
        <w:t>such</w:t>
      </w:r>
      <w:r>
        <w:rPr>
          <w:spacing w:val="16"/>
          <w:sz w:val="20"/>
        </w:rPr>
        <w:t> </w:t>
      </w:r>
      <w:r>
        <w:rPr>
          <w:sz w:val="20"/>
        </w:rPr>
        <w:t>as</w:t>
      </w:r>
      <w:r>
        <w:rPr>
          <w:spacing w:val="17"/>
          <w:sz w:val="20"/>
        </w:rPr>
        <w:t> </w:t>
      </w:r>
      <w:r>
        <w:rPr>
          <w:spacing w:val="-3"/>
          <w:sz w:val="20"/>
        </w:rPr>
        <w:t>poorly</w:t>
      </w:r>
    </w:p>
    <w:p>
      <w:pPr>
        <w:pStyle w:val="BodyText"/>
        <w:spacing w:before="3"/>
        <w:rPr>
          <w:sz w:val="22"/>
        </w:rPr>
      </w:pPr>
      <w:r>
        <w:rPr/>
        <w:br w:type="column"/>
      </w:r>
      <w:r>
        <w:rPr>
          <w:sz w:val="22"/>
        </w:rPr>
      </w:r>
    </w:p>
    <w:p>
      <w:pPr>
        <w:pStyle w:val="BodyText"/>
        <w:spacing w:line="277" w:lineRule="exact"/>
        <w:ind w:left="242"/>
        <w:rPr>
          <w:sz w:val="11"/>
        </w:rPr>
      </w:pPr>
      <w:r>
        <w:rPr/>
        <w:t>into the water column. When </w:t>
      </w:r>
      <w:r>
        <w:rPr>
          <w:spacing w:val="-6"/>
        </w:rPr>
        <w:t>CO</w:t>
      </w:r>
      <w:r>
        <w:rPr>
          <w:spacing w:val="-6"/>
          <w:position w:val="-6"/>
          <w:sz w:val="11"/>
        </w:rPr>
        <w:t>2</w:t>
      </w:r>
    </w:p>
    <w:p>
      <w:pPr>
        <w:pStyle w:val="BodyText"/>
        <w:spacing w:before="3"/>
        <w:rPr>
          <w:sz w:val="22"/>
        </w:rPr>
      </w:pPr>
      <w:r>
        <w:rPr/>
        <w:br w:type="column"/>
      </w:r>
      <w:r>
        <w:rPr>
          <w:sz w:val="22"/>
        </w:rPr>
      </w:r>
    </w:p>
    <w:p>
      <w:pPr>
        <w:pStyle w:val="BodyText"/>
        <w:ind w:left="7"/>
      </w:pPr>
      <w:r>
        <w:rPr/>
        <w:t>dissolves, biological impacts</w:t>
      </w:r>
    </w:p>
    <w:p>
      <w:pPr>
        <w:spacing w:after="0"/>
        <w:sectPr>
          <w:type w:val="continuous"/>
          <w:pgSz w:w="12240" w:h="15840"/>
          <w:pgMar w:top="400" w:bottom="280" w:left="580" w:right="600"/>
          <w:cols w:num="3" w:equalWidth="0">
            <w:col w:w="5598" w:space="40"/>
            <w:col w:w="2939" w:space="39"/>
            <w:col w:w="2444"/>
          </w:cols>
        </w:sectPr>
      </w:pPr>
    </w:p>
    <w:p>
      <w:pPr>
        <w:pStyle w:val="BodyText"/>
        <w:spacing w:line="194" w:lineRule="exact"/>
        <w:ind w:left="837"/>
      </w:pPr>
      <w:r>
        <w:rPr/>
        <w:t>completed and/or abandoned pre-existing wells.</w:t>
      </w:r>
    </w:p>
    <w:p>
      <w:pPr>
        <w:pStyle w:val="BodyText"/>
        <w:spacing w:before="3"/>
        <w:rPr>
          <w:sz w:val="21"/>
        </w:rPr>
      </w:pPr>
    </w:p>
    <w:p>
      <w:pPr>
        <w:pStyle w:val="BodyText"/>
        <w:spacing w:line="240" w:lineRule="exact"/>
        <w:ind w:left="553"/>
        <w:jc w:val="both"/>
      </w:pPr>
      <w:r>
        <w:rPr/>
        <w:t>For onshore storage sites, CO</w:t>
      </w:r>
      <w:r>
        <w:rPr>
          <w:position w:val="-6"/>
          <w:sz w:val="11"/>
        </w:rPr>
        <w:t>2 </w:t>
      </w:r>
      <w:r>
        <w:rPr/>
        <w:t>that has leaked may reach the water table and migrate into the overlying vadose zone. This occurrence would likely include CO</w:t>
      </w:r>
      <w:r>
        <w:rPr>
          <w:position w:val="-6"/>
          <w:sz w:val="11"/>
        </w:rPr>
        <w:t>2 </w:t>
      </w:r>
      <w:r>
        <w:rPr/>
        <w:t>contact with drinking- water aquifers. Depending on the  mineral  composition  of  the rock matrix within the groundwater aquifer or vadose zone, the reaction of CO</w:t>
      </w:r>
      <w:r>
        <w:rPr>
          <w:position w:val="-6"/>
          <w:sz w:val="11"/>
        </w:rPr>
        <w:t>2 </w:t>
      </w:r>
      <w:r>
        <w:rPr/>
        <w:t>with the rock matrix could release contaminants. The US Environmental Protection Agency </w:t>
      </w:r>
      <w:r>
        <w:rPr>
          <w:spacing w:val="-3"/>
        </w:rPr>
        <w:t>(USEPA) </w:t>
      </w:r>
      <w:r>
        <w:rPr/>
        <w:t>has witnessed problems with projects designed to replenish</w:t>
      </w:r>
      <w:r>
        <w:rPr>
          <w:spacing w:val="-14"/>
        </w:rPr>
        <w:t> </w:t>
      </w:r>
      <w:r>
        <w:rPr/>
        <w:t>groundwater</w:t>
      </w:r>
      <w:r>
        <w:rPr>
          <w:spacing w:val="-13"/>
        </w:rPr>
        <w:t> </w:t>
      </w:r>
      <w:r>
        <w:rPr/>
        <w:t>with</w:t>
      </w:r>
      <w:r>
        <w:rPr>
          <w:spacing w:val="-13"/>
        </w:rPr>
        <w:t> </w:t>
      </w:r>
      <w:r>
        <w:rPr/>
        <w:t>rainfall</w:t>
      </w:r>
      <w:r>
        <w:rPr>
          <w:spacing w:val="-13"/>
        </w:rPr>
        <w:t> </w:t>
      </w:r>
      <w:r>
        <w:rPr/>
        <w:t>wherein</w:t>
      </w:r>
      <w:r>
        <w:rPr>
          <w:spacing w:val="-13"/>
        </w:rPr>
        <w:t> </w:t>
      </w:r>
      <w:r>
        <w:rPr/>
        <w:t>mineralized</w:t>
      </w:r>
      <w:r>
        <w:rPr>
          <w:spacing w:val="-13"/>
        </w:rPr>
        <w:t> </w:t>
      </w:r>
      <w:r>
        <w:rPr/>
        <w:t>(fixed) contaminants were inadvertently mobilized in concentrations sufficient to cause undesirable</w:t>
      </w:r>
      <w:r>
        <w:rPr>
          <w:spacing w:val="-4"/>
        </w:rPr>
        <w:t> </w:t>
      </w:r>
      <w:r>
        <w:rPr/>
        <w:t>contamination.</w:t>
      </w:r>
    </w:p>
    <w:p>
      <w:pPr>
        <w:pStyle w:val="BodyText"/>
        <w:spacing w:line="240" w:lineRule="exact"/>
        <w:ind w:left="553" w:firstLine="283"/>
        <w:jc w:val="both"/>
      </w:pPr>
      <w:r>
        <w:rPr/>
        <w:t>The vadose zone is only partly saturated with water; the rest of the pore space is filled with soil gas (air). Because it is heavier than air, CO</w:t>
      </w:r>
      <w:r>
        <w:rPr>
          <w:position w:val="-6"/>
          <w:sz w:val="11"/>
        </w:rPr>
        <w:t>2 </w:t>
      </w:r>
      <w:r>
        <w:rPr/>
        <w:t>will displace ambient soil gas, leading to concentrations that locally may potentially approach 100% </w:t>
      </w:r>
      <w:r>
        <w:rPr>
          <w:spacing w:val="-8"/>
        </w:rPr>
        <w:t>in </w:t>
      </w:r>
      <w:r>
        <w:rPr/>
        <w:t>parts of the vadose zone, even for small leakage fluxes. The dissipating</w:t>
      </w:r>
      <w:r>
        <w:rPr>
          <w:spacing w:val="-24"/>
        </w:rPr>
        <w:t> </w:t>
      </w:r>
      <w:r>
        <w:rPr/>
        <w:t>effects</w:t>
      </w:r>
      <w:r>
        <w:rPr>
          <w:spacing w:val="-24"/>
        </w:rPr>
        <w:t> </w:t>
      </w:r>
      <w:r>
        <w:rPr/>
        <w:t>of</w:t>
      </w:r>
      <w:r>
        <w:rPr>
          <w:spacing w:val="-23"/>
        </w:rPr>
        <w:t> </w:t>
      </w:r>
      <w:r>
        <w:rPr/>
        <w:t>seepage</w:t>
      </w:r>
      <w:r>
        <w:rPr>
          <w:spacing w:val="-24"/>
        </w:rPr>
        <w:t> </w:t>
      </w:r>
      <w:r>
        <w:rPr/>
        <w:t>into</w:t>
      </w:r>
      <w:r>
        <w:rPr>
          <w:spacing w:val="-24"/>
        </w:rPr>
        <w:t> </w:t>
      </w:r>
      <w:r>
        <w:rPr/>
        <w:t>the</w:t>
      </w:r>
      <w:r>
        <w:rPr>
          <w:spacing w:val="-23"/>
        </w:rPr>
        <w:t> </w:t>
      </w:r>
      <w:r>
        <w:rPr/>
        <w:t>surface</w:t>
      </w:r>
      <w:r>
        <w:rPr>
          <w:spacing w:val="-24"/>
        </w:rPr>
        <w:t> </w:t>
      </w:r>
      <w:r>
        <w:rPr/>
        <w:t>layer</w:t>
      </w:r>
      <w:r>
        <w:rPr>
          <w:spacing w:val="-24"/>
        </w:rPr>
        <w:t> </w:t>
      </w:r>
      <w:r>
        <w:rPr/>
        <w:t>are</w:t>
      </w:r>
      <w:r>
        <w:rPr>
          <w:spacing w:val="-23"/>
        </w:rPr>
        <w:t> </w:t>
      </w:r>
      <w:r>
        <w:rPr/>
        <w:t>controlled mostly by pressure-driven flow and diffusion (Oldenburg </w:t>
      </w:r>
      <w:r>
        <w:rPr>
          <w:spacing w:val="-4"/>
        </w:rPr>
        <w:t>and</w:t>
      </w:r>
      <w:bookmarkStart w:name="_bookmark40" w:id="87"/>
      <w:bookmarkEnd w:id="87"/>
      <w:r>
        <w:rPr>
          <w:spacing w:val="-4"/>
        </w:rPr>
      </w:r>
      <w:r>
        <w:rPr>
          <w:spacing w:val="-4"/>
        </w:rPr>
        <w:t> </w:t>
      </w:r>
      <w:r>
        <w:rPr>
          <w:spacing w:val="-3"/>
        </w:rPr>
        <w:t>Unger, </w:t>
      </w:r>
      <w:r>
        <w:rPr/>
        <w:t>2003). These occur predominantly in most shallow parts of the vadose zone, leaving the deeper part of the </w:t>
      </w:r>
      <w:r>
        <w:rPr>
          <w:spacing w:val="-3"/>
        </w:rPr>
        <w:t>vadose </w:t>
      </w:r>
      <w:r>
        <w:rPr/>
        <w:t>zone potentially subject to accumulation of leaking CO</w:t>
      </w:r>
      <w:r>
        <w:rPr>
          <w:position w:val="-6"/>
          <w:sz w:val="11"/>
        </w:rPr>
        <w:t>2</w:t>
      </w:r>
      <w:r>
        <w:rPr/>
        <w:t>. The processes</w:t>
      </w:r>
      <w:r>
        <w:rPr>
          <w:spacing w:val="-11"/>
        </w:rPr>
        <w:t> </w:t>
      </w:r>
      <w:r>
        <w:rPr/>
        <w:t>of</w:t>
      </w:r>
      <w:r>
        <w:rPr>
          <w:spacing w:val="-11"/>
        </w:rPr>
        <w:t> </w:t>
      </w:r>
      <w:r>
        <w:rPr/>
        <w:t>CO</w:t>
      </w:r>
      <w:r>
        <w:rPr>
          <w:position w:val="-6"/>
          <w:sz w:val="11"/>
        </w:rPr>
        <w:t>2</w:t>
      </w:r>
      <w:r>
        <w:rPr>
          <w:spacing w:val="11"/>
          <w:position w:val="-6"/>
          <w:sz w:val="11"/>
        </w:rPr>
        <w:t> </w:t>
      </w:r>
      <w:r>
        <w:rPr/>
        <w:t>migration</w:t>
      </w:r>
      <w:r>
        <w:rPr>
          <w:spacing w:val="-11"/>
        </w:rPr>
        <w:t> </w:t>
      </w:r>
      <w:r>
        <w:rPr/>
        <w:t>in</w:t>
      </w:r>
      <w:r>
        <w:rPr>
          <w:spacing w:val="-11"/>
        </w:rPr>
        <w:t> </w:t>
      </w:r>
      <w:r>
        <w:rPr/>
        <w:t>the</w:t>
      </w:r>
      <w:r>
        <w:rPr>
          <w:spacing w:val="-11"/>
        </w:rPr>
        <w:t> </w:t>
      </w:r>
      <w:r>
        <w:rPr/>
        <w:t>vadose</w:t>
      </w:r>
      <w:r>
        <w:rPr>
          <w:spacing w:val="-11"/>
        </w:rPr>
        <w:t> </w:t>
      </w:r>
      <w:r>
        <w:rPr/>
        <w:t>zone</w:t>
      </w:r>
      <w:r>
        <w:rPr>
          <w:spacing w:val="-11"/>
        </w:rPr>
        <w:t> </w:t>
      </w:r>
      <w:r>
        <w:rPr/>
        <w:t>can</w:t>
      </w:r>
      <w:r>
        <w:rPr>
          <w:spacing w:val="-11"/>
        </w:rPr>
        <w:t> </w:t>
      </w:r>
      <w:r>
        <w:rPr/>
        <w:t>be</w:t>
      </w:r>
      <w:r>
        <w:rPr>
          <w:spacing w:val="-11"/>
        </w:rPr>
        <w:t> </w:t>
      </w:r>
      <w:r>
        <w:rPr/>
        <w:t>modelled, subject to limitations in the characterization of actual complex vadose zone and CO</w:t>
      </w:r>
      <w:r>
        <w:rPr>
          <w:position w:val="-6"/>
          <w:sz w:val="11"/>
        </w:rPr>
        <w:t>2 </w:t>
      </w:r>
      <w:r>
        <w:rPr/>
        <w:t>leakage</w:t>
      </w:r>
      <w:r>
        <w:rPr>
          <w:spacing w:val="-6"/>
        </w:rPr>
        <w:t> </w:t>
      </w:r>
      <w:r>
        <w:rPr/>
        <w:t>scenarios.</w:t>
      </w:r>
    </w:p>
    <w:p>
      <w:pPr>
        <w:pStyle w:val="BodyText"/>
        <w:spacing w:line="240" w:lineRule="exact"/>
        <w:ind w:left="553" w:right="1" w:firstLine="283"/>
        <w:jc w:val="both"/>
      </w:pPr>
      <w:r>
        <w:rPr/>
        <w:t>For storage sites that are offshore, CO</w:t>
      </w:r>
      <w:r>
        <w:rPr>
          <w:position w:val="-6"/>
          <w:sz w:val="11"/>
        </w:rPr>
        <w:t>2 </w:t>
      </w:r>
      <w:r>
        <w:rPr/>
        <w:t>that has leaked may reach the ocean bottom sediments and then, if lighter than the surrounding </w:t>
      </w:r>
      <w:r>
        <w:rPr>
          <w:spacing w:val="-3"/>
        </w:rPr>
        <w:t>water, </w:t>
      </w:r>
      <w:r>
        <w:rPr/>
        <w:t>migrate up through the water column until it reaches the atmosphere. Depending upon the leakage rate, it may</w:t>
      </w:r>
      <w:r>
        <w:rPr>
          <w:spacing w:val="16"/>
        </w:rPr>
        <w:t> </w:t>
      </w:r>
      <w:r>
        <w:rPr/>
        <w:t>either</w:t>
      </w:r>
      <w:r>
        <w:rPr>
          <w:spacing w:val="16"/>
        </w:rPr>
        <w:t> </w:t>
      </w:r>
      <w:r>
        <w:rPr/>
        <w:t>remain</w:t>
      </w:r>
      <w:r>
        <w:rPr>
          <w:spacing w:val="16"/>
        </w:rPr>
        <w:t> </w:t>
      </w:r>
      <w:r>
        <w:rPr/>
        <w:t>as</w:t>
      </w:r>
      <w:r>
        <w:rPr>
          <w:spacing w:val="17"/>
        </w:rPr>
        <w:t> </w:t>
      </w:r>
      <w:r>
        <w:rPr/>
        <w:t>a</w:t>
      </w:r>
      <w:r>
        <w:rPr>
          <w:spacing w:val="17"/>
        </w:rPr>
        <w:t> </w:t>
      </w:r>
      <w:r>
        <w:rPr/>
        <w:t>separate</w:t>
      </w:r>
      <w:r>
        <w:rPr>
          <w:spacing w:val="16"/>
        </w:rPr>
        <w:t> </w:t>
      </w:r>
      <w:r>
        <w:rPr/>
        <w:t>phase</w:t>
      </w:r>
      <w:r>
        <w:rPr>
          <w:spacing w:val="16"/>
        </w:rPr>
        <w:t> </w:t>
      </w:r>
      <w:r>
        <w:rPr/>
        <w:t>or</w:t>
      </w:r>
      <w:r>
        <w:rPr>
          <w:spacing w:val="17"/>
        </w:rPr>
        <w:t> </w:t>
      </w:r>
      <w:r>
        <w:rPr/>
        <w:t>completely</w:t>
      </w:r>
      <w:r>
        <w:rPr>
          <w:spacing w:val="17"/>
        </w:rPr>
        <w:t> </w:t>
      </w:r>
      <w:r>
        <w:rPr/>
        <w:t>dissolve</w:t>
      </w:r>
    </w:p>
    <w:p>
      <w:pPr>
        <w:pStyle w:val="BodyText"/>
        <w:spacing w:line="194" w:lineRule="exact"/>
        <w:ind w:left="241"/>
        <w:jc w:val="both"/>
      </w:pPr>
      <w:r>
        <w:rPr/>
        <w:br w:type="column"/>
      </w:r>
      <w:r>
        <w:rPr/>
        <w:t>to ocean bottom and marine organisms will be of concern. For</w:t>
      </w:r>
    </w:p>
    <w:p>
      <w:pPr>
        <w:pStyle w:val="BodyText"/>
        <w:spacing w:line="225" w:lineRule="auto" w:before="18"/>
        <w:ind w:left="241" w:right="135"/>
        <w:jc w:val="both"/>
      </w:pPr>
      <w:r>
        <w:rPr/>
        <w:t>those</w:t>
      </w:r>
      <w:r>
        <w:rPr>
          <w:spacing w:val="-13"/>
        </w:rPr>
        <w:t> </w:t>
      </w:r>
      <w:r>
        <w:rPr/>
        <w:t>sites</w:t>
      </w:r>
      <w:r>
        <w:rPr>
          <w:spacing w:val="-13"/>
        </w:rPr>
        <w:t> </w:t>
      </w:r>
      <w:r>
        <w:rPr/>
        <w:t>where</w:t>
      </w:r>
      <w:r>
        <w:rPr>
          <w:spacing w:val="-13"/>
        </w:rPr>
        <w:t> </w:t>
      </w:r>
      <w:r>
        <w:rPr/>
        <w:t>separate-phase</w:t>
      </w:r>
      <w:r>
        <w:rPr>
          <w:spacing w:val="-13"/>
        </w:rPr>
        <w:t> </w:t>
      </w:r>
      <w:r>
        <w:rPr/>
        <w:t>CO</w:t>
      </w:r>
      <w:r>
        <w:rPr>
          <w:position w:val="-6"/>
          <w:sz w:val="11"/>
        </w:rPr>
        <w:t>2</w:t>
      </w:r>
      <w:r>
        <w:rPr>
          <w:spacing w:val="11"/>
          <w:position w:val="-6"/>
          <w:sz w:val="11"/>
        </w:rPr>
        <w:t> </w:t>
      </w:r>
      <w:r>
        <w:rPr/>
        <w:t>reaches</w:t>
      </w:r>
      <w:r>
        <w:rPr>
          <w:spacing w:val="-13"/>
        </w:rPr>
        <w:t> </w:t>
      </w:r>
      <w:r>
        <w:rPr/>
        <w:t>the</w:t>
      </w:r>
      <w:r>
        <w:rPr>
          <w:spacing w:val="-13"/>
        </w:rPr>
        <w:t> </w:t>
      </w:r>
      <w:r>
        <w:rPr/>
        <w:t>ocean</w:t>
      </w:r>
      <w:r>
        <w:rPr>
          <w:spacing w:val="-13"/>
        </w:rPr>
        <w:t> </w:t>
      </w:r>
      <w:r>
        <w:rPr/>
        <w:t>surface, hazards to offshore platform workers may be of concern for very large and sudden release</w:t>
      </w:r>
      <w:r>
        <w:rPr>
          <w:spacing w:val="-2"/>
        </w:rPr>
        <w:t> </w:t>
      </w:r>
      <w:r>
        <w:rPr/>
        <w:t>rates.</w:t>
      </w:r>
    </w:p>
    <w:p>
      <w:pPr>
        <w:pStyle w:val="BodyText"/>
        <w:spacing w:line="240" w:lineRule="exact" w:before="7"/>
        <w:ind w:left="241" w:right="132" w:firstLine="283"/>
        <w:jc w:val="both"/>
      </w:pPr>
      <w:r>
        <w:rPr/>
        <w:t>Once through the vadose zone, escaping CO</w:t>
      </w:r>
      <w:r>
        <w:rPr>
          <w:position w:val="-6"/>
          <w:sz w:val="11"/>
        </w:rPr>
        <w:t>2 </w:t>
      </w:r>
      <w:r>
        <w:rPr/>
        <w:t>reaches the surface layer of the atmosphere and the surface environment, where humans and other animals can be exposed to it. Carbon dioxide dispersion and mixing result from surface winds and associated</w:t>
      </w:r>
      <w:r>
        <w:rPr>
          <w:spacing w:val="-22"/>
        </w:rPr>
        <w:t> </w:t>
      </w:r>
      <w:r>
        <w:rPr/>
        <w:t>turbulence</w:t>
      </w:r>
      <w:r>
        <w:rPr>
          <w:spacing w:val="-22"/>
        </w:rPr>
        <w:t> </w:t>
      </w:r>
      <w:r>
        <w:rPr/>
        <w:t>and</w:t>
      </w:r>
      <w:r>
        <w:rPr>
          <w:spacing w:val="-22"/>
        </w:rPr>
        <w:t> </w:t>
      </w:r>
      <w:r>
        <w:rPr/>
        <w:t>eddies.</w:t>
      </w:r>
      <w:r>
        <w:rPr>
          <w:spacing w:val="-33"/>
        </w:rPr>
        <w:t> </w:t>
      </w:r>
      <w:r>
        <w:rPr/>
        <w:t>As</w:t>
      </w:r>
      <w:r>
        <w:rPr>
          <w:spacing w:val="-22"/>
        </w:rPr>
        <w:t> </w:t>
      </w:r>
      <w:r>
        <w:rPr/>
        <w:t>a</w:t>
      </w:r>
      <w:r>
        <w:rPr>
          <w:spacing w:val="-22"/>
        </w:rPr>
        <w:t> </w:t>
      </w:r>
      <w:r>
        <w:rPr/>
        <w:t>result,</w:t>
      </w:r>
      <w:r>
        <w:rPr>
          <w:spacing w:val="-22"/>
        </w:rPr>
        <w:t> </w:t>
      </w:r>
      <w:r>
        <w:rPr/>
        <w:t>CO</w:t>
      </w:r>
      <w:r>
        <w:rPr>
          <w:position w:val="-6"/>
          <w:sz w:val="11"/>
        </w:rPr>
        <w:t>2</w:t>
      </w:r>
      <w:r>
        <w:rPr>
          <w:spacing w:val="1"/>
          <w:position w:val="-6"/>
          <w:sz w:val="11"/>
        </w:rPr>
        <w:t> </w:t>
      </w:r>
      <w:r>
        <w:rPr/>
        <w:t>concentrations diminish rapidly with elevation, meaning that ground-dwelling animals are more likely to be affected by exposure than are humans (Oldenburg and </w:t>
      </w:r>
      <w:r>
        <w:rPr>
          <w:spacing w:val="-3"/>
        </w:rPr>
        <w:t>Unger, </w:t>
      </w:r>
      <w:r>
        <w:rPr/>
        <w:t>2004). Calm conditions and local topography capable of containing the dense gas will tend to prevent mixing. But such conditions are the exception and</w:t>
      </w:r>
      <w:r>
        <w:rPr>
          <w:spacing w:val="-33"/>
        </w:rPr>
        <w:t> </w:t>
      </w:r>
      <w:r>
        <w:rPr>
          <w:spacing w:val="-5"/>
        </w:rPr>
        <w:t>in </w:t>
      </w:r>
      <w:r>
        <w:rPr/>
        <w:t>general, the surface layer can be counted on to strongly dilute seeping</w:t>
      </w:r>
      <w:r>
        <w:rPr>
          <w:spacing w:val="-18"/>
        </w:rPr>
        <w:t> </w:t>
      </w:r>
      <w:r>
        <w:rPr/>
        <w:t>CO</w:t>
      </w:r>
      <w:r>
        <w:rPr>
          <w:position w:val="-6"/>
          <w:sz w:val="11"/>
        </w:rPr>
        <w:t>2</w:t>
      </w:r>
      <w:r>
        <w:rPr/>
        <w:t>.</w:t>
      </w:r>
      <w:r>
        <w:rPr>
          <w:spacing w:val="-18"/>
        </w:rPr>
        <w:t> </w:t>
      </w:r>
      <w:r>
        <w:rPr/>
        <w:t>Nevertheless,</w:t>
      </w:r>
      <w:r>
        <w:rPr>
          <w:spacing w:val="-18"/>
        </w:rPr>
        <w:t> </w:t>
      </w:r>
      <w:r>
        <w:rPr/>
        <w:t>potential</w:t>
      </w:r>
      <w:r>
        <w:rPr>
          <w:spacing w:val="-18"/>
        </w:rPr>
        <w:t> </w:t>
      </w:r>
      <w:r>
        <w:rPr/>
        <w:t>concerns</w:t>
      </w:r>
      <w:r>
        <w:rPr>
          <w:spacing w:val="-18"/>
        </w:rPr>
        <w:t> </w:t>
      </w:r>
      <w:r>
        <w:rPr/>
        <w:t>related</w:t>
      </w:r>
      <w:r>
        <w:rPr>
          <w:spacing w:val="-18"/>
        </w:rPr>
        <w:t> </w:t>
      </w:r>
      <w:r>
        <w:rPr/>
        <w:t>to</w:t>
      </w:r>
      <w:r>
        <w:rPr>
          <w:spacing w:val="-18"/>
        </w:rPr>
        <w:t> </w:t>
      </w:r>
      <w:r>
        <w:rPr/>
        <w:t>buildup of</w:t>
      </w:r>
      <w:r>
        <w:rPr>
          <w:spacing w:val="-22"/>
        </w:rPr>
        <w:t> </w:t>
      </w:r>
      <w:r>
        <w:rPr/>
        <w:t>CO</w:t>
      </w:r>
      <w:r>
        <w:rPr>
          <w:position w:val="-6"/>
          <w:sz w:val="11"/>
        </w:rPr>
        <w:t>2 </w:t>
      </w:r>
      <w:r>
        <w:rPr/>
        <w:t>concentrations</w:t>
      </w:r>
      <w:r>
        <w:rPr>
          <w:spacing w:val="-22"/>
        </w:rPr>
        <w:t> </w:t>
      </w:r>
      <w:r>
        <w:rPr/>
        <w:t>on</w:t>
      </w:r>
      <w:r>
        <w:rPr>
          <w:spacing w:val="-22"/>
        </w:rPr>
        <w:t> </w:t>
      </w:r>
      <w:r>
        <w:rPr/>
        <w:t>calm</w:t>
      </w:r>
      <w:r>
        <w:rPr>
          <w:spacing w:val="-22"/>
        </w:rPr>
        <w:t> </w:t>
      </w:r>
      <w:r>
        <w:rPr/>
        <w:t>days</w:t>
      </w:r>
      <w:r>
        <w:rPr>
          <w:spacing w:val="-22"/>
        </w:rPr>
        <w:t> </w:t>
      </w:r>
      <w:r>
        <w:rPr/>
        <w:t>must</w:t>
      </w:r>
      <w:r>
        <w:rPr>
          <w:spacing w:val="-21"/>
        </w:rPr>
        <w:t> </w:t>
      </w:r>
      <w:r>
        <w:rPr/>
        <w:t>be</w:t>
      </w:r>
      <w:r>
        <w:rPr>
          <w:spacing w:val="-22"/>
        </w:rPr>
        <w:t> </w:t>
      </w:r>
      <w:r>
        <w:rPr/>
        <w:t>carefully</w:t>
      </w:r>
      <w:r>
        <w:rPr>
          <w:spacing w:val="-22"/>
        </w:rPr>
        <w:t> </w:t>
      </w:r>
      <w:r>
        <w:rPr/>
        <w:t>considered in any risk assessment of a CO</w:t>
      </w:r>
      <w:r>
        <w:rPr>
          <w:position w:val="-6"/>
          <w:sz w:val="11"/>
        </w:rPr>
        <w:t>2 </w:t>
      </w:r>
      <w:r>
        <w:rPr/>
        <w:t>storage site. Additionally, high subsurface CO</w:t>
      </w:r>
      <w:r>
        <w:rPr>
          <w:position w:val="-6"/>
          <w:sz w:val="11"/>
        </w:rPr>
        <w:t>2 </w:t>
      </w:r>
      <w:r>
        <w:rPr/>
        <w:t>concentrations may accumulate in basements, subsurface vaults and other subsurface infrastructures where humans may be exposed to risk.</w:t>
      </w:r>
    </w:p>
    <w:p>
      <w:pPr>
        <w:pStyle w:val="BodyText"/>
        <w:spacing w:line="240" w:lineRule="exact"/>
        <w:ind w:left="241" w:right="133" w:firstLine="283"/>
        <w:jc w:val="both"/>
      </w:pPr>
      <w:r>
        <w:rPr/>
        <w:t>Carbon dioxide injected into coal seams can escape only   if it is in free phase (i.e., not adsorbed onto the coal) via </w:t>
      </w:r>
      <w:r>
        <w:rPr>
          <w:spacing w:val="-4"/>
        </w:rPr>
        <w:t>the </w:t>
      </w:r>
      <w:r>
        <w:rPr/>
        <w:t>following</w:t>
      </w:r>
      <w:r>
        <w:rPr>
          <w:spacing w:val="-6"/>
        </w:rPr>
        <w:t> </w:t>
      </w:r>
      <w:r>
        <w:rPr/>
        <w:t>pathways</w:t>
      </w:r>
      <w:r>
        <w:rPr>
          <w:spacing w:val="-5"/>
        </w:rPr>
        <w:t> </w:t>
      </w:r>
      <w:r>
        <w:rPr>
          <w:spacing w:val="-6"/>
        </w:rPr>
        <w:t>(Wo</w:t>
      </w:r>
      <w:r>
        <w:rPr>
          <w:spacing w:val="-5"/>
        </w:rPr>
        <w:t> </w:t>
      </w:r>
      <w:r>
        <w:rPr/>
        <w:t>and</w:t>
      </w:r>
      <w:r>
        <w:rPr>
          <w:spacing w:val="-6"/>
        </w:rPr>
        <w:t> </w:t>
      </w:r>
      <w:r>
        <w:rPr/>
        <w:t>Liang</w:t>
      </w:r>
      <w:r>
        <w:rPr>
          <w:spacing w:val="-5"/>
        </w:rPr>
        <w:t> </w:t>
      </w:r>
      <w:r>
        <w:rPr/>
        <w:t>2005;</w:t>
      </w:r>
      <w:r>
        <w:rPr>
          <w:spacing w:val="-9"/>
        </w:rPr>
        <w:t> </w:t>
      </w:r>
      <w:r>
        <w:rPr>
          <w:spacing w:val="-8"/>
        </w:rPr>
        <w:t>Wo</w:t>
      </w:r>
      <w:r>
        <w:rPr>
          <w:spacing w:val="-5"/>
        </w:rPr>
        <w:t> </w:t>
      </w:r>
      <w:r>
        <w:rPr>
          <w:i/>
        </w:rPr>
        <w:t>et</w:t>
      </w:r>
      <w:r>
        <w:rPr>
          <w:i/>
          <w:spacing w:val="-6"/>
        </w:rPr>
        <w:t> </w:t>
      </w:r>
      <w:r>
        <w:rPr>
          <w:i/>
        </w:rPr>
        <w:t>al.</w:t>
      </w:r>
      <w:r>
        <w:rPr>
          <w:i/>
          <w:spacing w:val="-5"/>
        </w:rPr>
        <w:t> </w:t>
      </w:r>
      <w:r>
        <w:rPr/>
        <w:t>2005):</w:t>
      </w:r>
      <w:r>
        <w:rPr>
          <w:spacing w:val="-5"/>
        </w:rPr>
        <w:t> </w:t>
      </w:r>
      <w:r>
        <w:rPr/>
        <w:t>flow into</w:t>
      </w:r>
      <w:r>
        <w:rPr>
          <w:spacing w:val="-12"/>
        </w:rPr>
        <w:t> </w:t>
      </w:r>
      <w:r>
        <w:rPr/>
        <w:t>surrounding</w:t>
      </w:r>
      <w:r>
        <w:rPr>
          <w:spacing w:val="-11"/>
        </w:rPr>
        <w:t> </w:t>
      </w:r>
      <w:r>
        <w:rPr/>
        <w:t>strata</w:t>
      </w:r>
      <w:r>
        <w:rPr>
          <w:spacing w:val="-11"/>
        </w:rPr>
        <w:t> </w:t>
      </w:r>
      <w:r>
        <w:rPr/>
        <w:t>during</w:t>
      </w:r>
      <w:r>
        <w:rPr>
          <w:spacing w:val="-11"/>
        </w:rPr>
        <w:t> </w:t>
      </w:r>
      <w:r>
        <w:rPr/>
        <w:t>injection</w:t>
      </w:r>
      <w:r>
        <w:rPr>
          <w:spacing w:val="-11"/>
        </w:rPr>
        <w:t> </w:t>
      </w:r>
      <w:r>
        <w:rPr/>
        <w:t>when</w:t>
      </w:r>
      <w:r>
        <w:rPr>
          <w:spacing w:val="-11"/>
        </w:rPr>
        <w:t> </w:t>
      </w:r>
      <w:r>
        <w:rPr/>
        <w:t>high</w:t>
      </w:r>
      <w:r>
        <w:rPr>
          <w:spacing w:val="-11"/>
        </w:rPr>
        <w:t> </w:t>
      </w:r>
      <w:r>
        <w:rPr/>
        <w:t>pressures</w:t>
      </w:r>
      <w:r>
        <w:rPr>
          <w:spacing w:val="-11"/>
        </w:rPr>
        <w:t> </w:t>
      </w:r>
      <w:r>
        <w:rPr/>
        <w:t>are used to inject CO</w:t>
      </w:r>
      <w:r>
        <w:rPr>
          <w:position w:val="-6"/>
          <w:sz w:val="11"/>
        </w:rPr>
        <w:t>2 </w:t>
      </w:r>
      <w:r>
        <w:rPr/>
        <w:t>into low-permeability coal, either where the cleat system reaches the top of the seam or via hydrofractures induced to improve the contact between the cleat system and CBM</w:t>
      </w:r>
      <w:r>
        <w:rPr>
          <w:spacing w:val="-14"/>
        </w:rPr>
        <w:t> </w:t>
      </w:r>
      <w:r>
        <w:rPr/>
        <w:t>production</w:t>
      </w:r>
      <w:r>
        <w:rPr>
          <w:spacing w:val="-14"/>
        </w:rPr>
        <w:t> </w:t>
      </w:r>
      <w:r>
        <w:rPr/>
        <w:t>wells;</w:t>
      </w:r>
      <w:r>
        <w:rPr>
          <w:spacing w:val="-13"/>
        </w:rPr>
        <w:t> </w:t>
      </w:r>
      <w:r>
        <w:rPr/>
        <w:t>through</w:t>
      </w:r>
      <w:r>
        <w:rPr>
          <w:spacing w:val="-14"/>
        </w:rPr>
        <w:t> </w:t>
      </w:r>
      <w:r>
        <w:rPr/>
        <w:t>faults</w:t>
      </w:r>
      <w:r>
        <w:rPr>
          <w:spacing w:val="-13"/>
        </w:rPr>
        <w:t> </w:t>
      </w:r>
      <w:r>
        <w:rPr/>
        <w:t>or</w:t>
      </w:r>
      <w:r>
        <w:rPr>
          <w:spacing w:val="-14"/>
        </w:rPr>
        <w:t> </w:t>
      </w:r>
      <w:r>
        <w:rPr/>
        <w:t>other</w:t>
      </w:r>
      <w:r>
        <w:rPr>
          <w:spacing w:val="-14"/>
        </w:rPr>
        <w:t> </w:t>
      </w:r>
      <w:r>
        <w:rPr/>
        <w:t>natural</w:t>
      </w:r>
      <w:r>
        <w:rPr>
          <w:spacing w:val="-13"/>
        </w:rPr>
        <w:t> </w:t>
      </w:r>
      <w:r>
        <w:rPr/>
        <w:t>pathways intersecting the coal seam; via poorly abandoned coal or CBM exploration</w:t>
      </w:r>
      <w:r>
        <w:rPr>
          <w:spacing w:val="-12"/>
        </w:rPr>
        <w:t> </w:t>
      </w:r>
      <w:r>
        <w:rPr/>
        <w:t>wells;</w:t>
      </w:r>
      <w:r>
        <w:rPr>
          <w:spacing w:val="-11"/>
        </w:rPr>
        <w:t> </w:t>
      </w:r>
      <w:r>
        <w:rPr/>
        <w:t>and</w:t>
      </w:r>
      <w:r>
        <w:rPr>
          <w:spacing w:val="-12"/>
        </w:rPr>
        <w:t> </w:t>
      </w:r>
      <w:r>
        <w:rPr/>
        <w:t>through</w:t>
      </w:r>
      <w:r>
        <w:rPr>
          <w:spacing w:val="-11"/>
        </w:rPr>
        <w:t> </w:t>
      </w:r>
      <w:r>
        <w:rPr/>
        <w:t>anthropomorphic</w:t>
      </w:r>
      <w:r>
        <w:rPr>
          <w:spacing w:val="-11"/>
        </w:rPr>
        <w:t> </w:t>
      </w:r>
      <w:r>
        <w:rPr/>
        <w:t>pathways</w:t>
      </w:r>
      <w:r>
        <w:rPr>
          <w:spacing w:val="-12"/>
        </w:rPr>
        <w:t> </w:t>
      </w:r>
      <w:r>
        <w:rPr/>
        <w:t>such</w:t>
      </w:r>
    </w:p>
    <w:p>
      <w:pPr>
        <w:spacing w:after="0" w:line="240" w:lineRule="exact"/>
        <w:jc w:val="both"/>
        <w:sectPr>
          <w:type w:val="continuous"/>
          <w:pgSz w:w="12240" w:h="15840"/>
          <w:pgMar w:top="400" w:bottom="280" w:left="580" w:right="600"/>
          <w:cols w:num="2" w:equalWidth="0">
            <w:col w:w="5599" w:space="40"/>
            <w:col w:w="5421"/>
          </w:cols>
        </w:sectPr>
      </w:pPr>
    </w:p>
    <w:p>
      <w:pPr>
        <w:pStyle w:val="BodyText"/>
        <w:spacing w:before="3"/>
        <w:rPr>
          <w:sz w:val="22"/>
        </w:rPr>
      </w:pPr>
    </w:p>
    <w:p>
      <w:pPr>
        <w:pStyle w:val="BodyText"/>
        <w:ind w:left="548"/>
      </w:pPr>
      <w:r>
        <w:rPr/>
        <w:pict>
          <v:group style="width:519pt;height:259.5pt;mso-position-horizontal-relative:char;mso-position-vertical-relative:line" coordorigin="0,0" coordsize="10380,5190">
            <v:shape style="position:absolute;left:1439;top:3012;width:1005;height:1141" type="#_x0000_t75" stroked="false">
              <v:imagedata r:id="rId230" o:title=""/>
            </v:shape>
            <v:shape style="position:absolute;left:2530;top:3012;width:1005;height:1141" type="#_x0000_t75" stroked="false">
              <v:imagedata r:id="rId231" o:title=""/>
            </v:shape>
            <v:shape style="position:absolute;left:3620;top:2799;width:3186;height:1354" type="#_x0000_t75" stroked="false">
              <v:imagedata r:id="rId232" o:title=""/>
            </v:shape>
            <v:shape style="position:absolute;left:7982;top:3012;width:1005;height:1141" type="#_x0000_t75" stroked="false">
              <v:imagedata r:id="rId233" o:title=""/>
            </v:shape>
            <v:shape style="position:absolute;left:6892;top:3012;width:1005;height:1141" type="#_x0000_t75" stroked="false">
              <v:imagedata r:id="rId234" o:title=""/>
            </v:shape>
            <v:shape style="position:absolute;left:4491;top:4289;width:1450;height:114" type="#_x0000_t75" stroked="false">
              <v:imagedata r:id="rId235" o:title=""/>
            </v:shape>
            <v:shape style="position:absolute;left:1924;top:788;width:6578;height:1796" type="#_x0000_t75" stroked="false">
              <v:imagedata r:id="rId236" o:title=""/>
            </v:shape>
            <v:shape style="position:absolute;left:2671;top:1535;width:1093;height:196" type="#_x0000_t75" stroked="false">
              <v:imagedata r:id="rId237" o:title=""/>
            </v:shape>
            <v:shape style="position:absolute;left:5942;top:1935;width:461;height:197" coordorigin="5943,1936" coordsize="461,197" path="m5943,1936l6093,1996,6191,2037,6280,2076,6403,2132e" filled="false" stroked="true" strokeweight=".624pt" strokecolor="#1d2d28">
              <v:path arrowok="t"/>
              <v:stroke dashstyle="solid"/>
            </v:shape>
            <v:shape style="position:absolute;left:6382;top:2103;width:83;height:55" coordorigin="6382,2104" coordsize="83,55" path="m6401,2104l6382,2143,6465,2158,6401,2104xe" filled="true" fillcolor="#1d2d28" stroked="false">
              <v:path arrowok="t"/>
              <v:fill type="solid"/>
            </v:shape>
            <v:shape style="position:absolute;left:6616;top:2056;width:442;height:133" type="#_x0000_t75" stroked="false">
              <v:imagedata r:id="rId238" o:title=""/>
            </v:shape>
            <v:shape style="position:absolute;left:7143;top:1784;width:328;height:220" type="#_x0000_t75" stroked="false">
              <v:imagedata r:id="rId239" o:title=""/>
            </v:shape>
            <v:shape style="position:absolute;left:2149;top:1051;width:2887;height:1278" type="#_x0000_t75" stroked="false">
              <v:imagedata r:id="rId240" o:title=""/>
            </v:shape>
            <v:shape style="position:absolute;left:5365;top:1067;width:44;height:82" coordorigin="5365,1068" coordsize="44,82" path="m5389,1068l5365,1149,5409,1150,5389,1068xe" filled="true" fillcolor="#1d2d28" stroked="false">
              <v:path arrowok="t"/>
              <v:fill type="solid"/>
            </v:shape>
            <v:line style="position:absolute" from="5387,1690" to="5387,1113" stroked="true" strokeweight=".624pt" strokecolor="#1d2d28">
              <v:stroke dashstyle="solid"/>
            </v:line>
            <v:shape style="position:absolute;left:2100;top:117;width:2045;height:701" type="#_x0000_t75" stroked="false">
              <v:imagedata r:id="rId241" o:title=""/>
            </v:shape>
            <v:shape style="position:absolute;left:4117;top:1592;width:44;height:82" coordorigin="4117,1592" coordsize="44,82" path="m4117,1592l4137,1674,4161,1594,4117,1592xe" filled="true" fillcolor="#1d2d28" stroked="false">
              <v:path arrowok="t"/>
              <v:fill type="solid"/>
            </v:shape>
            <v:line style="position:absolute" from="4139,1052" to="4139,1629" stroked="true" strokeweight=".624pt" strokecolor="#1d2d28">
              <v:stroke dashstyle="solid"/>
            </v:line>
            <v:shape style="position:absolute;left:1980;top:1576;width:44;height:82" coordorigin="1980,1577" coordsize="44,82" path="m1980,1577l2000,1659,2024,1578,1980,1577xe" filled="true" fillcolor="#1d2d28" stroked="false">
              <v:path arrowok="t"/>
              <v:fill type="solid"/>
            </v:shape>
            <v:line style="position:absolute" from="2002,1037" to="2002,1614" stroked="true" strokeweight=".624pt" strokecolor="#1d2d28">
              <v:stroke dashstyle="solid"/>
            </v:line>
            <v:shape style="position:absolute;left:5486;top:1783;width:61;height:89" coordorigin="5486,1784" coordsize="61,89" path="m5547,1784l5486,1784,5486,1872,5504,1872,5504,1834,5541,1834,5541,1819,5504,1819,5504,1799,5547,1799,5547,1784xe" filled="true" fillcolor="#000000" stroked="false">
              <v:path arrowok="t"/>
              <v:fill type="solid"/>
            </v:shape>
            <v:shape style="position:absolute;left:2551;top:1537;width:89;height:89" coordorigin="2552,1538" coordsize="89,89" path="m2605,1538l2586,1538,2552,1626,2571,1626,2578,1606,2633,1606,2627,1591,2584,1591,2596,1558,2613,1558,2605,1538xm2633,1606l2614,1606,2622,1626,2641,1626,2633,1606xm2613,1558l2596,1558,2608,1591,2627,1591,2613,1558xe" filled="true" fillcolor="#000000" stroked="false">
              <v:path arrowok="t"/>
              <v:fill type="solid"/>
            </v:shape>
            <v:shape style="position:absolute;left:4211;top:1494;width:74;height:89" coordorigin="4212,1495" coordsize="74,89" path="m4251,1495l4212,1495,4212,1583,4252,1583,4257,1582,4266,1579,4270,1577,4277,1570,4279,1568,4229,1568,4229,1509,4278,1509,4278,1508,4270,1500,4266,1498,4257,1495,4251,1495xm4278,1509l4245,1509,4250,1510,4255,1511,4258,1512,4262,1516,4264,1519,4267,1527,4267,1531,4267,1547,4267,1551,4264,1559,4263,1562,4259,1565,4256,1566,4251,1568,4248,1568,4279,1568,4281,1565,4285,1553,4285,1547,4285,1531,4284,1524,4281,1513,4278,1509xe" filled="true" fillcolor="#000000" stroked="false">
              <v:path arrowok="t"/>
              <v:fill type="solid"/>
            </v:shape>
            <v:shape style="position:absolute;left:5463;top:1117;width:68;height:89" coordorigin="5464,1118" coordsize="68,89" path="m5529,1118l5464,1118,5464,1206,5531,1206,5531,1191,5481,1191,5481,1167,5526,1167,5526,1152,5481,1152,5481,1133,5529,1133,5529,1118xe" filled="true" fillcolor="#000000" stroked="false">
              <v:path arrowok="t"/>
              <v:fill type="solid"/>
            </v:shape>
            <v:shape style="position:absolute;left:7526;top:1657;width:83;height:92" coordorigin="7527,1657" coordsize="83,92" path="m7581,1657l7562,1657,7555,1659,7542,1665,7536,1671,7529,1685,7527,1693,7527,1711,7528,1719,7535,1734,7540,1739,7554,1747,7562,1749,7579,1749,7586,1747,7600,1742,7606,1739,7609,1735,7609,1733,7563,1733,7557,1731,7547,1720,7545,1712,7545,1692,7547,1685,7556,1675,7563,1673,7605,1673,7602,1669,7590,1659,7581,1657xm7609,1700l7571,1700,7571,1715,7592,1715,7592,1726,7589,1728,7586,1730,7578,1733,7574,1733,7609,1733,7609,1700xm7605,1673l7576,1673,7580,1674,7587,1679,7589,1682,7590,1687,7608,1683,7606,1675,7605,1673xe" filled="true" fillcolor="#000000" stroked="false">
              <v:path arrowok="t"/>
              <v:fill type="solid"/>
            </v:shape>
            <v:shape style="position:absolute;left:5443;top:1363;width:353;height:103" type="#_x0000_t75" stroked="false">
              <v:imagedata r:id="rId242" o:title=""/>
            </v:shape>
            <v:shape style="position:absolute;left:1437;top:4504;width:1010;height:546" type="#_x0000_t75" stroked="false">
              <v:imagedata r:id="rId243" o:title=""/>
            </v:shape>
            <v:shape style="position:absolute;left:2527;top:4504;width:1010;height:546" type="#_x0000_t75" stroked="false">
              <v:imagedata r:id="rId244" o:title=""/>
            </v:shape>
            <v:shape style="position:absolute;left:3618;top:4504;width:1010;height:546" type="#_x0000_t75" stroked="false">
              <v:imagedata r:id="rId245" o:title=""/>
            </v:shape>
            <v:shape style="position:absolute;left:4708;top:4504;width:1010;height:546" type="#_x0000_t75" stroked="false">
              <v:imagedata r:id="rId246" o:title=""/>
            </v:shape>
            <v:shape style="position:absolute;left:5799;top:4504;width:1010;height:546" type="#_x0000_t75" stroked="false">
              <v:imagedata r:id="rId247" o:title=""/>
            </v:shape>
            <v:shape style="position:absolute;left:6889;top:4504;width:1010;height:546" type="#_x0000_t75" stroked="false">
              <v:imagedata r:id="rId248" o:title=""/>
            </v:shape>
            <v:shape style="position:absolute;left:7980;top:4504;width:1010;height:546" type="#_x0000_t75" stroked="false">
              <v:imagedata r:id="rId249" o:title=""/>
            </v:shape>
            <v:rect style="position:absolute;left:5;top:5;width:10370;height:5180" filled="false" stroked="true" strokeweight=".5pt" strokecolor="#000000">
              <v:stroke dashstyle="solid"/>
            </v:rect>
          </v:group>
        </w:pict>
      </w:r>
      <w:r>
        <w:rPr/>
      </w:r>
    </w:p>
    <w:p>
      <w:pPr>
        <w:spacing w:before="52"/>
        <w:ind w:left="553" w:right="0" w:firstLine="0"/>
        <w:jc w:val="left"/>
        <w:rPr>
          <w:sz w:val="18"/>
        </w:rPr>
      </w:pPr>
      <w:r>
        <w:rPr>
          <w:b/>
          <w:sz w:val="18"/>
        </w:rPr>
        <w:t>Figure 5.25 </w:t>
      </w:r>
      <w:r>
        <w:rPr>
          <w:sz w:val="18"/>
        </w:rPr>
        <w:t>Some potential escape routes for CO</w:t>
      </w:r>
      <w:r>
        <w:rPr>
          <w:position w:val="-5"/>
          <w:sz w:val="10"/>
        </w:rPr>
        <w:t>2 </w:t>
      </w:r>
      <w:r>
        <w:rPr>
          <w:sz w:val="18"/>
        </w:rPr>
        <w:t>injected into saline formations.</w:t>
      </w:r>
    </w:p>
    <w:p>
      <w:pPr>
        <w:spacing w:after="0"/>
        <w:jc w:val="left"/>
        <w:rPr>
          <w:sz w:val="18"/>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before="63"/>
        <w:ind w:left="157"/>
        <w:jc w:val="both"/>
      </w:pPr>
      <w:bookmarkStart w:name="5.7.3 Probability of release from geolog" w:id="88"/>
      <w:bookmarkEnd w:id="88"/>
      <w:r>
        <w:rPr/>
      </w:r>
      <w:r>
        <w:rPr/>
        <w:t>as coal mines or mining-induced subsidence cracks.</w:t>
      </w:r>
    </w:p>
    <w:p>
      <w:pPr>
        <w:pStyle w:val="BodyText"/>
        <w:spacing w:line="240" w:lineRule="exact" w:before="5"/>
        <w:ind w:left="157" w:right="38" w:firstLine="283"/>
        <w:jc w:val="both"/>
      </w:pPr>
      <w:r>
        <w:rPr/>
        <w:t>In</w:t>
      </w:r>
      <w:r>
        <w:rPr>
          <w:spacing w:val="-9"/>
        </w:rPr>
        <w:t> </w:t>
      </w:r>
      <w:r>
        <w:rPr/>
        <w:t>general,</w:t>
      </w:r>
      <w:r>
        <w:rPr>
          <w:spacing w:val="-9"/>
        </w:rPr>
        <w:t> </w:t>
      </w:r>
      <w:r>
        <w:rPr/>
        <w:t>however,</w:t>
      </w:r>
      <w:r>
        <w:rPr>
          <w:spacing w:val="-9"/>
        </w:rPr>
        <w:t> </w:t>
      </w:r>
      <w:r>
        <w:rPr/>
        <w:t>CO</w:t>
      </w:r>
      <w:r>
        <w:rPr>
          <w:position w:val="-6"/>
          <w:sz w:val="11"/>
        </w:rPr>
        <w:t>2</w:t>
      </w:r>
      <w:r>
        <w:rPr>
          <w:spacing w:val="14"/>
          <w:position w:val="-6"/>
          <w:sz w:val="11"/>
        </w:rPr>
        <w:t> </w:t>
      </w:r>
      <w:r>
        <w:rPr/>
        <w:t>retained</w:t>
      </w:r>
      <w:r>
        <w:rPr>
          <w:spacing w:val="-8"/>
        </w:rPr>
        <w:t> </w:t>
      </w:r>
      <w:r>
        <w:rPr/>
        <w:t>by</w:t>
      </w:r>
      <w:r>
        <w:rPr>
          <w:spacing w:val="-9"/>
        </w:rPr>
        <w:t> </w:t>
      </w:r>
      <w:r>
        <w:rPr/>
        <w:t>sorption</w:t>
      </w:r>
      <w:r>
        <w:rPr>
          <w:spacing w:val="-10"/>
        </w:rPr>
        <w:t> </w:t>
      </w:r>
      <w:r>
        <w:rPr/>
        <w:t>onto</w:t>
      </w:r>
      <w:r>
        <w:rPr>
          <w:spacing w:val="-8"/>
        </w:rPr>
        <w:t> </w:t>
      </w:r>
      <w:r>
        <w:rPr/>
        <w:t>coal</w:t>
      </w:r>
      <w:r>
        <w:rPr>
          <w:spacing w:val="-9"/>
        </w:rPr>
        <w:t> </w:t>
      </w:r>
      <w:r>
        <w:rPr/>
        <w:t>will remain confined to the seam even without caprocks, unless the pressure in the coal seam is reduced (e.g., by mining).</w:t>
      </w:r>
      <w:r>
        <w:rPr>
          <w:spacing w:val="-23"/>
        </w:rPr>
        <w:t> </w:t>
      </w:r>
      <w:r>
        <w:rPr/>
        <w:t>Changes in</w:t>
      </w:r>
      <w:r>
        <w:rPr>
          <w:spacing w:val="-5"/>
        </w:rPr>
        <w:t> </w:t>
      </w:r>
      <w:r>
        <w:rPr/>
        <w:t>pressure</w:t>
      </w:r>
      <w:r>
        <w:rPr>
          <w:spacing w:val="-5"/>
        </w:rPr>
        <w:t> </w:t>
      </w:r>
      <w:r>
        <w:rPr/>
        <w:t>and/or</w:t>
      </w:r>
      <w:r>
        <w:rPr>
          <w:spacing w:val="-5"/>
        </w:rPr>
        <w:t> </w:t>
      </w:r>
      <w:r>
        <w:rPr/>
        <w:t>temperature</w:t>
      </w:r>
      <w:r>
        <w:rPr>
          <w:spacing w:val="-5"/>
        </w:rPr>
        <w:t> </w:t>
      </w:r>
      <w:r>
        <w:rPr/>
        <w:t>lead</w:t>
      </w:r>
      <w:r>
        <w:rPr>
          <w:spacing w:val="-5"/>
        </w:rPr>
        <w:t> </w:t>
      </w:r>
      <w:r>
        <w:rPr/>
        <w:t>to</w:t>
      </w:r>
      <w:r>
        <w:rPr>
          <w:spacing w:val="-5"/>
        </w:rPr>
        <w:t> </w:t>
      </w:r>
      <w:r>
        <w:rPr/>
        <w:t>changes</w:t>
      </w:r>
      <w:r>
        <w:rPr>
          <w:spacing w:val="-5"/>
        </w:rPr>
        <w:t> </w:t>
      </w:r>
      <w:r>
        <w:rPr/>
        <w:t>in</w:t>
      </w:r>
      <w:r>
        <w:rPr>
          <w:spacing w:val="-5"/>
        </w:rPr>
        <w:t> </w:t>
      </w:r>
      <w:r>
        <w:rPr/>
        <w:t>the</w:t>
      </w:r>
      <w:r>
        <w:rPr>
          <w:spacing w:val="-5"/>
        </w:rPr>
        <w:t> </w:t>
      </w:r>
      <w:r>
        <w:rPr/>
        <w:t>maximum gas content. If the pressure drops markedly, any excess CO</w:t>
      </w:r>
      <w:r>
        <w:rPr>
          <w:position w:val="-6"/>
          <w:sz w:val="11"/>
        </w:rPr>
        <w:t>2 </w:t>
      </w:r>
      <w:r>
        <w:rPr/>
        <w:t>may desorb from the coal and flow freely through</w:t>
      </w:r>
      <w:r>
        <w:rPr>
          <w:spacing w:val="-8"/>
        </w:rPr>
        <w:t> </w:t>
      </w:r>
      <w:r>
        <w:rPr/>
        <w:t>cleats.</w:t>
      </w:r>
    </w:p>
    <w:p>
      <w:pPr>
        <w:pStyle w:val="BodyText"/>
        <w:spacing w:line="240" w:lineRule="exact"/>
        <w:ind w:left="157" w:right="38" w:firstLine="283"/>
        <w:jc w:val="both"/>
      </w:pPr>
      <w:r>
        <w:rPr/>
        <w:t>Injection wells and abandoned wells have been identified as one of the most probable leakage pathways for CO</w:t>
      </w:r>
      <w:r>
        <w:rPr>
          <w:position w:val="-6"/>
          <w:sz w:val="11"/>
        </w:rPr>
        <w:t>2 </w:t>
      </w:r>
      <w:r>
        <w:rPr/>
        <w:t>storage projects (Gasda </w:t>
      </w:r>
      <w:r>
        <w:rPr>
          <w:i/>
        </w:rPr>
        <w:t>et al.</w:t>
      </w:r>
      <w:r>
        <w:rPr/>
        <w:t>, 2004; Benson, 2005). When a well is drilled, a continuous, open conduit is created between the </w:t>
      </w:r>
      <w:r>
        <w:rPr>
          <w:spacing w:val="-3"/>
        </w:rPr>
        <w:t>land </w:t>
      </w:r>
      <w:r>
        <w:rPr/>
        <w:t>surface and the deep subsurface. If, at the time of drilling,    the operator decides that the target formation does not </w:t>
      </w:r>
      <w:r>
        <w:rPr>
          <w:spacing w:val="-3"/>
        </w:rPr>
        <w:t>look  </w:t>
      </w:r>
      <w:r>
        <w:rPr/>
        <w:t>sufficiently productive, then the well is abandoned as a ‘dry hole’, in accordance with proper regulatory guidelines.</w:t>
      </w:r>
      <w:r>
        <w:rPr>
          <w:spacing w:val="-21"/>
        </w:rPr>
        <w:t> </w:t>
      </w:r>
      <w:r>
        <w:rPr/>
        <w:t>Current guidelines typically require filling sections of the hole with cement (Section 5.5 and </w:t>
      </w:r>
      <w:hyperlink w:history="true" w:anchor="_bookmark35">
        <w:r>
          <w:rPr/>
          <w:t>Figure</w:t>
        </w:r>
        <w:r>
          <w:rPr>
            <w:spacing w:val="-2"/>
          </w:rPr>
          <w:t> </w:t>
        </w:r>
        <w:r>
          <w:rPr/>
          <w:t>5.21).</w:t>
        </w:r>
      </w:hyperlink>
    </w:p>
    <w:p>
      <w:pPr>
        <w:pStyle w:val="BodyText"/>
        <w:spacing w:line="249" w:lineRule="auto" w:before="5"/>
        <w:ind w:left="157" w:right="38" w:firstLine="283"/>
        <w:jc w:val="both"/>
      </w:pPr>
      <w:r>
        <w:rPr/>
        <w:t>Drilling and completion of a well involve not only creation of a hole in the Earth, but also the introduction of engineered materials into the subsurface, such as well cements and well casing. The overall effect of well drilling is replacement of small but potentially significant cylindrical volumes of rock, including low-permeability caprock, with anthropomorphic materials</w:t>
      </w:r>
      <w:r>
        <w:rPr>
          <w:spacing w:val="-18"/>
        </w:rPr>
        <w:t> </w:t>
      </w:r>
      <w:r>
        <w:rPr/>
        <w:t>that</w:t>
      </w:r>
      <w:r>
        <w:rPr>
          <w:spacing w:val="-17"/>
        </w:rPr>
        <w:t> </w:t>
      </w:r>
      <w:r>
        <w:rPr/>
        <w:t>have</w:t>
      </w:r>
      <w:r>
        <w:rPr>
          <w:spacing w:val="-18"/>
        </w:rPr>
        <w:t> </w:t>
      </w:r>
      <w:r>
        <w:rPr/>
        <w:t>properties</w:t>
      </w:r>
      <w:r>
        <w:rPr>
          <w:spacing w:val="-17"/>
        </w:rPr>
        <w:t> </w:t>
      </w:r>
      <w:r>
        <w:rPr/>
        <w:t>different</w:t>
      </w:r>
      <w:r>
        <w:rPr>
          <w:spacing w:val="-18"/>
        </w:rPr>
        <w:t> </w:t>
      </w:r>
      <w:r>
        <w:rPr/>
        <w:t>from</w:t>
      </w:r>
      <w:r>
        <w:rPr>
          <w:spacing w:val="-17"/>
        </w:rPr>
        <w:t> </w:t>
      </w:r>
      <w:r>
        <w:rPr/>
        <w:t>those</w:t>
      </w:r>
      <w:r>
        <w:rPr>
          <w:spacing w:val="-17"/>
        </w:rPr>
        <w:t> </w:t>
      </w:r>
      <w:r>
        <w:rPr/>
        <w:t>of</w:t>
      </w:r>
      <w:r>
        <w:rPr>
          <w:spacing w:val="-18"/>
        </w:rPr>
        <w:t> </w:t>
      </w:r>
      <w:r>
        <w:rPr/>
        <w:t>the</w:t>
      </w:r>
      <w:r>
        <w:rPr>
          <w:spacing w:val="-17"/>
        </w:rPr>
        <w:t> </w:t>
      </w:r>
      <w:r>
        <w:rPr/>
        <w:t>original</w:t>
      </w:r>
      <w:bookmarkStart w:name="_bookmark41" w:id="89"/>
      <w:bookmarkEnd w:id="89"/>
      <w:r>
        <w:rPr/>
      </w:r>
      <w:bookmarkStart w:name="_bookmark42" w:id="90"/>
      <w:bookmarkEnd w:id="90"/>
      <w:r>
        <w:rPr/>
      </w:r>
      <w:r>
        <w:rPr/>
        <w:t> materials. A number of possible leakage pathways can </w:t>
      </w:r>
      <w:r>
        <w:rPr>
          <w:spacing w:val="-3"/>
        </w:rPr>
        <w:t>occur </w:t>
      </w:r>
      <w:r>
        <w:rPr/>
        <w:t>along abandoned wells, as illustrated in </w:t>
      </w:r>
      <w:hyperlink w:history="true" w:anchor="_bookmark41">
        <w:r>
          <w:rPr/>
          <w:t>Figure 5.26 </w:t>
        </w:r>
      </w:hyperlink>
      <w:r>
        <w:rPr/>
        <w:t>(Gasda </w:t>
      </w:r>
      <w:r>
        <w:rPr>
          <w:i/>
        </w:rPr>
        <w:t>et </w:t>
      </w:r>
      <w:r>
        <w:rPr>
          <w:i/>
        </w:rPr>
        <w:t>al.</w:t>
      </w:r>
      <w:r>
        <w:rPr/>
        <w:t>, 2004). These include leakage between the cement and </w:t>
      </w:r>
      <w:r>
        <w:rPr>
          <w:spacing w:val="-5"/>
        </w:rPr>
        <w:t>the </w:t>
      </w:r>
      <w:r>
        <w:rPr/>
        <w:t>outside of the casing (Figure 5.26a), between the cement </w:t>
      </w:r>
      <w:r>
        <w:rPr>
          <w:spacing w:val="-5"/>
        </w:rPr>
        <w:t>and </w:t>
      </w:r>
      <w:r>
        <w:rPr/>
        <w:t>the</w:t>
      </w:r>
      <w:r>
        <w:rPr>
          <w:spacing w:val="-5"/>
        </w:rPr>
        <w:t> </w:t>
      </w:r>
      <w:r>
        <w:rPr/>
        <w:t>inside</w:t>
      </w:r>
      <w:r>
        <w:rPr>
          <w:spacing w:val="-4"/>
        </w:rPr>
        <w:t> </w:t>
      </w:r>
      <w:r>
        <w:rPr/>
        <w:t>of</w:t>
      </w:r>
      <w:r>
        <w:rPr>
          <w:spacing w:val="-5"/>
        </w:rPr>
        <w:t> </w:t>
      </w:r>
      <w:r>
        <w:rPr/>
        <w:t>the</w:t>
      </w:r>
      <w:r>
        <w:rPr>
          <w:spacing w:val="-4"/>
        </w:rPr>
        <w:t> </w:t>
      </w:r>
      <w:r>
        <w:rPr/>
        <w:t>metal</w:t>
      </w:r>
      <w:r>
        <w:rPr>
          <w:spacing w:val="-5"/>
        </w:rPr>
        <w:t> </w:t>
      </w:r>
      <w:r>
        <w:rPr/>
        <w:t>casing</w:t>
      </w:r>
      <w:r>
        <w:rPr>
          <w:spacing w:val="-4"/>
        </w:rPr>
        <w:t> </w:t>
      </w:r>
      <w:r>
        <w:rPr/>
        <w:t>(Figure</w:t>
      </w:r>
      <w:r>
        <w:rPr>
          <w:spacing w:val="-5"/>
        </w:rPr>
        <w:t> </w:t>
      </w:r>
      <w:r>
        <w:rPr/>
        <w:t>5.26b),</w:t>
      </w:r>
      <w:r>
        <w:rPr>
          <w:spacing w:val="-4"/>
        </w:rPr>
        <w:t> </w:t>
      </w:r>
      <w:r>
        <w:rPr/>
        <w:t>within</w:t>
      </w:r>
      <w:r>
        <w:rPr>
          <w:spacing w:val="-5"/>
        </w:rPr>
        <w:t> </w:t>
      </w:r>
      <w:r>
        <w:rPr/>
        <w:t>the</w:t>
      </w:r>
      <w:r>
        <w:rPr>
          <w:spacing w:val="-4"/>
        </w:rPr>
        <w:t> </w:t>
      </w:r>
      <w:r>
        <w:rPr/>
        <w:t>cement plug</w:t>
      </w:r>
      <w:r>
        <w:rPr>
          <w:spacing w:val="13"/>
        </w:rPr>
        <w:t> </w:t>
      </w:r>
      <w:r>
        <w:rPr/>
        <w:t>itself</w:t>
      </w:r>
      <w:r>
        <w:rPr>
          <w:spacing w:val="13"/>
        </w:rPr>
        <w:t> </w:t>
      </w:r>
      <w:r>
        <w:rPr/>
        <w:t>(Figure</w:t>
      </w:r>
      <w:r>
        <w:rPr>
          <w:spacing w:val="13"/>
        </w:rPr>
        <w:t> </w:t>
      </w:r>
      <w:r>
        <w:rPr/>
        <w:t>5.26c),</w:t>
      </w:r>
      <w:r>
        <w:rPr>
          <w:spacing w:val="13"/>
        </w:rPr>
        <w:t> </w:t>
      </w:r>
      <w:r>
        <w:rPr/>
        <w:t>through</w:t>
      </w:r>
      <w:r>
        <w:rPr>
          <w:spacing w:val="13"/>
        </w:rPr>
        <w:t> </w:t>
      </w:r>
      <w:r>
        <w:rPr/>
        <w:t>deterioration</w:t>
      </w:r>
      <w:r>
        <w:rPr>
          <w:spacing w:val="14"/>
        </w:rPr>
        <w:t> </w:t>
      </w:r>
      <w:r>
        <w:rPr/>
        <w:t>(corrosion)</w:t>
      </w:r>
      <w:r>
        <w:rPr>
          <w:spacing w:val="13"/>
        </w:rPr>
        <w:t> </w:t>
      </w:r>
      <w:r>
        <w:rPr>
          <w:spacing w:val="-7"/>
        </w:rPr>
        <w:t>of</w:t>
      </w:r>
    </w:p>
    <w:p>
      <w:pPr>
        <w:pStyle w:val="BodyText"/>
        <w:spacing w:line="240" w:lineRule="exact" w:before="58"/>
        <w:ind w:left="157" w:right="530"/>
        <w:jc w:val="both"/>
      </w:pPr>
      <w:r>
        <w:rPr/>
        <w:br w:type="column"/>
      </w:r>
      <w:r>
        <w:rPr/>
        <w:t>the metal casing </w:t>
      </w:r>
      <w:hyperlink w:history="true" w:anchor="_bookmark42">
        <w:r>
          <w:rPr/>
          <w:t>(Figure 5.26d), </w:t>
        </w:r>
      </w:hyperlink>
      <w:r>
        <w:rPr/>
        <w:t>deterioration of the cement </w:t>
      </w:r>
      <w:r>
        <w:rPr>
          <w:spacing w:val="-7"/>
        </w:rPr>
        <w:t>in </w:t>
      </w:r>
      <w:r>
        <w:rPr/>
        <w:t>the annulus </w:t>
      </w:r>
      <w:hyperlink w:history="true" w:anchor="_bookmark42">
        <w:r>
          <w:rPr/>
          <w:t>(Figure 5.26e) </w:t>
        </w:r>
      </w:hyperlink>
      <w:r>
        <w:rPr/>
        <w:t>and leakage in the annular region between the formation and the cement </w:t>
      </w:r>
      <w:hyperlink w:history="true" w:anchor="_bookmark42">
        <w:r>
          <w:rPr/>
          <w:t>(Figure 5.26f).</w:t>
        </w:r>
      </w:hyperlink>
      <w:r>
        <w:rPr/>
        <w:t> </w:t>
      </w:r>
      <w:r>
        <w:rPr>
          <w:spacing w:val="-5"/>
        </w:rPr>
        <w:t>The </w:t>
      </w:r>
      <w:r>
        <w:rPr/>
        <w:t>potential for long-term degradation of cement and metal</w:t>
      </w:r>
      <w:r>
        <w:rPr>
          <w:spacing w:val="-27"/>
        </w:rPr>
        <w:t> </w:t>
      </w:r>
      <w:r>
        <w:rPr/>
        <w:t>casing in the presence of CO</w:t>
      </w:r>
      <w:r>
        <w:rPr>
          <w:position w:val="-6"/>
          <w:sz w:val="11"/>
        </w:rPr>
        <w:t>2 </w:t>
      </w:r>
      <w:r>
        <w:rPr/>
        <w:t>is a topic of extensive investigations </w:t>
      </w:r>
      <w:r>
        <w:rPr>
          <w:spacing w:val="-7"/>
        </w:rPr>
        <w:t>at </w:t>
      </w:r>
      <w:r>
        <w:rPr/>
        <w:t>this time (e.g., Scherer </w:t>
      </w:r>
      <w:r>
        <w:rPr>
          <w:i/>
        </w:rPr>
        <w:t>et al.</w:t>
      </w:r>
      <w:r>
        <w:rPr/>
        <w:t>,</w:t>
      </w:r>
      <w:r>
        <w:rPr>
          <w:spacing w:val="-2"/>
        </w:rPr>
        <w:t> </w:t>
      </w:r>
      <w:r>
        <w:rPr/>
        <w:t>2005).</w:t>
      </w:r>
    </w:p>
    <w:p>
      <w:pPr>
        <w:pStyle w:val="BodyText"/>
        <w:spacing w:line="240" w:lineRule="exact"/>
        <w:ind w:left="157" w:right="530" w:firstLine="283"/>
        <w:jc w:val="both"/>
      </w:pPr>
      <w:r>
        <w:rPr/>
        <w:t>The</w:t>
      </w:r>
      <w:r>
        <w:rPr>
          <w:spacing w:val="-9"/>
        </w:rPr>
        <w:t> </w:t>
      </w:r>
      <w:r>
        <w:rPr/>
        <w:t>risk</w:t>
      </w:r>
      <w:r>
        <w:rPr>
          <w:spacing w:val="-8"/>
        </w:rPr>
        <w:t> </w:t>
      </w:r>
      <w:r>
        <w:rPr/>
        <w:t>of</w:t>
      </w:r>
      <w:r>
        <w:rPr>
          <w:spacing w:val="-9"/>
        </w:rPr>
        <w:t> </w:t>
      </w:r>
      <w:r>
        <w:rPr/>
        <w:t>leakage</w:t>
      </w:r>
      <w:r>
        <w:rPr>
          <w:spacing w:val="-8"/>
        </w:rPr>
        <w:t> </w:t>
      </w:r>
      <w:r>
        <w:rPr/>
        <w:t>through</w:t>
      </w:r>
      <w:r>
        <w:rPr>
          <w:spacing w:val="-9"/>
        </w:rPr>
        <w:t> </w:t>
      </w:r>
      <w:r>
        <w:rPr/>
        <w:t>abandoned</w:t>
      </w:r>
      <w:r>
        <w:rPr>
          <w:spacing w:val="-8"/>
        </w:rPr>
        <w:t> </w:t>
      </w:r>
      <w:r>
        <w:rPr/>
        <w:t>wells</w:t>
      </w:r>
      <w:r>
        <w:rPr>
          <w:spacing w:val="-9"/>
        </w:rPr>
        <w:t> </w:t>
      </w:r>
      <w:r>
        <w:rPr/>
        <w:t>is</w:t>
      </w:r>
      <w:r>
        <w:rPr>
          <w:spacing w:val="-8"/>
        </w:rPr>
        <w:t> </w:t>
      </w:r>
      <w:r>
        <w:rPr/>
        <w:t>proportional to</w:t>
      </w:r>
      <w:r>
        <w:rPr>
          <w:spacing w:val="-12"/>
        </w:rPr>
        <w:t> </w:t>
      </w:r>
      <w:r>
        <w:rPr/>
        <w:t>the</w:t>
      </w:r>
      <w:r>
        <w:rPr>
          <w:spacing w:val="-11"/>
        </w:rPr>
        <w:t> </w:t>
      </w:r>
      <w:r>
        <w:rPr/>
        <w:t>number</w:t>
      </w:r>
      <w:r>
        <w:rPr>
          <w:spacing w:val="-11"/>
        </w:rPr>
        <w:t> </w:t>
      </w:r>
      <w:r>
        <w:rPr/>
        <w:t>of</w:t>
      </w:r>
      <w:r>
        <w:rPr>
          <w:spacing w:val="-11"/>
        </w:rPr>
        <w:t> </w:t>
      </w:r>
      <w:r>
        <w:rPr/>
        <w:t>wells</w:t>
      </w:r>
      <w:r>
        <w:rPr>
          <w:spacing w:val="-11"/>
        </w:rPr>
        <w:t> </w:t>
      </w:r>
      <w:r>
        <w:rPr/>
        <w:t>intersected</w:t>
      </w:r>
      <w:r>
        <w:rPr>
          <w:spacing w:val="-11"/>
        </w:rPr>
        <w:t> </w:t>
      </w:r>
      <w:r>
        <w:rPr/>
        <w:t>by</w:t>
      </w:r>
      <w:r>
        <w:rPr>
          <w:spacing w:val="-12"/>
        </w:rPr>
        <w:t> </w:t>
      </w:r>
      <w:r>
        <w:rPr/>
        <w:t>the</w:t>
      </w:r>
      <w:r>
        <w:rPr>
          <w:spacing w:val="-11"/>
        </w:rPr>
        <w:t> </w:t>
      </w:r>
      <w:r>
        <w:rPr/>
        <w:t>CO</w:t>
      </w:r>
      <w:r>
        <w:rPr>
          <w:position w:val="-6"/>
          <w:sz w:val="11"/>
        </w:rPr>
        <w:t>2</w:t>
      </w:r>
      <w:r>
        <w:rPr>
          <w:spacing w:val="12"/>
          <w:position w:val="-6"/>
          <w:sz w:val="11"/>
        </w:rPr>
        <w:t> </w:t>
      </w:r>
      <w:r>
        <w:rPr/>
        <w:t>plume,</w:t>
      </w:r>
      <w:r>
        <w:rPr>
          <w:spacing w:val="-11"/>
        </w:rPr>
        <w:t> </w:t>
      </w:r>
      <w:r>
        <w:rPr/>
        <w:t>their</w:t>
      </w:r>
      <w:r>
        <w:rPr>
          <w:spacing w:val="-11"/>
        </w:rPr>
        <w:t> </w:t>
      </w:r>
      <w:r>
        <w:rPr/>
        <w:t>depth and the abandonment method used. For mature sedimentary basins, the number of wells in proximity to a possible injection well</w:t>
      </w:r>
      <w:r>
        <w:rPr>
          <w:spacing w:val="-4"/>
        </w:rPr>
        <w:t> </w:t>
      </w:r>
      <w:r>
        <w:rPr/>
        <w:t>can</w:t>
      </w:r>
      <w:r>
        <w:rPr>
          <w:spacing w:val="-4"/>
        </w:rPr>
        <w:t> </w:t>
      </w:r>
      <w:r>
        <w:rPr/>
        <w:t>be</w:t>
      </w:r>
      <w:r>
        <w:rPr>
          <w:spacing w:val="-4"/>
        </w:rPr>
        <w:t> </w:t>
      </w:r>
      <w:r>
        <w:rPr/>
        <w:t>large,</w:t>
      </w:r>
      <w:r>
        <w:rPr>
          <w:spacing w:val="-4"/>
        </w:rPr>
        <w:t> </w:t>
      </w:r>
      <w:r>
        <w:rPr/>
        <w:t>on</w:t>
      </w:r>
      <w:r>
        <w:rPr>
          <w:spacing w:val="-3"/>
        </w:rPr>
        <w:t> </w:t>
      </w:r>
      <w:r>
        <w:rPr/>
        <w:t>the</w:t>
      </w:r>
      <w:r>
        <w:rPr>
          <w:spacing w:val="-4"/>
        </w:rPr>
        <w:t> </w:t>
      </w:r>
      <w:r>
        <w:rPr/>
        <w:t>order</w:t>
      </w:r>
      <w:r>
        <w:rPr>
          <w:spacing w:val="-4"/>
        </w:rPr>
        <w:t> </w:t>
      </w:r>
      <w:r>
        <w:rPr/>
        <w:t>of</w:t>
      </w:r>
      <w:r>
        <w:rPr>
          <w:spacing w:val="-4"/>
        </w:rPr>
        <w:t> </w:t>
      </w:r>
      <w:r>
        <w:rPr/>
        <w:t>many</w:t>
      </w:r>
      <w:r>
        <w:rPr>
          <w:spacing w:val="-4"/>
        </w:rPr>
        <w:t> </w:t>
      </w:r>
      <w:r>
        <w:rPr/>
        <w:t>hundreds.</w:t>
      </w:r>
      <w:r>
        <w:rPr>
          <w:spacing w:val="-3"/>
        </w:rPr>
        <w:t> </w:t>
      </w:r>
      <w:r>
        <w:rPr/>
        <w:t>For</w:t>
      </w:r>
      <w:r>
        <w:rPr>
          <w:spacing w:val="-4"/>
        </w:rPr>
        <w:t> </w:t>
      </w:r>
      <w:r>
        <w:rPr/>
        <w:t>example, in</w:t>
      </w:r>
      <w:r>
        <w:rPr>
          <w:spacing w:val="-18"/>
        </w:rPr>
        <w:t> </w:t>
      </w:r>
      <w:r>
        <w:rPr/>
        <w:t>the</w:t>
      </w:r>
      <w:r>
        <w:rPr>
          <w:spacing w:val="-28"/>
        </w:rPr>
        <w:t> </w:t>
      </w:r>
      <w:r>
        <w:rPr/>
        <w:t>Alberta</w:t>
      </w:r>
      <w:r>
        <w:rPr>
          <w:spacing w:val="-18"/>
        </w:rPr>
        <w:t> </w:t>
      </w:r>
      <w:r>
        <w:rPr/>
        <w:t>Basin</w:t>
      </w:r>
      <w:r>
        <w:rPr>
          <w:spacing w:val="-17"/>
        </w:rPr>
        <w:t> </w:t>
      </w:r>
      <w:r>
        <w:rPr/>
        <w:t>in</w:t>
      </w:r>
      <w:r>
        <w:rPr>
          <w:spacing w:val="-18"/>
        </w:rPr>
        <w:t> </w:t>
      </w:r>
      <w:r>
        <w:rPr/>
        <w:t>western</w:t>
      </w:r>
      <w:r>
        <w:rPr>
          <w:spacing w:val="-18"/>
        </w:rPr>
        <w:t> </w:t>
      </w:r>
      <w:r>
        <w:rPr/>
        <w:t>Canada,</w:t>
      </w:r>
      <w:r>
        <w:rPr>
          <w:spacing w:val="-17"/>
        </w:rPr>
        <w:t> </w:t>
      </w:r>
      <w:r>
        <w:rPr/>
        <w:t>more</w:t>
      </w:r>
      <w:r>
        <w:rPr>
          <w:spacing w:val="-18"/>
        </w:rPr>
        <w:t> </w:t>
      </w:r>
      <w:r>
        <w:rPr/>
        <w:t>than</w:t>
      </w:r>
      <w:r>
        <w:rPr>
          <w:spacing w:val="-18"/>
        </w:rPr>
        <w:t> </w:t>
      </w:r>
      <w:r>
        <w:rPr/>
        <w:t>350,000</w:t>
      </w:r>
      <w:r>
        <w:rPr>
          <w:spacing w:val="-17"/>
        </w:rPr>
        <w:t> </w:t>
      </w:r>
      <w:r>
        <w:rPr/>
        <w:t>wells have been drilled. Currently, drilling continues at the rate </w:t>
      </w:r>
      <w:r>
        <w:rPr>
          <w:spacing w:val="-6"/>
        </w:rPr>
        <w:t>of </w:t>
      </w:r>
      <w:r>
        <w:rPr/>
        <w:t>approximately 20,000 wells per </w:t>
      </w:r>
      <w:r>
        <w:rPr>
          <w:spacing w:val="-3"/>
        </w:rPr>
        <w:t>year. </w:t>
      </w:r>
      <w:r>
        <w:rPr/>
        <w:t>The wells are distributed spatially in clusters, with densities that average around four wells per km</w:t>
      </w:r>
      <w:r>
        <w:rPr>
          <w:position w:val="7"/>
          <w:sz w:val="11"/>
        </w:rPr>
        <w:t>2 </w:t>
      </w:r>
      <w:r>
        <w:rPr/>
        <w:t>(Gasda </w:t>
      </w:r>
      <w:r>
        <w:rPr>
          <w:i/>
        </w:rPr>
        <w:t>et al.</w:t>
      </w:r>
      <w:r>
        <w:rPr/>
        <w:t>, 2004). Worldwide well densities are provided in </w:t>
      </w:r>
      <w:hyperlink w:history="true" w:anchor="_bookmark44">
        <w:r>
          <w:rPr/>
          <w:t>Figure 5.27 </w:t>
        </w:r>
      </w:hyperlink>
      <w:r>
        <w:rPr/>
        <w:t>and illustrate that many areas have much lower well density. Nevertheless, the data provided in </w:t>
      </w:r>
      <w:hyperlink w:history="true" w:anchor="_bookmark44">
        <w:r>
          <w:rPr/>
          <w:t>Figure</w:t>
        </w:r>
        <w:r>
          <w:rPr>
            <w:spacing w:val="20"/>
          </w:rPr>
          <w:t> </w:t>
        </w:r>
        <w:r>
          <w:rPr/>
          <w:t>5.27</w:t>
        </w:r>
        <w:r>
          <w:rPr>
            <w:spacing w:val="21"/>
          </w:rPr>
          <w:t> </w:t>
        </w:r>
      </w:hyperlink>
      <w:r>
        <w:rPr/>
        <w:t>illustrate</w:t>
      </w:r>
      <w:r>
        <w:rPr>
          <w:spacing w:val="21"/>
        </w:rPr>
        <w:t> </w:t>
      </w:r>
      <w:r>
        <w:rPr/>
        <w:t>an</w:t>
      </w:r>
      <w:r>
        <w:rPr>
          <w:spacing w:val="21"/>
        </w:rPr>
        <w:t> </w:t>
      </w:r>
      <w:r>
        <w:rPr/>
        <w:t>important</w:t>
      </w:r>
      <w:r>
        <w:rPr>
          <w:spacing w:val="21"/>
        </w:rPr>
        <w:t> </w:t>
      </w:r>
      <w:r>
        <w:rPr/>
        <w:t>point</w:t>
      </w:r>
      <w:r>
        <w:rPr>
          <w:spacing w:val="20"/>
        </w:rPr>
        <w:t> </w:t>
      </w:r>
      <w:r>
        <w:rPr/>
        <w:t>made</w:t>
      </w:r>
      <w:r>
        <w:rPr>
          <w:spacing w:val="21"/>
        </w:rPr>
        <w:t> </w:t>
      </w:r>
      <w:r>
        <w:rPr/>
        <w:t>in</w:t>
      </w:r>
      <w:r>
        <w:rPr>
          <w:spacing w:val="21"/>
        </w:rPr>
        <w:t> </w:t>
      </w:r>
      <w:r>
        <w:rPr/>
        <w:t>Section</w:t>
      </w:r>
      <w:r>
        <w:rPr>
          <w:spacing w:val="21"/>
        </w:rPr>
        <w:t> </w:t>
      </w:r>
      <w:r>
        <w:rPr/>
        <w:t>5.3</w:t>
      </w:r>
    </w:p>
    <w:p>
      <w:pPr>
        <w:pStyle w:val="BodyText"/>
        <w:spacing w:line="249" w:lineRule="auto" w:before="5"/>
        <w:ind w:left="157" w:right="531"/>
        <w:jc w:val="both"/>
      </w:pPr>
      <w:r>
        <w:rPr/>
        <w:t>– namely that storage security in mature oil and gas provinces may be compromised if a large number of wells penetrate the caprocks. Steps need to be taken to address this potential risk.</w:t>
      </w:r>
    </w:p>
    <w:p>
      <w:pPr>
        <w:pStyle w:val="BodyText"/>
        <w:spacing w:before="1"/>
        <w:rPr>
          <w:sz w:val="21"/>
        </w:rPr>
      </w:pPr>
    </w:p>
    <w:p>
      <w:pPr>
        <w:pStyle w:val="Heading2"/>
        <w:numPr>
          <w:ilvl w:val="2"/>
          <w:numId w:val="7"/>
        </w:numPr>
        <w:tabs>
          <w:tab w:pos="976" w:val="left" w:leader="none"/>
          <w:tab w:pos="977" w:val="left" w:leader="none"/>
        </w:tabs>
        <w:spacing w:line="240" w:lineRule="auto" w:before="0" w:after="0"/>
        <w:ind w:left="977" w:right="0" w:hanging="820"/>
        <w:jc w:val="left"/>
        <w:rPr>
          <w:i/>
        </w:rPr>
      </w:pPr>
      <w:r>
        <w:rPr>
          <w:i/>
        </w:rPr>
        <w:t>Probability of release from geological storage</w:t>
      </w:r>
      <w:r>
        <w:rPr>
          <w:i/>
          <w:spacing w:val="-8"/>
        </w:rPr>
        <w:t> </w:t>
      </w:r>
      <w:r>
        <w:rPr>
          <w:i/>
        </w:rPr>
        <w:t>sites</w:t>
      </w:r>
    </w:p>
    <w:p>
      <w:pPr>
        <w:pStyle w:val="BodyText"/>
        <w:spacing w:before="3"/>
        <w:rPr>
          <w:b/>
          <w:i/>
          <w:sz w:val="21"/>
        </w:rPr>
      </w:pPr>
    </w:p>
    <w:p>
      <w:pPr>
        <w:pStyle w:val="BodyText"/>
        <w:spacing w:line="240" w:lineRule="exact"/>
        <w:ind w:left="157" w:right="530"/>
        <w:jc w:val="both"/>
      </w:pPr>
      <w:r>
        <w:rPr/>
        <w:t>Storage</w:t>
      </w:r>
      <w:r>
        <w:rPr>
          <w:spacing w:val="-14"/>
        </w:rPr>
        <w:t> </w:t>
      </w:r>
      <w:r>
        <w:rPr/>
        <w:t>sites</w:t>
      </w:r>
      <w:r>
        <w:rPr>
          <w:spacing w:val="-14"/>
        </w:rPr>
        <w:t> </w:t>
      </w:r>
      <w:r>
        <w:rPr/>
        <w:t>will</w:t>
      </w:r>
      <w:r>
        <w:rPr>
          <w:spacing w:val="-13"/>
        </w:rPr>
        <w:t> </w:t>
      </w:r>
      <w:r>
        <w:rPr/>
        <w:t>presumably</w:t>
      </w:r>
      <w:r>
        <w:rPr>
          <w:spacing w:val="-14"/>
        </w:rPr>
        <w:t> </w:t>
      </w:r>
      <w:r>
        <w:rPr/>
        <w:t>be</w:t>
      </w:r>
      <w:r>
        <w:rPr>
          <w:spacing w:val="-13"/>
        </w:rPr>
        <w:t> </w:t>
      </w:r>
      <w:r>
        <w:rPr/>
        <w:t>designed</w:t>
      </w:r>
      <w:r>
        <w:rPr>
          <w:spacing w:val="-14"/>
        </w:rPr>
        <w:t> </w:t>
      </w:r>
      <w:r>
        <w:rPr/>
        <w:t>to</w:t>
      </w:r>
      <w:r>
        <w:rPr>
          <w:spacing w:val="-13"/>
        </w:rPr>
        <w:t> </w:t>
      </w:r>
      <w:r>
        <w:rPr/>
        <w:t>confine</w:t>
      </w:r>
      <w:r>
        <w:rPr>
          <w:spacing w:val="-14"/>
        </w:rPr>
        <w:t> </w:t>
      </w:r>
      <w:r>
        <w:rPr/>
        <w:t>all</w:t>
      </w:r>
      <w:r>
        <w:rPr>
          <w:spacing w:val="-13"/>
        </w:rPr>
        <w:t> </w:t>
      </w:r>
      <w:r>
        <w:rPr/>
        <w:t>injected CO</w:t>
      </w:r>
      <w:r>
        <w:rPr>
          <w:position w:val="-6"/>
          <w:sz w:val="11"/>
        </w:rPr>
        <w:t>2 </w:t>
      </w:r>
      <w:r>
        <w:rPr/>
        <w:t>for geological time scales. Nevertheless, experience with engineered systems suggest a small fraction of operational storage sites may release CO</w:t>
      </w:r>
      <w:r>
        <w:rPr>
          <w:position w:val="-6"/>
          <w:sz w:val="11"/>
        </w:rPr>
        <w:t>2 </w:t>
      </w:r>
      <w:r>
        <w:rPr/>
        <w:t>to the atmosphere. No existing studies systematically estimate the probability and magnitude of release across a sample of credible geological storage systems.</w:t>
      </w:r>
      <w:r>
        <w:rPr>
          <w:spacing w:val="-9"/>
        </w:rPr>
        <w:t> </w:t>
      </w:r>
      <w:r>
        <w:rPr/>
        <w:t>In</w:t>
      </w:r>
      <w:r>
        <w:rPr>
          <w:spacing w:val="-8"/>
        </w:rPr>
        <w:t> </w:t>
      </w:r>
      <w:r>
        <w:rPr/>
        <w:t>the</w:t>
      </w:r>
      <w:r>
        <w:rPr>
          <w:spacing w:val="-9"/>
        </w:rPr>
        <w:t> </w:t>
      </w:r>
      <w:r>
        <w:rPr/>
        <w:t>absence</w:t>
      </w:r>
      <w:r>
        <w:rPr>
          <w:spacing w:val="-8"/>
        </w:rPr>
        <w:t> </w:t>
      </w:r>
      <w:r>
        <w:rPr/>
        <w:t>of</w:t>
      </w:r>
      <w:r>
        <w:rPr>
          <w:spacing w:val="-9"/>
        </w:rPr>
        <w:t> </w:t>
      </w:r>
      <w:r>
        <w:rPr/>
        <w:t>such</w:t>
      </w:r>
      <w:r>
        <w:rPr>
          <w:spacing w:val="-8"/>
        </w:rPr>
        <w:t> </w:t>
      </w:r>
      <w:r>
        <w:rPr/>
        <w:t>studies,</w:t>
      </w:r>
      <w:r>
        <w:rPr>
          <w:spacing w:val="-8"/>
        </w:rPr>
        <w:t> </w:t>
      </w:r>
      <w:r>
        <w:rPr/>
        <w:t>this</w:t>
      </w:r>
      <w:r>
        <w:rPr>
          <w:spacing w:val="-9"/>
        </w:rPr>
        <w:t> </w:t>
      </w:r>
      <w:r>
        <w:rPr/>
        <w:t>section</w:t>
      </w:r>
      <w:r>
        <w:rPr>
          <w:spacing w:val="-8"/>
        </w:rPr>
        <w:t> </w:t>
      </w:r>
      <w:r>
        <w:rPr/>
        <w:t>synthesizes the</w:t>
      </w:r>
      <w:r>
        <w:rPr>
          <w:spacing w:val="-6"/>
        </w:rPr>
        <w:t> </w:t>
      </w:r>
      <w:r>
        <w:rPr/>
        <w:t>lines</w:t>
      </w:r>
      <w:r>
        <w:rPr>
          <w:spacing w:val="-6"/>
        </w:rPr>
        <w:t> </w:t>
      </w:r>
      <w:r>
        <w:rPr/>
        <w:t>of</w:t>
      </w:r>
      <w:r>
        <w:rPr>
          <w:spacing w:val="-6"/>
        </w:rPr>
        <w:t> </w:t>
      </w:r>
      <w:r>
        <w:rPr/>
        <w:t>evidence</w:t>
      </w:r>
      <w:r>
        <w:rPr>
          <w:spacing w:val="-6"/>
        </w:rPr>
        <w:t> </w:t>
      </w:r>
      <w:r>
        <w:rPr/>
        <w:t>that</w:t>
      </w:r>
      <w:r>
        <w:rPr>
          <w:spacing w:val="-6"/>
        </w:rPr>
        <w:t> </w:t>
      </w:r>
      <w:r>
        <w:rPr/>
        <w:t>enable</w:t>
      </w:r>
      <w:r>
        <w:rPr>
          <w:spacing w:val="-6"/>
        </w:rPr>
        <w:t> </w:t>
      </w:r>
      <w:r>
        <w:rPr/>
        <w:t>rough</w:t>
      </w:r>
      <w:r>
        <w:rPr>
          <w:spacing w:val="-6"/>
        </w:rPr>
        <w:t> </w:t>
      </w:r>
      <w:r>
        <w:rPr/>
        <w:t>quantitative</w:t>
      </w:r>
      <w:r>
        <w:rPr>
          <w:spacing w:val="-6"/>
        </w:rPr>
        <w:t> </w:t>
      </w:r>
      <w:r>
        <w:rPr/>
        <w:t>estimates</w:t>
      </w:r>
      <w:r>
        <w:rPr>
          <w:spacing w:val="-6"/>
        </w:rPr>
        <w:t> of </w:t>
      </w:r>
      <w:r>
        <w:rPr/>
        <w:t>achievable fractions retained in storage. Five kinds of</w:t>
      </w:r>
      <w:r>
        <w:rPr>
          <w:spacing w:val="-18"/>
        </w:rPr>
        <w:t> </w:t>
      </w:r>
      <w:r>
        <w:rPr/>
        <w:t>evidence are relevant to assessing storage</w:t>
      </w:r>
      <w:r>
        <w:rPr>
          <w:spacing w:val="-3"/>
        </w:rPr>
        <w:t> </w:t>
      </w:r>
      <w:r>
        <w:rPr/>
        <w:t>effectiveness:</w:t>
      </w:r>
    </w:p>
    <w:p>
      <w:pPr>
        <w:pStyle w:val="ListParagraph"/>
        <w:numPr>
          <w:ilvl w:val="0"/>
          <w:numId w:val="6"/>
        </w:numPr>
        <w:tabs>
          <w:tab w:pos="441" w:val="left" w:leader="none"/>
        </w:tabs>
        <w:spacing w:line="240" w:lineRule="exact" w:before="0" w:after="0"/>
        <w:ind w:left="440" w:right="531" w:hanging="284"/>
        <w:jc w:val="both"/>
        <w:rPr>
          <w:sz w:val="20"/>
        </w:rPr>
      </w:pPr>
      <w:r>
        <w:rPr>
          <w:sz w:val="20"/>
        </w:rPr>
        <w:t>Data</w:t>
      </w:r>
      <w:r>
        <w:rPr>
          <w:spacing w:val="-12"/>
          <w:sz w:val="20"/>
        </w:rPr>
        <w:t> </w:t>
      </w:r>
      <w:r>
        <w:rPr>
          <w:sz w:val="20"/>
        </w:rPr>
        <w:t>from</w:t>
      </w:r>
      <w:r>
        <w:rPr>
          <w:spacing w:val="-11"/>
          <w:sz w:val="20"/>
        </w:rPr>
        <w:t> </w:t>
      </w:r>
      <w:r>
        <w:rPr>
          <w:sz w:val="20"/>
        </w:rPr>
        <w:t>natural</w:t>
      </w:r>
      <w:r>
        <w:rPr>
          <w:spacing w:val="-12"/>
          <w:sz w:val="20"/>
        </w:rPr>
        <w:t> </w:t>
      </w:r>
      <w:r>
        <w:rPr>
          <w:sz w:val="20"/>
        </w:rPr>
        <w:t>systems,</w:t>
      </w:r>
      <w:r>
        <w:rPr>
          <w:spacing w:val="-11"/>
          <w:sz w:val="20"/>
        </w:rPr>
        <w:t> </w:t>
      </w:r>
      <w:r>
        <w:rPr>
          <w:sz w:val="20"/>
        </w:rPr>
        <w:t>including</w:t>
      </w:r>
      <w:r>
        <w:rPr>
          <w:spacing w:val="-12"/>
          <w:sz w:val="20"/>
        </w:rPr>
        <w:t> </w:t>
      </w:r>
      <w:r>
        <w:rPr>
          <w:sz w:val="20"/>
        </w:rPr>
        <w:t>trapped</w:t>
      </w:r>
      <w:r>
        <w:rPr>
          <w:spacing w:val="-11"/>
          <w:sz w:val="20"/>
        </w:rPr>
        <w:t> </w:t>
      </w:r>
      <w:r>
        <w:rPr>
          <w:sz w:val="20"/>
        </w:rPr>
        <w:t>accumulations of natural gas and CO</w:t>
      </w:r>
      <w:r>
        <w:rPr>
          <w:position w:val="-6"/>
          <w:sz w:val="11"/>
        </w:rPr>
        <w:t>2</w:t>
      </w:r>
      <w:r>
        <w:rPr>
          <w:sz w:val="20"/>
        </w:rPr>
        <w:t>, as well as</w:t>
      </w:r>
      <w:r>
        <w:rPr>
          <w:spacing w:val="-2"/>
          <w:sz w:val="20"/>
        </w:rPr>
        <w:t> </w:t>
      </w:r>
      <w:r>
        <w:rPr>
          <w:sz w:val="20"/>
        </w:rPr>
        <w:t>oil;</w:t>
      </w:r>
    </w:p>
    <w:p>
      <w:pPr>
        <w:pStyle w:val="ListParagraph"/>
        <w:numPr>
          <w:ilvl w:val="0"/>
          <w:numId w:val="6"/>
        </w:numPr>
        <w:tabs>
          <w:tab w:pos="441" w:val="left" w:leader="none"/>
        </w:tabs>
        <w:spacing w:line="240" w:lineRule="exact" w:before="0" w:after="0"/>
        <w:ind w:left="440" w:right="531" w:hanging="284"/>
        <w:jc w:val="both"/>
        <w:rPr>
          <w:sz w:val="20"/>
        </w:rPr>
      </w:pPr>
      <w:r>
        <w:rPr>
          <w:sz w:val="20"/>
        </w:rPr>
        <w:t>Data</w:t>
      </w:r>
      <w:r>
        <w:rPr>
          <w:spacing w:val="-21"/>
          <w:sz w:val="20"/>
        </w:rPr>
        <w:t> </w:t>
      </w:r>
      <w:r>
        <w:rPr>
          <w:sz w:val="20"/>
        </w:rPr>
        <w:t>from</w:t>
      </w:r>
      <w:r>
        <w:rPr>
          <w:spacing w:val="-20"/>
          <w:sz w:val="20"/>
        </w:rPr>
        <w:t> </w:t>
      </w:r>
      <w:r>
        <w:rPr>
          <w:sz w:val="20"/>
        </w:rPr>
        <w:t>engineered</w:t>
      </w:r>
      <w:r>
        <w:rPr>
          <w:spacing w:val="-20"/>
          <w:sz w:val="20"/>
        </w:rPr>
        <w:t> </w:t>
      </w:r>
      <w:r>
        <w:rPr>
          <w:sz w:val="20"/>
        </w:rPr>
        <w:t>systems,</w:t>
      </w:r>
      <w:r>
        <w:rPr>
          <w:spacing w:val="-21"/>
          <w:sz w:val="20"/>
        </w:rPr>
        <w:t> </w:t>
      </w:r>
      <w:r>
        <w:rPr>
          <w:sz w:val="20"/>
        </w:rPr>
        <w:t>including</w:t>
      </w:r>
      <w:r>
        <w:rPr>
          <w:spacing w:val="-20"/>
          <w:sz w:val="20"/>
        </w:rPr>
        <w:t> </w:t>
      </w:r>
      <w:r>
        <w:rPr>
          <w:sz w:val="20"/>
        </w:rPr>
        <w:t>natural</w:t>
      </w:r>
      <w:r>
        <w:rPr>
          <w:spacing w:val="-20"/>
          <w:sz w:val="20"/>
        </w:rPr>
        <w:t> </w:t>
      </w:r>
      <w:r>
        <w:rPr>
          <w:sz w:val="20"/>
        </w:rPr>
        <w:t>gas</w:t>
      </w:r>
      <w:r>
        <w:rPr>
          <w:spacing w:val="-20"/>
          <w:sz w:val="20"/>
        </w:rPr>
        <w:t> </w:t>
      </w:r>
      <w:r>
        <w:rPr>
          <w:sz w:val="20"/>
        </w:rPr>
        <w:t>storage, gas re-injection for pressure support, CO</w:t>
      </w:r>
      <w:r>
        <w:rPr>
          <w:position w:val="-6"/>
          <w:sz w:val="11"/>
        </w:rPr>
        <w:t>2 </w:t>
      </w:r>
      <w:r>
        <w:rPr>
          <w:sz w:val="20"/>
        </w:rPr>
        <w:t>or miscible hydrocarbon EOR, disposal of acid gases and disposal of other</w:t>
      </w:r>
      <w:r>
        <w:rPr>
          <w:spacing w:val="-1"/>
          <w:sz w:val="20"/>
        </w:rPr>
        <w:t> </w:t>
      </w:r>
      <w:r>
        <w:rPr>
          <w:sz w:val="20"/>
        </w:rPr>
        <w:t>fluids;</w:t>
      </w:r>
    </w:p>
    <w:p>
      <w:pPr>
        <w:pStyle w:val="ListParagraph"/>
        <w:numPr>
          <w:ilvl w:val="0"/>
          <w:numId w:val="6"/>
        </w:numPr>
        <w:tabs>
          <w:tab w:pos="441" w:val="left" w:leader="none"/>
        </w:tabs>
        <w:spacing w:line="240" w:lineRule="exact" w:before="0" w:after="0"/>
        <w:ind w:left="440" w:right="531" w:hanging="284"/>
        <w:jc w:val="both"/>
        <w:rPr>
          <w:sz w:val="20"/>
        </w:rPr>
      </w:pPr>
      <w:r>
        <w:rPr/>
        <w:pict>
          <v:group style="position:absolute;margin-left:36.849998pt;margin-top:-109.597pt;width:252.15pt;height:242.3pt;mso-position-horizontal-relative:page;mso-position-vertical-relative:paragraph;z-index:251724800" coordorigin="737,-2192" coordsize="5043,4846">
            <v:shape style="position:absolute;left:824;top:-2125;width:4824;height:4683" type="#_x0000_t75" stroked="false">
              <v:imagedata r:id="rId250" o:title=""/>
            </v:shape>
            <v:shape style="position:absolute;left:5498;top:-2090;width:129;height:3981" coordorigin="5499,-2090" coordsize="129,3981" path="m5543,1763l5538,1762,5526,1762,5519,1765,5513,1773,5512,1778,5512,1782,5512,1798,5499,1798,5499,1810,5512,1810,5512,1890,5527,1890,5527,1810,5543,1810,5543,1798,5527,1798,5527,1788,5528,1782,5530,1778,5532,1776,5538,1776,5538,1777,5543,1777,5543,1776,5543,1763m5578,1872l5560,1872,5560,1890,5578,1890,5578,1872m5580,-498l5579,-510,5576,-518,5575,-519,5562,-529,5554,-532,5531,-532,5521,-527,5505,-509,5501,-497,5501,-467,5505,-456,5519,-438,5529,-434,5552,-434,5560,-437,5573,-447,5574,-448,5579,-457,5580,-469,5565,-469,5564,-463,5561,-457,5554,-449,5549,-447,5534,-447,5528,-451,5520,-463,5518,-471,5518,-489,5519,-497,5522,-504,5526,-513,5533,-518,5550,-518,5556,-516,5562,-508,5564,-504,5565,-498,5580,-498m5582,191l5568,191,5568,260,5568,283,5565,292,5556,304,5551,307,5534,307,5528,304,5520,290,5518,283,5517,261,5520,252,5529,240,5536,237,5550,237,5556,240,5565,251,5568,260,5568,191,5567,191,5567,237,5564,233,5561,230,5553,225,5548,223,5528,223,5518,228,5505,248,5501,260,5501,288,5505,299,5520,316,5529,321,5545,321,5551,319,5561,314,5565,310,5567,307,5568,305,5568,318,5582,318,5582,305,5582,191m5586,1066l5586,1063,5586,1059,5585,1055,5584,1048,5582,1043,5577,1035,5575,1033,5571,1029,5570,1029,5570,1063,5519,1063,5520,1055,5522,1048,5532,1038,5538,1035,5555,1035,5562,1039,5568,1050,5570,1056,5570,1063,5570,1029,5559,1023,5552,1022,5533,1022,5522,1026,5506,1045,5503,1056,5503,1087,5506,1098,5514,1107,5522,1115,5532,1119,5548,1119,5552,1119,5563,1116,5569,1113,5573,1109,5576,1106,5576,1106,5579,1103,5583,1094,5584,1091,5585,1087,5570,1087,5568,1091,5567,1095,5564,1098,5559,1103,5553,1106,5536,1106,5530,1103,5522,1092,5519,1084,5519,1075,5586,1075,5586,1066m5588,-1250l5584,-1262,5579,-1268,5578,-1268,5572,-1275,5572,-1244,5572,-1223,5570,-1214,5561,-1201,5555,-1197,5536,-1197,5534,-1198,5528,-1202,5522,-1218,5521,-1225,5521,-1246,5523,-1254,5534,-1265,5540,-1268,5555,-1268,5561,-1264,5570,-1252,5572,-1244,5572,-1275,5570,-1277,5560,-1281,5543,-1281,5538,-1280,5529,-1276,5525,-1272,5521,-1268,5521,-1314,5506,-1314,5506,-1187,5521,-1187,5521,-1198,5524,-1194,5527,-1191,5535,-1185,5541,-1184,5560,-1184,5570,-1189,5576,-1197,5584,-1208,5588,-1220,5588,-1250m5590,-2007l5589,-2006,5586,-2006,5583,-2006,5582,-2007,5581,-2008,5581,-2008,5580,-2010,5580,-2042,5580,-2073,5578,-2076,5577,-2079,5563,-2088,5555,-2090,5535,-2090,5526,-2088,5512,-2079,5509,-2071,5508,-2059,5523,-2059,5523,-2064,5525,-2068,5530,-2074,5535,-2076,5550,-2076,5556,-2075,5563,-2071,5565,-2067,5565,-2059,5565,-2057,5565,-2042,5565,-2020,5560,-2014,5547,-2007,5541,-2006,5531,-2006,5528,-2007,5521,-2012,5519,-2016,5519,-2026,5522,-2030,5530,-2034,5534,-2036,5552,-2038,5554,-2038,5560,-2040,5563,-2041,5565,-2042,5565,-2057,5564,-2056,5563,-2053,5560,-2052,5524,-2047,5517,-2044,5506,-2035,5503,-2028,5503,-2012,5506,-2005,5517,-1995,5524,-1992,5540,-1992,5546,-1994,5558,-2000,5562,-2004,5564,-2006,5565,-2008,5566,-2004,5567,-2001,5571,-1995,5574,-1993,5582,-1993,5584,-1994,5586,-1994,5588,-1994,5590,-1995,5590,-2006,5590,-2007m5618,-455l5600,-455,5600,-437,5618,-437,5618,-455m5628,1098l5609,1098,5609,1116,5628,1116,5628,1098m5628,299l5609,299,5609,318,5628,318,5628,299m5628,-1205l5609,-1205,5609,-1187,5628,-1187,5628,-1205m5628,-2014l5609,-2014,5609,-1995,5628,-1995,5628,-2014e" filled="true" fillcolor="#000000" stroked="false">
              <v:path arrowok="t"/>
              <v:fill type="solid"/>
            </v:shape>
            <v:shape style="position:absolute;left:2201;top:-1141;width:606;height:134" type="#_x0000_t75" stroked="false">
              <v:imagedata r:id="rId251" o:title=""/>
            </v:shape>
            <v:shape style="position:absolute;left:2195;top:-926;width:291;height:130" coordorigin="2195,-925" coordsize="291,130" path="m2318,-891l2303,-891,2284,-819,2271,-870,2266,-891,2248,-891,2230,-818,2212,-891,2195,-891,2222,-799,2238,-799,2243,-818,2256,-870,2275,-799,2291,-799,2297,-819,2318,-891m2411,-849l2411,-852,2410,-856,2410,-860,2408,-867,2406,-872,2401,-880,2400,-882,2396,-886,2395,-886,2395,-852,2344,-852,2344,-860,2347,-867,2357,-877,2362,-880,2379,-880,2386,-876,2393,-865,2394,-859,2395,-852,2395,-886,2383,-892,2377,-893,2358,-893,2347,-889,2331,-870,2328,-859,2327,-828,2331,-817,2347,-800,2357,-796,2373,-796,2377,-796,2381,-797,2388,-799,2393,-802,2398,-806,2401,-809,2401,-809,2403,-812,2408,-821,2409,-824,2410,-828,2394,-828,2393,-824,2391,-820,2389,-817,2384,-812,2378,-809,2361,-809,2355,-812,2346,-823,2344,-831,2344,-840,2411,-840,2411,-849m2447,-925l2431,-925,2431,-799,2447,-799,2447,-925m2486,-925l2470,-925,2470,-799,2486,-799,2486,-925e" filled="true" fillcolor="#000000" stroked="false">
              <v:path arrowok="t"/>
              <v:fill type="solid"/>
            </v:shape>
            <v:shape style="position:absolute;left:2556;top:-926;width:312;height:166" type="#_x0000_t75" stroked="false">
              <v:imagedata r:id="rId252" o:title=""/>
            </v:shape>
            <v:line style="position:absolute" from="2061,-560" to="2169,-932" stroked="true" strokeweight=".49pt" strokecolor="#000000">
              <v:stroke dashstyle="solid"/>
            </v:line>
            <v:shape style="position:absolute;left:836;top:-1677;width:768;height:130" type="#_x0000_t75" stroked="false">
              <v:imagedata r:id="rId253" o:title=""/>
            </v:shape>
            <v:shape style="position:absolute;left:833;top:-1465;width:321;height:130" type="#_x0000_t75" stroked="false">
              <v:imagedata r:id="rId254" o:title=""/>
            </v:shape>
            <v:shape style="position:absolute;left:1076;top:-1844;width:2563;height:1328" coordorigin="1077,-1843" coordsize="2563,1328" path="m1077,-515l1077,-1270m2390,-1476l2390,-1843m3639,-868l3639,-1618e" filled="false" stroked="true" strokeweight=".49pt" strokecolor="#000000">
              <v:path arrowok="t"/>
              <v:stroke dashstyle="solid"/>
            </v:shape>
            <v:shape style="position:absolute;left:3450;top:-1993;width:606;height:134" type="#_x0000_t75" stroked="false">
              <v:imagedata r:id="rId255" o:title=""/>
            </v:shape>
            <v:shape style="position:absolute;left:3445;top:-1780;width:153;height:128" type="#_x0000_t75" stroked="false">
              <v:imagedata r:id="rId256" o:title=""/>
            </v:shape>
            <v:shape style="position:absolute;left:2025;top:-2020;width:326;height:130" type="#_x0000_t75" stroked="false">
              <v:imagedata r:id="rId257" o:title=""/>
            </v:shape>
            <v:shape style="position:absolute;left:2416;top:-2020;width:493;height:166" type="#_x0000_t75" stroked="false">
              <v:imagedata r:id="rId258" o:title=""/>
            </v:shape>
            <v:rect style="position:absolute;left:742;top:-2187;width:5033;height:4836" filled="false" stroked="true" strokeweight=".5pt" strokecolor="#000000">
              <v:stroke dashstyle="solid"/>
            </v:rect>
            <w10:wrap type="none"/>
          </v:group>
        </w:pict>
      </w:r>
      <w:r>
        <w:rPr>
          <w:sz w:val="20"/>
        </w:rPr>
        <w:t>Fundamental physical, chemical and mechanical processes regarding the fate and transport of CO</w:t>
      </w:r>
      <w:r>
        <w:rPr>
          <w:position w:val="-6"/>
          <w:sz w:val="11"/>
        </w:rPr>
        <w:t>2 </w:t>
      </w:r>
      <w:r>
        <w:rPr>
          <w:sz w:val="20"/>
        </w:rPr>
        <w:t>in the</w:t>
      </w:r>
      <w:r>
        <w:rPr>
          <w:spacing w:val="-11"/>
          <w:sz w:val="20"/>
        </w:rPr>
        <w:t> </w:t>
      </w:r>
      <w:r>
        <w:rPr>
          <w:sz w:val="20"/>
        </w:rPr>
        <w:t>subsurface;</w:t>
      </w:r>
    </w:p>
    <w:p>
      <w:pPr>
        <w:spacing w:after="0" w:line="240" w:lineRule="exact"/>
        <w:jc w:val="both"/>
        <w:rPr>
          <w:sz w:val="20"/>
        </w:rPr>
        <w:sectPr>
          <w:type w:val="continuous"/>
          <w:pgSz w:w="12240" w:h="15840"/>
          <w:pgMar w:top="400" w:bottom="280" w:left="580" w:right="600"/>
          <w:cols w:num="2" w:equalWidth="0">
            <w:col w:w="5242" w:space="84"/>
            <w:col w:w="5734"/>
          </w:cols>
        </w:sectPr>
      </w:pPr>
    </w:p>
    <w:p>
      <w:pPr>
        <w:pStyle w:val="ListParagraph"/>
        <w:numPr>
          <w:ilvl w:val="1"/>
          <w:numId w:val="6"/>
        </w:numPr>
        <w:tabs>
          <w:tab w:pos="5767" w:val="left" w:leader="none"/>
        </w:tabs>
        <w:spacing w:line="231" w:lineRule="exact" w:before="0" w:after="0"/>
        <w:ind w:left="5766" w:right="0" w:hanging="284"/>
        <w:jc w:val="left"/>
        <w:rPr>
          <w:sz w:val="20"/>
        </w:rPr>
      </w:pPr>
      <w:r>
        <w:rPr/>
        <w:pict>
          <v:shape style="position:absolute;margin-left:469.814087pt;margin-top:8.588932pt;width:2.95pt;height:5.85pt;mso-position-horizontal-relative:page;mso-position-vertical-relative:paragraph;z-index:-25883340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Results from numerical models of CO</w:t>
      </w:r>
      <w:r>
        <w:rPr>
          <w:spacing w:val="7"/>
          <w:sz w:val="20"/>
        </w:rPr>
        <w:t> </w:t>
      </w:r>
      <w:r>
        <w:rPr>
          <w:sz w:val="20"/>
        </w:rPr>
        <w:t>transport;</w:t>
      </w:r>
    </w:p>
    <w:p>
      <w:pPr>
        <w:pStyle w:val="ListParagraph"/>
        <w:numPr>
          <w:ilvl w:val="1"/>
          <w:numId w:val="6"/>
        </w:numPr>
        <w:tabs>
          <w:tab w:pos="5767" w:val="left" w:leader="none"/>
        </w:tabs>
        <w:spacing w:line="240" w:lineRule="auto" w:before="1" w:after="0"/>
        <w:ind w:left="5766" w:right="0" w:hanging="284"/>
        <w:jc w:val="left"/>
        <w:rPr>
          <w:sz w:val="20"/>
        </w:rPr>
      </w:pPr>
      <w:r>
        <w:rPr>
          <w:sz w:val="20"/>
        </w:rPr>
        <w:t>Results from current geological storage</w:t>
      </w:r>
      <w:r>
        <w:rPr>
          <w:spacing w:val="-2"/>
          <w:sz w:val="20"/>
        </w:rPr>
        <w:t> </w:t>
      </w:r>
      <w:r>
        <w:rPr>
          <w:sz w:val="20"/>
        </w:rPr>
        <w:t>projects.</w:t>
      </w:r>
    </w:p>
    <w:p>
      <w:pPr>
        <w:pStyle w:val="BodyText"/>
        <w:spacing w:before="2"/>
        <w:rPr>
          <w:sz w:val="16"/>
        </w:rPr>
      </w:pPr>
    </w:p>
    <w:p>
      <w:pPr>
        <w:spacing w:after="0"/>
        <w:rPr>
          <w:sz w:val="16"/>
        </w:rPr>
        <w:sectPr>
          <w:type w:val="continuous"/>
          <w:pgSz w:w="12240" w:h="15840"/>
          <w:pgMar w:top="400" w:bottom="280" w:left="580" w:right="6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0"/>
        <w:ind w:left="157" w:right="0" w:firstLine="0"/>
        <w:jc w:val="both"/>
        <w:rPr>
          <w:sz w:val="18"/>
        </w:rPr>
      </w:pPr>
      <w:r>
        <w:rPr>
          <w:b/>
          <w:sz w:val="18"/>
        </w:rPr>
        <w:t>Figure 5.26 </w:t>
      </w:r>
      <w:r>
        <w:rPr>
          <w:sz w:val="18"/>
        </w:rPr>
        <w:t>Possible leakage pathways in an abandoned well: (a) and</w:t>
      </w:r>
    </w:p>
    <w:p>
      <w:pPr>
        <w:pStyle w:val="ListParagraph"/>
        <w:numPr>
          <w:ilvl w:val="0"/>
          <w:numId w:val="12"/>
        </w:numPr>
        <w:tabs>
          <w:tab w:pos="405" w:val="left" w:leader="none"/>
        </w:tabs>
        <w:spacing w:line="254" w:lineRule="auto" w:before="13" w:after="0"/>
        <w:ind w:left="157" w:right="38" w:firstLine="0"/>
        <w:jc w:val="both"/>
        <w:rPr>
          <w:sz w:val="18"/>
        </w:rPr>
      </w:pPr>
      <w:r>
        <w:rPr>
          <w:sz w:val="18"/>
        </w:rPr>
        <w:t>between</w:t>
      </w:r>
      <w:r>
        <w:rPr>
          <w:spacing w:val="-9"/>
          <w:sz w:val="18"/>
        </w:rPr>
        <w:t> </w:t>
      </w:r>
      <w:r>
        <w:rPr>
          <w:sz w:val="18"/>
        </w:rPr>
        <w:t>casing</w:t>
      </w:r>
      <w:r>
        <w:rPr>
          <w:spacing w:val="-7"/>
          <w:sz w:val="18"/>
        </w:rPr>
        <w:t> </w:t>
      </w:r>
      <w:r>
        <w:rPr>
          <w:sz w:val="18"/>
        </w:rPr>
        <w:t>and</w:t>
      </w:r>
      <w:r>
        <w:rPr>
          <w:spacing w:val="-7"/>
          <w:sz w:val="18"/>
        </w:rPr>
        <w:t> </w:t>
      </w:r>
      <w:r>
        <w:rPr>
          <w:sz w:val="18"/>
        </w:rPr>
        <w:t>cement</w:t>
      </w:r>
      <w:r>
        <w:rPr>
          <w:spacing w:val="-9"/>
          <w:sz w:val="18"/>
        </w:rPr>
        <w:t> </w:t>
      </w:r>
      <w:r>
        <w:rPr>
          <w:sz w:val="18"/>
        </w:rPr>
        <w:t>wall</w:t>
      </w:r>
      <w:r>
        <w:rPr>
          <w:spacing w:val="-8"/>
          <w:sz w:val="18"/>
        </w:rPr>
        <w:t> </w:t>
      </w:r>
      <w:r>
        <w:rPr>
          <w:sz w:val="18"/>
        </w:rPr>
        <w:t>and</w:t>
      </w:r>
      <w:r>
        <w:rPr>
          <w:spacing w:val="-7"/>
          <w:sz w:val="18"/>
        </w:rPr>
        <w:t> </w:t>
      </w:r>
      <w:r>
        <w:rPr>
          <w:sz w:val="18"/>
        </w:rPr>
        <w:t>plug,</w:t>
      </w:r>
      <w:r>
        <w:rPr>
          <w:spacing w:val="-9"/>
          <w:sz w:val="18"/>
        </w:rPr>
        <w:t> </w:t>
      </w:r>
      <w:r>
        <w:rPr>
          <w:sz w:val="18"/>
        </w:rPr>
        <w:t>respectively;</w:t>
      </w:r>
      <w:r>
        <w:rPr>
          <w:spacing w:val="-8"/>
          <w:sz w:val="18"/>
        </w:rPr>
        <w:t> </w:t>
      </w:r>
      <w:r>
        <w:rPr>
          <w:sz w:val="18"/>
        </w:rPr>
        <w:t>(c)</w:t>
      </w:r>
      <w:r>
        <w:rPr>
          <w:spacing w:val="-8"/>
          <w:sz w:val="18"/>
        </w:rPr>
        <w:t> </w:t>
      </w:r>
      <w:r>
        <w:rPr>
          <w:sz w:val="18"/>
        </w:rPr>
        <w:t>through cement plugs; (d) through casing; (e) through cement wall; and (f) between the cement wall and rock (after Gasda </w:t>
      </w:r>
      <w:r>
        <w:rPr>
          <w:i/>
          <w:sz w:val="18"/>
        </w:rPr>
        <w:t>et al.</w:t>
      </w:r>
      <w:r>
        <w:rPr>
          <w:sz w:val="18"/>
        </w:rPr>
        <w:t>,</w:t>
      </w:r>
      <w:r>
        <w:rPr>
          <w:spacing w:val="-6"/>
          <w:sz w:val="18"/>
        </w:rPr>
        <w:t> </w:t>
      </w:r>
      <w:r>
        <w:rPr>
          <w:sz w:val="18"/>
        </w:rPr>
        <w:t>2004).</w:t>
      </w:r>
    </w:p>
    <w:p>
      <w:pPr>
        <w:pStyle w:val="ListParagraph"/>
        <w:numPr>
          <w:ilvl w:val="3"/>
          <w:numId w:val="7"/>
        </w:numPr>
        <w:tabs>
          <w:tab w:pos="978" w:val="left" w:leader="none"/>
        </w:tabs>
        <w:spacing w:line="240" w:lineRule="auto" w:before="63" w:after="0"/>
        <w:ind w:left="977" w:right="0" w:hanging="821"/>
        <w:jc w:val="both"/>
        <w:rPr>
          <w:i/>
          <w:sz w:val="20"/>
        </w:rPr>
      </w:pPr>
      <w:r>
        <w:rPr>
          <w:i/>
          <w:sz w:val="20"/>
        </w:rPr>
        <w:br w:type="column"/>
        <w:t>Natural</w:t>
      </w:r>
      <w:r>
        <w:rPr>
          <w:i/>
          <w:spacing w:val="-1"/>
          <w:sz w:val="20"/>
        </w:rPr>
        <w:t> </w:t>
      </w:r>
      <w:r>
        <w:rPr>
          <w:i/>
          <w:sz w:val="20"/>
        </w:rPr>
        <w:t>systems</w:t>
      </w:r>
    </w:p>
    <w:p>
      <w:pPr>
        <w:pStyle w:val="BodyText"/>
        <w:spacing w:line="225" w:lineRule="auto" w:before="21"/>
        <w:ind w:left="157" w:right="530"/>
        <w:jc w:val="both"/>
      </w:pPr>
      <w:r>
        <w:rPr/>
        <w:t>Natural</w:t>
      </w:r>
      <w:r>
        <w:rPr>
          <w:spacing w:val="-8"/>
        </w:rPr>
        <w:t> </w:t>
      </w:r>
      <w:r>
        <w:rPr/>
        <w:t>systems</w:t>
      </w:r>
      <w:r>
        <w:rPr>
          <w:spacing w:val="-7"/>
        </w:rPr>
        <w:t> </w:t>
      </w:r>
      <w:r>
        <w:rPr/>
        <w:t>allow</w:t>
      </w:r>
      <w:r>
        <w:rPr>
          <w:spacing w:val="-8"/>
        </w:rPr>
        <w:t> </w:t>
      </w:r>
      <w:r>
        <w:rPr/>
        <w:t>inferences</w:t>
      </w:r>
      <w:r>
        <w:rPr>
          <w:spacing w:val="-7"/>
        </w:rPr>
        <w:t> </w:t>
      </w:r>
      <w:r>
        <w:rPr/>
        <w:t>about</w:t>
      </w:r>
      <w:r>
        <w:rPr>
          <w:spacing w:val="-8"/>
        </w:rPr>
        <w:t> </w:t>
      </w:r>
      <w:r>
        <w:rPr/>
        <w:t>the</w:t>
      </w:r>
      <w:r>
        <w:rPr>
          <w:spacing w:val="-7"/>
        </w:rPr>
        <w:t> </w:t>
      </w:r>
      <w:r>
        <w:rPr/>
        <w:t>quality</w:t>
      </w:r>
      <w:r>
        <w:rPr>
          <w:spacing w:val="-7"/>
        </w:rPr>
        <w:t> </w:t>
      </w:r>
      <w:r>
        <w:rPr/>
        <w:t>and</w:t>
      </w:r>
      <w:r>
        <w:rPr>
          <w:spacing w:val="-8"/>
        </w:rPr>
        <w:t> </w:t>
      </w:r>
      <w:r>
        <w:rPr/>
        <w:t>quantity of geological formations that could be used to store CO</w:t>
      </w:r>
      <w:r>
        <w:rPr>
          <w:position w:val="-6"/>
          <w:sz w:val="11"/>
        </w:rPr>
        <w:t>2</w:t>
      </w:r>
      <w:r>
        <w:rPr/>
        <w:t>. The widespread presence of oil, gas and CO</w:t>
      </w:r>
      <w:r>
        <w:rPr>
          <w:position w:val="-6"/>
          <w:sz w:val="11"/>
        </w:rPr>
        <w:t>2 </w:t>
      </w:r>
      <w:r>
        <w:rPr/>
        <w:t>trapped in formations for many millions of years implies that within sedimentary basins,</w:t>
      </w:r>
      <w:r>
        <w:rPr>
          <w:spacing w:val="-9"/>
        </w:rPr>
        <w:t> </w:t>
      </w:r>
      <w:r>
        <w:rPr/>
        <w:t>impermeable</w:t>
      </w:r>
      <w:r>
        <w:rPr>
          <w:spacing w:val="-8"/>
        </w:rPr>
        <w:t> </w:t>
      </w:r>
      <w:r>
        <w:rPr/>
        <w:t>formations</w:t>
      </w:r>
      <w:r>
        <w:rPr>
          <w:spacing w:val="-8"/>
        </w:rPr>
        <w:t> </w:t>
      </w:r>
      <w:r>
        <w:rPr/>
        <w:t>(caprocks)</w:t>
      </w:r>
      <w:r>
        <w:rPr>
          <w:spacing w:val="-8"/>
        </w:rPr>
        <w:t> </w:t>
      </w:r>
      <w:r>
        <w:rPr/>
        <w:t>of</w:t>
      </w:r>
      <w:r>
        <w:rPr>
          <w:spacing w:val="-8"/>
        </w:rPr>
        <w:t> </w:t>
      </w:r>
      <w:r>
        <w:rPr/>
        <w:t>sufficient</w:t>
      </w:r>
      <w:r>
        <w:rPr>
          <w:spacing w:val="-8"/>
        </w:rPr>
        <w:t> </w:t>
      </w:r>
      <w:r>
        <w:rPr/>
        <w:t>quality to confine CO</w:t>
      </w:r>
      <w:r>
        <w:rPr>
          <w:position w:val="-6"/>
          <w:sz w:val="11"/>
        </w:rPr>
        <w:t>2 </w:t>
      </w:r>
      <w:r>
        <w:rPr/>
        <w:t>for geological time periods are present. </w:t>
      </w:r>
      <w:r>
        <w:rPr>
          <w:spacing w:val="-5"/>
        </w:rPr>
        <w:t>For </w:t>
      </w:r>
      <w:r>
        <w:rPr/>
        <w:t>example, the about 200 MtCO</w:t>
      </w:r>
      <w:r>
        <w:rPr>
          <w:position w:val="-6"/>
          <w:sz w:val="11"/>
        </w:rPr>
        <w:t>2 </w:t>
      </w:r>
      <w:r>
        <w:rPr/>
        <w:t>trapped in the Pisgah Anticline, northeast</w:t>
      </w:r>
      <w:r>
        <w:rPr>
          <w:spacing w:val="-7"/>
        </w:rPr>
        <w:t> </w:t>
      </w:r>
      <w:r>
        <w:rPr/>
        <w:t>of</w:t>
      </w:r>
      <w:r>
        <w:rPr>
          <w:spacing w:val="-6"/>
        </w:rPr>
        <w:t> </w:t>
      </w:r>
      <w:r>
        <w:rPr/>
        <w:t>the</w:t>
      </w:r>
      <w:r>
        <w:rPr>
          <w:spacing w:val="-7"/>
        </w:rPr>
        <w:t> </w:t>
      </w:r>
      <w:r>
        <w:rPr/>
        <w:t>Jackson</w:t>
      </w:r>
      <w:r>
        <w:rPr>
          <w:spacing w:val="-7"/>
        </w:rPr>
        <w:t> </w:t>
      </w:r>
      <w:r>
        <w:rPr/>
        <w:t>Dome</w:t>
      </w:r>
      <w:r>
        <w:rPr>
          <w:spacing w:val="-7"/>
        </w:rPr>
        <w:t> </w:t>
      </w:r>
      <w:r>
        <w:rPr/>
        <w:t>(Mississippi),</w:t>
      </w:r>
      <w:r>
        <w:rPr>
          <w:spacing w:val="-6"/>
        </w:rPr>
        <w:t> </w:t>
      </w:r>
      <w:r>
        <w:rPr/>
        <w:t>is</w:t>
      </w:r>
      <w:r>
        <w:rPr>
          <w:spacing w:val="-6"/>
        </w:rPr>
        <w:t> </w:t>
      </w:r>
      <w:r>
        <w:rPr/>
        <w:t>thought</w:t>
      </w:r>
      <w:r>
        <w:rPr>
          <w:spacing w:val="-7"/>
        </w:rPr>
        <w:t> </w:t>
      </w:r>
      <w:r>
        <w:rPr/>
        <w:t>to</w:t>
      </w:r>
      <w:r>
        <w:rPr>
          <w:spacing w:val="-6"/>
        </w:rPr>
        <w:t> </w:t>
      </w:r>
      <w:r>
        <w:rPr/>
        <w:t>have been generated in Late Cretaceous times, more than 65</w:t>
      </w:r>
      <w:r>
        <w:rPr>
          <w:spacing w:val="6"/>
        </w:rPr>
        <w:t> </w:t>
      </w:r>
      <w:r>
        <w:rPr/>
        <w:t>million</w:t>
      </w:r>
    </w:p>
    <w:p>
      <w:pPr>
        <w:spacing w:after="0" w:line="225" w:lineRule="auto"/>
        <w:jc w:val="both"/>
        <w:sectPr>
          <w:type w:val="continuous"/>
          <w:pgSz w:w="12240" w:h="15840"/>
          <w:pgMar w:top="400" w:bottom="280" w:left="580" w:right="600"/>
          <w:cols w:num="2" w:equalWidth="0">
            <w:col w:w="5241" w:space="85"/>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553"/>
        <w:jc w:val="both"/>
      </w:pPr>
      <w:r>
        <w:rPr/>
        <w:t>years ago (Studlick </w:t>
      </w:r>
      <w:r>
        <w:rPr>
          <w:i/>
        </w:rPr>
        <w:t>et al.</w:t>
      </w:r>
      <w:r>
        <w:rPr/>
        <w:t>, 1990). Retention times longer </w:t>
      </w:r>
      <w:r>
        <w:rPr>
          <w:spacing w:val="-4"/>
        </w:rPr>
        <w:t>than </w:t>
      </w:r>
      <w:r>
        <w:rPr/>
        <w:t>10 million years are found in many of the </w:t>
      </w:r>
      <w:r>
        <w:rPr>
          <w:spacing w:val="-3"/>
        </w:rPr>
        <w:t>world’s </w:t>
      </w:r>
      <w:r>
        <w:rPr/>
        <w:t>petroleum basins</w:t>
      </w:r>
      <w:r>
        <w:rPr>
          <w:spacing w:val="-10"/>
        </w:rPr>
        <w:t> </w:t>
      </w:r>
      <w:r>
        <w:rPr/>
        <w:t>(Bradshaw</w:t>
      </w:r>
      <w:r>
        <w:rPr>
          <w:spacing w:val="-9"/>
        </w:rPr>
        <w:t> </w:t>
      </w:r>
      <w:r>
        <w:rPr>
          <w:i/>
        </w:rPr>
        <w:t>et</w:t>
      </w:r>
      <w:r>
        <w:rPr>
          <w:i/>
          <w:spacing w:val="-10"/>
        </w:rPr>
        <w:t> </w:t>
      </w:r>
      <w:r>
        <w:rPr>
          <w:i/>
        </w:rPr>
        <w:t>al.</w:t>
      </w:r>
      <w:r>
        <w:rPr/>
        <w:t>,</w:t>
      </w:r>
      <w:r>
        <w:rPr>
          <w:spacing w:val="-9"/>
        </w:rPr>
        <w:t> </w:t>
      </w:r>
      <w:r>
        <w:rPr/>
        <w:t>2005).</w:t>
      </w:r>
      <w:r>
        <w:rPr>
          <w:spacing w:val="-13"/>
        </w:rPr>
        <w:t> </w:t>
      </w:r>
      <w:r>
        <w:rPr/>
        <w:t>Therefore</w:t>
      </w:r>
      <w:r>
        <w:rPr>
          <w:spacing w:val="-10"/>
        </w:rPr>
        <w:t> </w:t>
      </w:r>
      <w:r>
        <w:rPr/>
        <w:t>evidence</w:t>
      </w:r>
      <w:r>
        <w:rPr>
          <w:spacing w:val="-10"/>
        </w:rPr>
        <w:t> </w:t>
      </w:r>
      <w:r>
        <w:rPr/>
        <w:t>from</w:t>
      </w:r>
      <w:r>
        <w:rPr>
          <w:spacing w:val="-9"/>
        </w:rPr>
        <w:t> </w:t>
      </w:r>
      <w:r>
        <w:rPr>
          <w:spacing w:val="-3"/>
        </w:rPr>
        <w:t>natural </w:t>
      </w:r>
      <w:r>
        <w:rPr/>
        <w:t>systems demonstrates that reservoir seals exist that are able to confine CO</w:t>
      </w:r>
      <w:r>
        <w:rPr>
          <w:position w:val="-6"/>
          <w:sz w:val="11"/>
        </w:rPr>
        <w:t>2 </w:t>
      </w:r>
      <w:r>
        <w:rPr/>
        <w:t>for millions of years and</w:t>
      </w:r>
      <w:r>
        <w:rPr>
          <w:spacing w:val="-9"/>
        </w:rPr>
        <w:t> </w:t>
      </w:r>
      <w:r>
        <w:rPr/>
        <w:t>longer.</w:t>
      </w:r>
    </w:p>
    <w:p>
      <w:pPr>
        <w:pStyle w:val="ListParagraph"/>
        <w:numPr>
          <w:ilvl w:val="3"/>
          <w:numId w:val="7"/>
        </w:numPr>
        <w:tabs>
          <w:tab w:pos="1374" w:val="left" w:leader="none"/>
        </w:tabs>
        <w:spacing w:line="240" w:lineRule="auto" w:before="194" w:after="0"/>
        <w:ind w:left="1373" w:right="0" w:hanging="821"/>
        <w:jc w:val="both"/>
        <w:rPr>
          <w:i/>
          <w:sz w:val="20"/>
        </w:rPr>
      </w:pPr>
      <w:r>
        <w:rPr>
          <w:i/>
          <w:sz w:val="20"/>
        </w:rPr>
        <w:t>Engineered</w:t>
      </w:r>
      <w:r>
        <w:rPr>
          <w:i/>
          <w:spacing w:val="-1"/>
          <w:sz w:val="20"/>
        </w:rPr>
        <w:t> </w:t>
      </w:r>
      <w:r>
        <w:rPr>
          <w:i/>
          <w:sz w:val="20"/>
        </w:rPr>
        <w:t>systems</w:t>
      </w:r>
    </w:p>
    <w:p>
      <w:pPr>
        <w:pStyle w:val="BodyText"/>
        <w:spacing w:line="249" w:lineRule="auto" w:before="10"/>
        <w:ind w:left="553"/>
        <w:jc w:val="both"/>
      </w:pPr>
      <w:r>
        <w:rPr/>
        <w:t>Evidence</w:t>
      </w:r>
      <w:r>
        <w:rPr>
          <w:spacing w:val="-14"/>
        </w:rPr>
        <w:t> </w:t>
      </w:r>
      <w:r>
        <w:rPr/>
        <w:t>from</w:t>
      </w:r>
      <w:r>
        <w:rPr>
          <w:spacing w:val="-14"/>
        </w:rPr>
        <w:t> </w:t>
      </w:r>
      <w:r>
        <w:rPr/>
        <w:t>natural</w:t>
      </w:r>
      <w:r>
        <w:rPr>
          <w:spacing w:val="-13"/>
        </w:rPr>
        <w:t> </w:t>
      </w:r>
      <w:r>
        <w:rPr/>
        <w:t>gas</w:t>
      </w:r>
      <w:r>
        <w:rPr>
          <w:spacing w:val="-14"/>
        </w:rPr>
        <w:t> </w:t>
      </w:r>
      <w:r>
        <w:rPr/>
        <w:t>storage</w:t>
      </w:r>
      <w:r>
        <w:rPr>
          <w:spacing w:val="-15"/>
        </w:rPr>
        <w:t> </w:t>
      </w:r>
      <w:r>
        <w:rPr/>
        <w:t>systems</w:t>
      </w:r>
      <w:r>
        <w:rPr>
          <w:spacing w:val="-13"/>
        </w:rPr>
        <w:t> </w:t>
      </w:r>
      <w:r>
        <w:rPr/>
        <w:t>enables</w:t>
      </w:r>
      <w:r>
        <w:rPr>
          <w:spacing w:val="-14"/>
        </w:rPr>
        <w:t> </w:t>
      </w:r>
      <w:r>
        <w:rPr/>
        <w:t>performance assessments of engineered barriers (wells and associated management</w:t>
      </w:r>
      <w:r>
        <w:rPr>
          <w:spacing w:val="-18"/>
        </w:rPr>
        <w:t> </w:t>
      </w:r>
      <w:r>
        <w:rPr/>
        <w:t>and</w:t>
      </w:r>
      <w:r>
        <w:rPr>
          <w:spacing w:val="-17"/>
        </w:rPr>
        <w:t> </w:t>
      </w:r>
      <w:r>
        <w:rPr/>
        <w:t>remediation)</w:t>
      </w:r>
      <w:r>
        <w:rPr>
          <w:spacing w:val="-17"/>
        </w:rPr>
        <w:t> </w:t>
      </w:r>
      <w:r>
        <w:rPr/>
        <w:t>and</w:t>
      </w:r>
      <w:r>
        <w:rPr>
          <w:spacing w:val="-18"/>
        </w:rPr>
        <w:t> </w:t>
      </w:r>
      <w:r>
        <w:rPr/>
        <w:t>of</w:t>
      </w:r>
      <w:r>
        <w:rPr>
          <w:spacing w:val="-17"/>
        </w:rPr>
        <w:t> </w:t>
      </w:r>
      <w:r>
        <w:rPr/>
        <w:t>the</w:t>
      </w:r>
      <w:r>
        <w:rPr>
          <w:spacing w:val="-17"/>
        </w:rPr>
        <w:t> </w:t>
      </w:r>
      <w:r>
        <w:rPr/>
        <w:t>performance</w:t>
      </w:r>
      <w:r>
        <w:rPr>
          <w:spacing w:val="-17"/>
        </w:rPr>
        <w:t> </w:t>
      </w:r>
      <w:r>
        <w:rPr/>
        <w:t>of</w:t>
      </w:r>
      <w:r>
        <w:rPr>
          <w:spacing w:val="-18"/>
        </w:rPr>
        <w:t> </w:t>
      </w:r>
      <w:r>
        <w:rPr/>
        <w:t>natural systems that have been altered by pressure cycling (Lippmann and</w:t>
      </w:r>
      <w:r>
        <w:rPr>
          <w:spacing w:val="-10"/>
        </w:rPr>
        <w:t> </w:t>
      </w:r>
      <w:r>
        <w:rPr/>
        <w:t>Benson,</w:t>
      </w:r>
      <w:r>
        <w:rPr>
          <w:spacing w:val="-9"/>
        </w:rPr>
        <w:t> </w:t>
      </w:r>
      <w:r>
        <w:rPr/>
        <w:t>2003;</w:t>
      </w:r>
      <w:r>
        <w:rPr>
          <w:spacing w:val="-10"/>
        </w:rPr>
        <w:t> </w:t>
      </w:r>
      <w:r>
        <w:rPr>
          <w:spacing w:val="-3"/>
        </w:rPr>
        <w:t>Perry,</w:t>
      </w:r>
      <w:r>
        <w:rPr>
          <w:spacing w:val="-9"/>
        </w:rPr>
        <w:t> </w:t>
      </w:r>
      <w:r>
        <w:rPr/>
        <w:t>2005).</w:t>
      </w:r>
      <w:r>
        <w:rPr>
          <w:spacing w:val="-20"/>
        </w:rPr>
        <w:t> </w:t>
      </w:r>
      <w:r>
        <w:rPr/>
        <w:t>Approximately</w:t>
      </w:r>
      <w:r>
        <w:rPr>
          <w:spacing w:val="-10"/>
        </w:rPr>
        <w:t> </w:t>
      </w:r>
      <w:r>
        <w:rPr/>
        <w:t>470</w:t>
      </w:r>
      <w:r>
        <w:rPr>
          <w:spacing w:val="-9"/>
        </w:rPr>
        <w:t> </w:t>
      </w:r>
      <w:r>
        <w:rPr/>
        <w:t>natural</w:t>
      </w:r>
      <w:r>
        <w:rPr>
          <w:spacing w:val="-10"/>
        </w:rPr>
        <w:t> </w:t>
      </w:r>
      <w:r>
        <w:rPr/>
        <w:t>gas storage facilities are currently operating in the United States with a total storage capacity exceeding 160 Mt natural gas </w:t>
      </w:r>
      <w:hyperlink w:history="true" w:anchor="_bookmark20">
        <w:r>
          <w:rPr/>
          <w:t>(Figure 5.12). </w:t>
        </w:r>
      </w:hyperlink>
      <w:r>
        <w:rPr/>
        <w:t>There have been nine documented incidents </w:t>
      </w:r>
      <w:r>
        <w:rPr>
          <w:spacing w:val="-6"/>
        </w:rPr>
        <w:t>of </w:t>
      </w:r>
      <w:r>
        <w:rPr/>
        <w:t>significant</w:t>
      </w:r>
      <w:r>
        <w:rPr>
          <w:spacing w:val="-11"/>
        </w:rPr>
        <w:t> </w:t>
      </w:r>
      <w:r>
        <w:rPr/>
        <w:t>leakage:</w:t>
      </w:r>
      <w:r>
        <w:rPr>
          <w:spacing w:val="-11"/>
        </w:rPr>
        <w:t> </w:t>
      </w:r>
      <w:r>
        <w:rPr/>
        <w:t>five</w:t>
      </w:r>
      <w:r>
        <w:rPr>
          <w:spacing w:val="-11"/>
        </w:rPr>
        <w:t> </w:t>
      </w:r>
      <w:r>
        <w:rPr/>
        <w:t>were</w:t>
      </w:r>
      <w:r>
        <w:rPr>
          <w:spacing w:val="-10"/>
        </w:rPr>
        <w:t> </w:t>
      </w:r>
      <w:r>
        <w:rPr/>
        <w:t>related</w:t>
      </w:r>
      <w:r>
        <w:rPr>
          <w:spacing w:val="-11"/>
        </w:rPr>
        <w:t> </w:t>
      </w:r>
      <w:r>
        <w:rPr/>
        <w:t>to</w:t>
      </w:r>
      <w:r>
        <w:rPr>
          <w:spacing w:val="-11"/>
        </w:rPr>
        <w:t> </w:t>
      </w:r>
      <w:r>
        <w:rPr/>
        <w:t>wellbore</w:t>
      </w:r>
      <w:r>
        <w:rPr>
          <w:spacing w:val="-11"/>
        </w:rPr>
        <w:t> </w:t>
      </w:r>
      <w:r>
        <w:rPr/>
        <w:t>integrity,</w:t>
      </w:r>
      <w:r>
        <w:rPr>
          <w:spacing w:val="-10"/>
        </w:rPr>
        <w:t> </w:t>
      </w:r>
      <w:r>
        <w:rPr/>
        <w:t>each of</w:t>
      </w:r>
      <w:r>
        <w:rPr>
          <w:spacing w:val="-8"/>
        </w:rPr>
        <w:t> </w:t>
      </w:r>
      <w:r>
        <w:rPr/>
        <w:t>which</w:t>
      </w:r>
      <w:r>
        <w:rPr>
          <w:spacing w:val="-7"/>
        </w:rPr>
        <w:t> </w:t>
      </w:r>
      <w:r>
        <w:rPr/>
        <w:t>was</w:t>
      </w:r>
      <w:r>
        <w:rPr>
          <w:spacing w:val="-7"/>
        </w:rPr>
        <w:t> </w:t>
      </w:r>
      <w:r>
        <w:rPr/>
        <w:t>resolved</w:t>
      </w:r>
      <w:r>
        <w:rPr>
          <w:spacing w:val="-7"/>
        </w:rPr>
        <w:t> </w:t>
      </w:r>
      <w:r>
        <w:rPr/>
        <w:t>by</w:t>
      </w:r>
      <w:r>
        <w:rPr>
          <w:spacing w:val="-7"/>
        </w:rPr>
        <w:t> </w:t>
      </w:r>
      <w:r>
        <w:rPr/>
        <w:t>reworking</w:t>
      </w:r>
      <w:r>
        <w:rPr>
          <w:spacing w:val="-7"/>
        </w:rPr>
        <w:t> </w:t>
      </w:r>
      <w:r>
        <w:rPr/>
        <w:t>the</w:t>
      </w:r>
      <w:r>
        <w:rPr>
          <w:spacing w:val="-7"/>
        </w:rPr>
        <w:t> </w:t>
      </w:r>
      <w:r>
        <w:rPr/>
        <w:t>wells;</w:t>
      </w:r>
      <w:r>
        <w:rPr>
          <w:spacing w:val="-7"/>
        </w:rPr>
        <w:t> </w:t>
      </w:r>
      <w:r>
        <w:rPr/>
        <w:t>three</w:t>
      </w:r>
      <w:r>
        <w:rPr>
          <w:spacing w:val="-7"/>
        </w:rPr>
        <w:t> </w:t>
      </w:r>
      <w:r>
        <w:rPr/>
        <w:t>arose</w:t>
      </w:r>
      <w:r>
        <w:rPr>
          <w:spacing w:val="-7"/>
        </w:rPr>
        <w:t> </w:t>
      </w:r>
      <w:r>
        <w:rPr/>
        <w:t>from leaks in caprocks, two of which were remediated and one of which led to project abandonment. The final incident involved early project abandonment owing to poor site selection (Perry, 2005). There are no estimates of the total volumes of gas </w:t>
      </w:r>
      <w:r>
        <w:rPr>
          <w:spacing w:val="-4"/>
        </w:rPr>
        <w:t>lost </w:t>
      </w:r>
      <w:r>
        <w:rPr/>
        <w:t>resulting from leakage across all the projects. In one recent serious example of leakage, involving wellbore failure at a facility</w:t>
      </w:r>
      <w:r>
        <w:rPr>
          <w:spacing w:val="-14"/>
        </w:rPr>
        <w:t> </w:t>
      </w:r>
      <w:r>
        <w:rPr/>
        <w:t>in</w:t>
      </w:r>
      <w:r>
        <w:rPr>
          <w:spacing w:val="-14"/>
        </w:rPr>
        <w:t> </w:t>
      </w:r>
      <w:r>
        <w:rPr/>
        <w:t>Kansas,</w:t>
      </w:r>
      <w:r>
        <w:rPr>
          <w:spacing w:val="-14"/>
        </w:rPr>
        <w:t> </w:t>
      </w:r>
      <w:r>
        <w:rPr/>
        <w:t>the</w:t>
      </w:r>
      <w:r>
        <w:rPr>
          <w:spacing w:val="-13"/>
        </w:rPr>
        <w:t> </w:t>
      </w:r>
      <w:r>
        <w:rPr/>
        <w:t>total</w:t>
      </w:r>
      <w:r>
        <w:rPr>
          <w:spacing w:val="-14"/>
        </w:rPr>
        <w:t> </w:t>
      </w:r>
      <w:r>
        <w:rPr/>
        <w:t>mass</w:t>
      </w:r>
      <w:r>
        <w:rPr>
          <w:spacing w:val="-14"/>
        </w:rPr>
        <w:t> </w:t>
      </w:r>
      <w:r>
        <w:rPr/>
        <w:t>released</w:t>
      </w:r>
      <w:r>
        <w:rPr>
          <w:spacing w:val="-13"/>
        </w:rPr>
        <w:t> </w:t>
      </w:r>
      <w:r>
        <w:rPr/>
        <w:t>was</w:t>
      </w:r>
      <w:r>
        <w:rPr>
          <w:spacing w:val="-14"/>
        </w:rPr>
        <w:t> </w:t>
      </w:r>
      <w:r>
        <w:rPr/>
        <w:t>about</w:t>
      </w:r>
      <w:r>
        <w:rPr>
          <w:spacing w:val="-14"/>
        </w:rPr>
        <w:t> </w:t>
      </w:r>
      <w:r>
        <w:rPr/>
        <w:t>3000</w:t>
      </w:r>
      <w:r>
        <w:rPr>
          <w:spacing w:val="-13"/>
        </w:rPr>
        <w:t> </w:t>
      </w:r>
      <w:r>
        <w:rPr/>
        <w:t>t</w:t>
      </w:r>
      <w:r>
        <w:rPr>
          <w:spacing w:val="-14"/>
        </w:rPr>
        <w:t> </w:t>
      </w:r>
      <w:r>
        <w:rPr/>
        <w:t>(Lee, 2001), equal to less than 0.002% of the total gas in storage in the United States and Canada. The capacity-weighted median age</w:t>
      </w:r>
      <w:r>
        <w:rPr>
          <w:spacing w:val="-5"/>
        </w:rPr>
        <w:t> </w:t>
      </w:r>
      <w:r>
        <w:rPr/>
        <w:t>of</w:t>
      </w:r>
      <w:r>
        <w:rPr>
          <w:spacing w:val="-5"/>
        </w:rPr>
        <w:t> </w:t>
      </w:r>
      <w:r>
        <w:rPr/>
        <w:t>the</w:t>
      </w:r>
      <w:r>
        <w:rPr>
          <w:spacing w:val="-4"/>
        </w:rPr>
        <w:t> </w:t>
      </w:r>
      <w:r>
        <w:rPr/>
        <w:t>approximately</w:t>
      </w:r>
      <w:r>
        <w:rPr>
          <w:spacing w:val="-5"/>
        </w:rPr>
        <w:t> </w:t>
      </w:r>
      <w:r>
        <w:rPr/>
        <w:t>470</w:t>
      </w:r>
      <w:r>
        <w:rPr>
          <w:spacing w:val="-4"/>
        </w:rPr>
        <w:t> </w:t>
      </w:r>
      <w:r>
        <w:rPr/>
        <w:t>facilities</w:t>
      </w:r>
      <w:r>
        <w:rPr>
          <w:spacing w:val="-5"/>
        </w:rPr>
        <w:t> </w:t>
      </w:r>
      <w:r>
        <w:rPr/>
        <w:t>exceeds</w:t>
      </w:r>
      <w:r>
        <w:rPr>
          <w:spacing w:val="-4"/>
        </w:rPr>
        <w:t> </w:t>
      </w:r>
      <w:r>
        <w:rPr/>
        <w:t>25</w:t>
      </w:r>
      <w:r>
        <w:rPr>
          <w:spacing w:val="-5"/>
        </w:rPr>
        <w:t> </w:t>
      </w:r>
      <w:r>
        <w:rPr/>
        <w:t>years.</w:t>
      </w:r>
      <w:r>
        <w:rPr>
          <w:spacing w:val="-4"/>
        </w:rPr>
        <w:t> </w:t>
      </w:r>
      <w:r>
        <w:rPr/>
        <w:t>Given</w:t>
      </w:r>
      <w:bookmarkStart w:name="_bookmark43" w:id="91"/>
      <w:bookmarkEnd w:id="91"/>
      <w:r>
        <w:rPr/>
      </w:r>
      <w:r>
        <w:rPr/>
        <w:t> that the Kansas failure was among the worst in the cumulative operating history of gas storage facilities, the average annual release rates, expressed as a fraction of stored gas released</w:t>
      </w:r>
      <w:r>
        <w:rPr>
          <w:spacing w:val="6"/>
        </w:rPr>
        <w:t> </w:t>
      </w:r>
      <w:r>
        <w:rPr>
          <w:spacing w:val="-4"/>
        </w:rPr>
        <w:t>per</w:t>
      </w:r>
    </w:p>
    <w:p>
      <w:pPr>
        <w:pStyle w:val="BodyText"/>
        <w:spacing w:line="249" w:lineRule="auto" w:before="63"/>
        <w:ind w:left="241" w:right="134"/>
        <w:jc w:val="both"/>
      </w:pPr>
      <w:r>
        <w:rPr/>
        <w:br w:type="column"/>
      </w:r>
      <w:r>
        <w:rPr/>
        <w:t>storage</w:t>
      </w:r>
      <w:r>
        <w:rPr>
          <w:spacing w:val="-15"/>
        </w:rPr>
        <w:t> </w:t>
      </w:r>
      <w:r>
        <w:rPr/>
        <w:t>effectiveness,</w:t>
      </w:r>
      <w:r>
        <w:rPr>
          <w:spacing w:val="-15"/>
        </w:rPr>
        <w:t> </w:t>
      </w:r>
      <w:r>
        <w:rPr/>
        <w:t>they</w:t>
      </w:r>
      <w:r>
        <w:rPr>
          <w:spacing w:val="-15"/>
        </w:rPr>
        <w:t> </w:t>
      </w:r>
      <w:r>
        <w:rPr/>
        <w:t>should</w:t>
      </w:r>
      <w:r>
        <w:rPr>
          <w:spacing w:val="-15"/>
        </w:rPr>
        <w:t> </w:t>
      </w:r>
      <w:r>
        <w:rPr/>
        <w:t>not</w:t>
      </w:r>
      <w:r>
        <w:rPr>
          <w:spacing w:val="-14"/>
        </w:rPr>
        <w:t> </w:t>
      </w:r>
      <w:r>
        <w:rPr/>
        <w:t>be</w:t>
      </w:r>
      <w:r>
        <w:rPr>
          <w:spacing w:val="-15"/>
        </w:rPr>
        <w:t> </w:t>
      </w:r>
      <w:r>
        <w:rPr/>
        <w:t>interpreted</w:t>
      </w:r>
      <w:r>
        <w:rPr>
          <w:spacing w:val="-15"/>
        </w:rPr>
        <w:t> </w:t>
      </w:r>
      <w:r>
        <w:rPr/>
        <w:t>as</w:t>
      </w:r>
      <w:r>
        <w:rPr>
          <w:spacing w:val="-15"/>
        </w:rPr>
        <w:t> </w:t>
      </w:r>
      <w:r>
        <w:rPr/>
        <w:t>implying that release will be a continuous</w:t>
      </w:r>
      <w:r>
        <w:rPr>
          <w:spacing w:val="-2"/>
        </w:rPr>
        <w:t> </w:t>
      </w:r>
      <w:r>
        <w:rPr/>
        <w:t>process.</w:t>
      </w:r>
    </w:p>
    <w:p>
      <w:pPr>
        <w:pStyle w:val="BodyText"/>
        <w:spacing w:line="225" w:lineRule="auto" w:before="13"/>
        <w:ind w:left="241" w:right="135" w:firstLine="283"/>
        <w:jc w:val="both"/>
      </w:pPr>
      <w:r>
        <w:rPr/>
        <w:t>The performance of natural gas storage systems may be regarded</w:t>
      </w:r>
      <w:r>
        <w:rPr>
          <w:spacing w:val="-17"/>
        </w:rPr>
        <w:t> </w:t>
      </w:r>
      <w:r>
        <w:rPr/>
        <w:t>as</w:t>
      </w:r>
      <w:r>
        <w:rPr>
          <w:spacing w:val="-16"/>
        </w:rPr>
        <w:t> </w:t>
      </w:r>
      <w:r>
        <w:rPr/>
        <w:t>a</w:t>
      </w:r>
      <w:r>
        <w:rPr>
          <w:spacing w:val="-17"/>
        </w:rPr>
        <w:t> </w:t>
      </w:r>
      <w:r>
        <w:rPr/>
        <w:t>lower</w:t>
      </w:r>
      <w:r>
        <w:rPr>
          <w:spacing w:val="-16"/>
        </w:rPr>
        <w:t> </w:t>
      </w:r>
      <w:r>
        <w:rPr/>
        <w:t>bound</w:t>
      </w:r>
      <w:r>
        <w:rPr>
          <w:spacing w:val="-17"/>
        </w:rPr>
        <w:t> </w:t>
      </w:r>
      <w:r>
        <w:rPr/>
        <w:t>on</w:t>
      </w:r>
      <w:r>
        <w:rPr>
          <w:spacing w:val="-16"/>
        </w:rPr>
        <w:t> </w:t>
      </w:r>
      <w:r>
        <w:rPr/>
        <w:t>that</w:t>
      </w:r>
      <w:r>
        <w:rPr>
          <w:spacing w:val="-17"/>
        </w:rPr>
        <w:t> </w:t>
      </w:r>
      <w:r>
        <w:rPr/>
        <w:t>of</w:t>
      </w:r>
      <w:r>
        <w:rPr>
          <w:spacing w:val="-16"/>
        </w:rPr>
        <w:t> </w:t>
      </w:r>
      <w:r>
        <w:rPr/>
        <w:t>CO</w:t>
      </w:r>
      <w:r>
        <w:rPr>
          <w:position w:val="-6"/>
          <w:sz w:val="11"/>
        </w:rPr>
        <w:t>2</w:t>
      </w:r>
      <w:r>
        <w:rPr>
          <w:spacing w:val="5"/>
          <w:position w:val="-6"/>
          <w:sz w:val="11"/>
        </w:rPr>
        <w:t> </w:t>
      </w:r>
      <w:r>
        <w:rPr/>
        <w:t>storage.</w:t>
      </w:r>
      <w:r>
        <w:rPr>
          <w:spacing w:val="-16"/>
        </w:rPr>
        <w:t> </w:t>
      </w:r>
      <w:r>
        <w:rPr/>
        <w:t>One</w:t>
      </w:r>
      <w:r>
        <w:rPr>
          <w:spacing w:val="-16"/>
        </w:rPr>
        <w:t> </w:t>
      </w:r>
      <w:r>
        <w:rPr/>
        <w:t>reason</w:t>
      </w:r>
      <w:r>
        <w:rPr>
          <w:spacing w:val="-17"/>
        </w:rPr>
        <w:t> </w:t>
      </w:r>
      <w:r>
        <w:rPr/>
        <w:t>for this is that natural gas systems are designed for (and subject</w:t>
      </w:r>
      <w:r>
        <w:rPr>
          <w:spacing w:val="-34"/>
        </w:rPr>
        <w:t> </w:t>
      </w:r>
      <w:r>
        <w:rPr/>
        <w:t>to)</w:t>
      </w:r>
    </w:p>
    <w:p>
      <w:pPr>
        <w:pStyle w:val="BodyText"/>
        <w:spacing w:line="240" w:lineRule="exact" w:before="4"/>
        <w:ind w:left="241" w:right="133"/>
        <w:jc w:val="both"/>
      </w:pPr>
      <w:r>
        <w:rPr/>
        <w:t>rapid pressure cycling that increases the probability of caprock leakage. On the other hand, CO</w:t>
      </w:r>
      <w:r>
        <w:rPr>
          <w:position w:val="-6"/>
          <w:sz w:val="11"/>
        </w:rPr>
        <w:t>2 </w:t>
      </w:r>
      <w:r>
        <w:rPr/>
        <w:t>will dissolve in pore waters</w:t>
      </w:r>
      <w:r>
        <w:rPr>
          <w:spacing w:val="-17"/>
        </w:rPr>
        <w:t> </w:t>
      </w:r>
      <w:r>
        <w:rPr/>
        <w:t>(if present), thereby reducing the risk of leakage. Perhaps the</w:t>
      </w:r>
      <w:r>
        <w:rPr>
          <w:spacing w:val="-15"/>
        </w:rPr>
        <w:t> </w:t>
      </w:r>
      <w:r>
        <w:rPr/>
        <w:t>only respect in which gas storage systems present lower risks is that CH</w:t>
      </w:r>
      <w:r>
        <w:rPr>
          <w:position w:val="-6"/>
          <w:sz w:val="11"/>
        </w:rPr>
        <w:t>4 </w:t>
      </w:r>
      <w:r>
        <w:rPr/>
        <w:t>is less corrosive than CO</w:t>
      </w:r>
      <w:r>
        <w:rPr>
          <w:position w:val="-6"/>
          <w:sz w:val="11"/>
        </w:rPr>
        <w:t>2  </w:t>
      </w:r>
      <w:r>
        <w:rPr/>
        <w:t>to metallic components, such  as well casings. Risks are higher in the case of leakage from natural</w:t>
      </w:r>
      <w:r>
        <w:rPr>
          <w:spacing w:val="-5"/>
        </w:rPr>
        <w:t> </w:t>
      </w:r>
      <w:r>
        <w:rPr/>
        <w:t>gas</w:t>
      </w:r>
      <w:r>
        <w:rPr>
          <w:spacing w:val="-4"/>
        </w:rPr>
        <w:t> </w:t>
      </w:r>
      <w:r>
        <w:rPr/>
        <w:t>storage</w:t>
      </w:r>
      <w:r>
        <w:rPr>
          <w:spacing w:val="-5"/>
        </w:rPr>
        <w:t> </w:t>
      </w:r>
      <w:r>
        <w:rPr/>
        <w:t>sites</w:t>
      </w:r>
      <w:r>
        <w:rPr>
          <w:spacing w:val="-4"/>
        </w:rPr>
        <w:t> </w:t>
      </w:r>
      <w:r>
        <w:rPr/>
        <w:t>because</w:t>
      </w:r>
      <w:r>
        <w:rPr>
          <w:spacing w:val="-5"/>
        </w:rPr>
        <w:t> </w:t>
      </w:r>
      <w:r>
        <w:rPr/>
        <w:t>of</w:t>
      </w:r>
      <w:r>
        <w:rPr>
          <w:spacing w:val="-5"/>
        </w:rPr>
        <w:t> </w:t>
      </w:r>
      <w:r>
        <w:rPr/>
        <w:t>the</w:t>
      </w:r>
      <w:r>
        <w:rPr>
          <w:spacing w:val="-5"/>
        </w:rPr>
        <w:t> </w:t>
      </w:r>
      <w:r>
        <w:rPr/>
        <w:t>flammable</w:t>
      </w:r>
      <w:r>
        <w:rPr>
          <w:spacing w:val="-4"/>
        </w:rPr>
        <w:t> </w:t>
      </w:r>
      <w:r>
        <w:rPr/>
        <w:t>nature</w:t>
      </w:r>
      <w:r>
        <w:rPr>
          <w:spacing w:val="-5"/>
        </w:rPr>
        <w:t> </w:t>
      </w:r>
      <w:r>
        <w:rPr/>
        <w:t>of</w:t>
      </w:r>
      <w:r>
        <w:rPr>
          <w:spacing w:val="-4"/>
        </w:rPr>
        <w:t> </w:t>
      </w:r>
      <w:r>
        <w:rPr/>
        <w:t>the gas.</w:t>
      </w:r>
    </w:p>
    <w:p>
      <w:pPr>
        <w:pStyle w:val="BodyText"/>
        <w:spacing w:before="4"/>
        <w:rPr>
          <w:sz w:val="22"/>
        </w:rPr>
      </w:pPr>
    </w:p>
    <w:p>
      <w:pPr>
        <w:pStyle w:val="ListParagraph"/>
        <w:numPr>
          <w:ilvl w:val="3"/>
          <w:numId w:val="7"/>
        </w:numPr>
        <w:tabs>
          <w:tab w:pos="1061" w:val="left" w:leader="none"/>
          <w:tab w:pos="1062" w:val="left" w:leader="none"/>
        </w:tabs>
        <w:spacing w:line="225" w:lineRule="auto" w:before="0" w:after="0"/>
        <w:ind w:left="1061" w:right="165" w:hanging="820"/>
        <w:jc w:val="left"/>
        <w:rPr>
          <w:i/>
          <w:sz w:val="20"/>
        </w:rPr>
      </w:pPr>
      <w:r>
        <w:rPr>
          <w:i/>
          <w:sz w:val="20"/>
        </w:rPr>
        <w:t>Fundamental physical, chemical and mechanical </w:t>
      </w:r>
      <w:r>
        <w:rPr>
          <w:i/>
          <w:sz w:val="20"/>
        </w:rPr>
        <w:t>processes regarding fate and transport of CO</w:t>
      </w:r>
      <w:r>
        <w:rPr>
          <w:i/>
          <w:position w:val="-6"/>
          <w:sz w:val="11"/>
        </w:rPr>
        <w:t>2 </w:t>
      </w:r>
      <w:r>
        <w:rPr>
          <w:i/>
          <w:sz w:val="20"/>
        </w:rPr>
        <w:t>in </w:t>
      </w:r>
      <w:r>
        <w:rPr>
          <w:i/>
          <w:spacing w:val="-5"/>
          <w:sz w:val="20"/>
        </w:rPr>
        <w:t>the </w:t>
      </w:r>
      <w:r>
        <w:rPr>
          <w:i/>
          <w:sz w:val="20"/>
        </w:rPr>
        <w:t>subsurface</w:t>
      </w:r>
    </w:p>
    <w:p>
      <w:pPr>
        <w:pStyle w:val="BodyText"/>
        <w:spacing w:line="240" w:lineRule="exact" w:before="4"/>
        <w:ind w:left="241" w:right="133"/>
        <w:jc w:val="both"/>
      </w:pPr>
      <w:r>
        <w:rPr/>
        <w:t>As described in Section 5.2, scientific understanding of CO</w:t>
      </w:r>
      <w:r>
        <w:rPr>
          <w:position w:val="-6"/>
          <w:sz w:val="11"/>
        </w:rPr>
        <w:t>2 </w:t>
      </w:r>
      <w:r>
        <w:rPr/>
        <w:t>storage and in particular performance of storage systems, rests on a large body of knowledge in hydrogeology, petroleum geology,</w:t>
      </w:r>
      <w:r>
        <w:rPr>
          <w:spacing w:val="-11"/>
        </w:rPr>
        <w:t> </w:t>
      </w:r>
      <w:r>
        <w:rPr/>
        <w:t>reservoir</w:t>
      </w:r>
      <w:r>
        <w:rPr>
          <w:spacing w:val="-11"/>
        </w:rPr>
        <w:t> </w:t>
      </w:r>
      <w:r>
        <w:rPr/>
        <w:t>engineering</w:t>
      </w:r>
      <w:r>
        <w:rPr>
          <w:spacing w:val="-12"/>
        </w:rPr>
        <w:t> </w:t>
      </w:r>
      <w:r>
        <w:rPr/>
        <w:t>and</w:t>
      </w:r>
      <w:r>
        <w:rPr>
          <w:spacing w:val="-11"/>
        </w:rPr>
        <w:t> </w:t>
      </w:r>
      <w:r>
        <w:rPr/>
        <w:t>related</w:t>
      </w:r>
      <w:r>
        <w:rPr>
          <w:spacing w:val="-12"/>
        </w:rPr>
        <w:t> </w:t>
      </w:r>
      <w:r>
        <w:rPr/>
        <w:t>geosciences.</w:t>
      </w:r>
      <w:r>
        <w:rPr>
          <w:spacing w:val="-12"/>
        </w:rPr>
        <w:t> </w:t>
      </w:r>
      <w:r>
        <w:rPr/>
        <w:t>Current evaluation has identified a number of processes that alone or </w:t>
      </w:r>
      <w:r>
        <w:rPr>
          <w:spacing w:val="-6"/>
        </w:rPr>
        <w:t>in </w:t>
      </w:r>
      <w:r>
        <w:rPr/>
        <w:t>combination can result in very long-term storage. Specifically, the combination of structural and stratigraphic trapping of separate-phase CO</w:t>
      </w:r>
      <w:r>
        <w:rPr>
          <w:position w:val="-6"/>
          <w:sz w:val="11"/>
        </w:rPr>
        <w:t>2 </w:t>
      </w:r>
      <w:r>
        <w:rPr/>
        <w:t>below low-permeability caprocks, residual CO</w:t>
      </w:r>
      <w:r>
        <w:rPr>
          <w:position w:val="-6"/>
          <w:sz w:val="11"/>
        </w:rPr>
        <w:t>2 </w:t>
      </w:r>
      <w:r>
        <w:rPr/>
        <w:t>trapping, solubility trapping and mineral trapping can create secure storage over geological time</w:t>
      </w:r>
      <w:r>
        <w:rPr>
          <w:spacing w:val="-6"/>
        </w:rPr>
        <w:t> </w:t>
      </w:r>
      <w:r>
        <w:rPr/>
        <w:t>scales.</w:t>
      </w:r>
    </w:p>
    <w:p>
      <w:pPr>
        <w:pStyle w:val="BodyText"/>
        <w:spacing w:before="4"/>
        <w:rPr>
          <w:sz w:val="21"/>
        </w:rPr>
      </w:pPr>
    </w:p>
    <w:p>
      <w:pPr>
        <w:pStyle w:val="ListParagraph"/>
        <w:numPr>
          <w:ilvl w:val="3"/>
          <w:numId w:val="7"/>
        </w:numPr>
        <w:tabs>
          <w:tab w:pos="1061" w:val="left" w:leader="none"/>
          <w:tab w:pos="1062" w:val="left" w:leader="none"/>
        </w:tabs>
        <w:spacing w:line="249" w:lineRule="auto" w:before="0" w:after="0"/>
        <w:ind w:left="1061" w:right="847" w:hanging="820"/>
        <w:jc w:val="left"/>
        <w:rPr>
          <w:i/>
          <w:sz w:val="20"/>
        </w:rPr>
      </w:pPr>
      <w:r>
        <w:rPr>
          <w:i/>
          <w:sz w:val="20"/>
        </w:rPr>
        <w:t>Numerical simulations of long-term</w:t>
      </w:r>
      <w:r>
        <w:rPr>
          <w:i/>
          <w:spacing w:val="-17"/>
          <w:sz w:val="20"/>
        </w:rPr>
        <w:t> </w:t>
      </w:r>
      <w:r>
        <w:rPr>
          <w:i/>
          <w:sz w:val="20"/>
        </w:rPr>
        <w:t>storage </w:t>
      </w:r>
      <w:r>
        <w:rPr>
          <w:i/>
          <w:sz w:val="20"/>
        </w:rPr>
        <w:t>performance</w:t>
      </w:r>
    </w:p>
    <w:p>
      <w:pPr>
        <w:spacing w:after="0" w:line="249" w:lineRule="auto"/>
        <w:jc w:val="left"/>
        <w:rPr>
          <w:sz w:val="20"/>
        </w:rPr>
        <w:sectPr>
          <w:type w:val="continuous"/>
          <w:pgSz w:w="12240" w:h="15840"/>
          <w:pgMar w:top="400" w:bottom="280" w:left="580" w:right="600"/>
          <w:cols w:num="2" w:equalWidth="0">
            <w:col w:w="5599" w:space="40"/>
            <w:col w:w="5421"/>
          </w:cols>
        </w:sectPr>
      </w:pPr>
    </w:p>
    <w:p>
      <w:pPr>
        <w:pStyle w:val="BodyText"/>
        <w:spacing w:before="2"/>
        <w:ind w:left="553"/>
      </w:pPr>
      <w:r>
        <w:rPr/>
        <w:t>year,</w:t>
      </w:r>
      <w:r>
        <w:rPr>
          <w:spacing w:val="-13"/>
        </w:rPr>
        <w:t> </w:t>
      </w:r>
      <w:r>
        <w:rPr/>
        <w:t>are</w:t>
      </w:r>
      <w:r>
        <w:rPr>
          <w:spacing w:val="-13"/>
        </w:rPr>
        <w:t> </w:t>
      </w:r>
      <w:r>
        <w:rPr/>
        <w:t>likely</w:t>
      </w:r>
      <w:r>
        <w:rPr>
          <w:spacing w:val="-12"/>
        </w:rPr>
        <w:t> </w:t>
      </w:r>
      <w:r>
        <w:rPr/>
        <w:t>below</w:t>
      </w:r>
      <w:r>
        <w:rPr>
          <w:spacing w:val="-13"/>
        </w:rPr>
        <w:t> </w:t>
      </w:r>
      <w:r>
        <w:rPr/>
        <w:t>10</w:t>
      </w:r>
      <w:r>
        <w:rPr>
          <w:position w:val="7"/>
          <w:sz w:val="11"/>
        </w:rPr>
        <w:t>–5</w:t>
      </w:r>
      <w:r>
        <w:rPr/>
        <w:t>.</w:t>
      </w:r>
      <w:r>
        <w:rPr>
          <w:spacing w:val="-16"/>
        </w:rPr>
        <w:t> </w:t>
      </w:r>
      <w:r>
        <w:rPr/>
        <w:t>While</w:t>
      </w:r>
      <w:r>
        <w:rPr>
          <w:spacing w:val="-13"/>
        </w:rPr>
        <w:t> </w:t>
      </w:r>
      <w:r>
        <w:rPr/>
        <w:t>such</w:t>
      </w:r>
      <w:r>
        <w:rPr>
          <w:spacing w:val="-12"/>
        </w:rPr>
        <w:t> </w:t>
      </w:r>
      <w:r>
        <w:rPr/>
        <w:t>estimates</w:t>
      </w:r>
      <w:r>
        <w:rPr>
          <w:spacing w:val="-13"/>
        </w:rPr>
        <w:t> </w:t>
      </w:r>
      <w:r>
        <w:rPr/>
        <w:t>of</w:t>
      </w:r>
      <w:r>
        <w:rPr>
          <w:spacing w:val="-12"/>
        </w:rPr>
        <w:t> </w:t>
      </w:r>
      <w:r>
        <w:rPr/>
        <w:t>the</w:t>
      </w:r>
      <w:r>
        <w:rPr>
          <w:spacing w:val="-13"/>
        </w:rPr>
        <w:t> </w:t>
      </w:r>
      <w:r>
        <w:rPr/>
        <w:t>expected</w:t>
      </w:r>
    </w:p>
    <w:p>
      <w:pPr>
        <w:pStyle w:val="BodyText"/>
        <w:spacing w:line="277" w:lineRule="exact" w:before="2"/>
        <w:ind w:left="242"/>
        <w:rPr>
          <w:sz w:val="11"/>
        </w:rPr>
      </w:pPr>
      <w:r>
        <w:rPr/>
        <w:br w:type="column"/>
      </w:r>
      <w:r>
        <w:rPr/>
        <w:t>Simulations of CO</w:t>
      </w:r>
      <w:r>
        <w:rPr>
          <w:position w:val="-6"/>
          <w:sz w:val="11"/>
        </w:rPr>
        <w:t>2</w:t>
      </w:r>
    </w:p>
    <w:p>
      <w:pPr>
        <w:pStyle w:val="BodyText"/>
        <w:spacing w:before="2"/>
        <w:ind w:left="12"/>
      </w:pPr>
      <w:r>
        <w:rPr/>
        <w:br w:type="column"/>
      </w:r>
      <w:r>
        <w:rPr/>
        <w:t>confinement in large-scale storage projects</w:t>
      </w:r>
    </w:p>
    <w:p>
      <w:pPr>
        <w:spacing w:after="0"/>
        <w:sectPr>
          <w:type w:val="continuous"/>
          <w:pgSz w:w="12240" w:h="15840"/>
          <w:pgMar w:top="400" w:bottom="280" w:left="580" w:right="600"/>
          <w:cols w:num="3" w:equalWidth="0">
            <w:col w:w="5598" w:space="40"/>
            <w:col w:w="1806" w:space="39"/>
            <w:col w:w="3577"/>
          </w:cols>
        </w:sectPr>
      </w:pPr>
    </w:p>
    <w:p>
      <w:pPr>
        <w:pStyle w:val="BodyText"/>
        <w:tabs>
          <w:tab w:pos="5880" w:val="left" w:leader="none"/>
        </w:tabs>
        <w:spacing w:line="193" w:lineRule="exact"/>
        <w:ind w:left="553"/>
      </w:pPr>
      <w:r>
        <w:rPr/>
        <w:t>(or</w:t>
      </w:r>
      <w:r>
        <w:rPr>
          <w:spacing w:val="35"/>
        </w:rPr>
        <w:t> </w:t>
      </w:r>
      <w:r>
        <w:rPr/>
        <w:t>statistical</w:t>
      </w:r>
      <w:r>
        <w:rPr>
          <w:spacing w:val="35"/>
        </w:rPr>
        <w:t> </w:t>
      </w:r>
      <w:r>
        <w:rPr/>
        <w:t>average)</w:t>
      </w:r>
      <w:r>
        <w:rPr>
          <w:spacing w:val="35"/>
        </w:rPr>
        <w:t> </w:t>
      </w:r>
      <w:r>
        <w:rPr/>
        <w:t>release</w:t>
      </w:r>
      <w:r>
        <w:rPr>
          <w:spacing w:val="35"/>
        </w:rPr>
        <w:t> </w:t>
      </w:r>
      <w:r>
        <w:rPr/>
        <w:t>rates</w:t>
      </w:r>
      <w:r>
        <w:rPr>
          <w:spacing w:val="35"/>
        </w:rPr>
        <w:t> </w:t>
      </w:r>
      <w:r>
        <w:rPr/>
        <w:t>are</w:t>
      </w:r>
      <w:r>
        <w:rPr>
          <w:spacing w:val="35"/>
        </w:rPr>
        <w:t> </w:t>
      </w:r>
      <w:r>
        <w:rPr/>
        <w:t>a</w:t>
      </w:r>
      <w:r>
        <w:rPr>
          <w:spacing w:val="35"/>
        </w:rPr>
        <w:t> </w:t>
      </w:r>
      <w:r>
        <w:rPr/>
        <w:t>useful</w:t>
      </w:r>
      <w:r>
        <w:rPr>
          <w:spacing w:val="35"/>
        </w:rPr>
        <w:t> </w:t>
      </w:r>
      <w:r>
        <w:rPr/>
        <w:t>measure</w:t>
      </w:r>
      <w:r>
        <w:rPr>
          <w:spacing w:val="35"/>
        </w:rPr>
        <w:t> </w:t>
      </w:r>
      <w:r>
        <w:rPr/>
        <w:t>of</w:t>
        <w:tab/>
        <w:t>suggest that, neglecting abandoned wells, the movement</w:t>
      </w:r>
      <w:r>
        <w:rPr>
          <w:spacing w:val="6"/>
        </w:rPr>
        <w:t> </w:t>
      </w:r>
      <w:r>
        <w:rPr/>
        <w:t>of</w:t>
      </w:r>
    </w:p>
    <w:p>
      <w:pPr>
        <w:pStyle w:val="BodyText"/>
      </w:pPr>
    </w:p>
    <w:p>
      <w:pPr>
        <w:pStyle w:val="BodyText"/>
        <w:spacing w:before="1"/>
        <w:rPr>
          <w:sz w:val="13"/>
        </w:rPr>
      </w:pPr>
      <w:r>
        <w:rPr/>
        <w:drawing>
          <wp:anchor distT="0" distB="0" distL="0" distR="0" allowOverlap="1" layoutInCell="1" locked="0" behindDoc="0" simplePos="0" relativeHeight="67">
            <wp:simplePos x="0" y="0"/>
            <wp:positionH relativeFrom="page">
              <wp:posOffset>929148</wp:posOffset>
            </wp:positionH>
            <wp:positionV relativeFrom="paragraph">
              <wp:posOffset>120496</wp:posOffset>
            </wp:positionV>
            <wp:extent cx="6150255" cy="3218688"/>
            <wp:effectExtent l="0" t="0" r="0" b="0"/>
            <wp:wrapTopAndBottom/>
            <wp:docPr id="13" name="image253.jpeg"/>
            <wp:cNvGraphicFramePr>
              <a:graphicFrameLocks noChangeAspect="1"/>
            </wp:cNvGraphicFramePr>
            <a:graphic>
              <a:graphicData uri="http://schemas.openxmlformats.org/drawingml/2006/picture">
                <pic:pic>
                  <pic:nvPicPr>
                    <pic:cNvPr id="14" name="image253.jpeg"/>
                    <pic:cNvPicPr/>
                  </pic:nvPicPr>
                  <pic:blipFill>
                    <a:blip r:embed="rId259" cstate="print"/>
                    <a:stretch>
                      <a:fillRect/>
                    </a:stretch>
                  </pic:blipFill>
                  <pic:spPr>
                    <a:xfrm>
                      <a:off x="0" y="0"/>
                      <a:ext cx="6150255" cy="3218688"/>
                    </a:xfrm>
                    <a:prstGeom prst="rect">
                      <a:avLst/>
                    </a:prstGeom>
                  </pic:spPr>
                </pic:pic>
              </a:graphicData>
            </a:graphic>
          </wp:anchor>
        </w:drawing>
      </w:r>
    </w:p>
    <w:p>
      <w:pPr>
        <w:spacing w:before="24"/>
        <w:ind w:left="553" w:right="0" w:firstLine="0"/>
        <w:jc w:val="left"/>
        <w:rPr>
          <w:sz w:val="18"/>
        </w:rPr>
      </w:pPr>
      <w:bookmarkStart w:name="_bookmark44" w:id="92"/>
      <w:bookmarkEnd w:id="92"/>
      <w:r>
        <w:rPr/>
      </w:r>
      <w:r>
        <w:rPr>
          <w:b/>
          <w:sz w:val="18"/>
        </w:rPr>
        <w:t>Figure 5.27 </w:t>
      </w:r>
      <w:r>
        <w:rPr>
          <w:sz w:val="18"/>
        </w:rPr>
        <w:t>World oil and gas well distribution and density (courtesy of IHS Energy).</w:t>
      </w:r>
    </w:p>
    <w:p>
      <w:pPr>
        <w:spacing w:after="0"/>
        <w:jc w:val="left"/>
        <w:rPr>
          <w:sz w:val="18"/>
        </w:rPr>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pPr>
      <w:r>
        <w:rPr/>
        <w:pict>
          <v:shape style="position:absolute;margin-left:286.077087pt;margin-top:155.457504pt;width:2.95pt;height:5.85pt;mso-position-horizontal-relative:page;mso-position-vertical-relative:paragraph;z-index:-25883136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CO</w:t>
      </w:r>
      <w:r>
        <w:rPr>
          <w:position w:val="-6"/>
          <w:sz w:val="11"/>
        </w:rPr>
        <w:t>2 </w:t>
      </w:r>
      <w:r>
        <w:rPr/>
        <w:t>through the subsurface will be </w:t>
      </w:r>
      <w:r>
        <w:rPr>
          <w:spacing w:val="-4"/>
        </w:rPr>
        <w:t>slow. </w:t>
      </w:r>
      <w:r>
        <w:rPr/>
        <w:t>For example, Cawley </w:t>
      </w:r>
      <w:r>
        <w:rPr>
          <w:i/>
        </w:rPr>
        <w:t>et al. </w:t>
      </w:r>
      <w:r>
        <w:rPr/>
        <w:t>(2005) studied the effect of uncertainties in parameters such as the flow velocity in the aquifer and capillary entry pressure into caprock in their examination of CO</w:t>
      </w:r>
      <w:r>
        <w:rPr>
          <w:position w:val="-6"/>
          <w:sz w:val="11"/>
        </w:rPr>
        <w:t>2 </w:t>
      </w:r>
      <w:r>
        <w:rPr/>
        <w:t>storage in the Forties Oilfield in the North Sea. Over the 1000 year time scale examined in their </w:t>
      </w:r>
      <w:r>
        <w:rPr>
          <w:spacing w:val="-3"/>
        </w:rPr>
        <w:t>study, </w:t>
      </w:r>
      <w:r>
        <w:rPr/>
        <w:t>Cawley </w:t>
      </w:r>
      <w:r>
        <w:rPr>
          <w:i/>
        </w:rPr>
        <w:t>et al. </w:t>
      </w:r>
      <w:r>
        <w:rPr/>
        <w:t>(2005) found that</w:t>
      </w:r>
      <w:bookmarkStart w:name="5.7.4 Possible local and regional enviro" w:id="93"/>
      <w:bookmarkEnd w:id="93"/>
      <w:r>
        <w:rPr/>
      </w:r>
      <w:r>
        <w:rPr/>
        <w:t> less</w:t>
      </w:r>
      <w:r>
        <w:rPr>
          <w:spacing w:val="-9"/>
        </w:rPr>
        <w:t> </w:t>
      </w:r>
      <w:r>
        <w:rPr/>
        <w:t>than</w:t>
      </w:r>
      <w:r>
        <w:rPr>
          <w:spacing w:val="-8"/>
        </w:rPr>
        <w:t> </w:t>
      </w:r>
      <w:r>
        <w:rPr/>
        <w:t>0.2%</w:t>
      </w:r>
      <w:r>
        <w:rPr>
          <w:spacing w:val="-8"/>
        </w:rPr>
        <w:t> </w:t>
      </w:r>
      <w:r>
        <w:rPr/>
        <w:t>of</w:t>
      </w:r>
      <w:r>
        <w:rPr>
          <w:spacing w:val="-8"/>
        </w:rPr>
        <w:t> </w:t>
      </w:r>
      <w:r>
        <w:rPr/>
        <w:t>the</w:t>
      </w:r>
      <w:r>
        <w:rPr>
          <w:spacing w:val="-9"/>
        </w:rPr>
        <w:t> </w:t>
      </w:r>
      <w:r>
        <w:rPr/>
        <w:t>stored</w:t>
      </w:r>
      <w:r>
        <w:rPr>
          <w:spacing w:val="-8"/>
        </w:rPr>
        <w:t> </w:t>
      </w:r>
      <w:r>
        <w:rPr/>
        <w:t>CO</w:t>
      </w:r>
      <w:r>
        <w:rPr>
          <w:position w:val="-6"/>
          <w:sz w:val="11"/>
        </w:rPr>
        <w:t>2</w:t>
      </w:r>
      <w:r>
        <w:rPr>
          <w:spacing w:val="14"/>
          <w:position w:val="-6"/>
          <w:sz w:val="11"/>
        </w:rPr>
        <w:t> </w:t>
      </w:r>
      <w:r>
        <w:rPr/>
        <w:t>enters</w:t>
      </w:r>
      <w:r>
        <w:rPr>
          <w:spacing w:val="-8"/>
        </w:rPr>
        <w:t> </w:t>
      </w:r>
      <w:r>
        <w:rPr/>
        <w:t>into</w:t>
      </w:r>
      <w:r>
        <w:rPr>
          <w:spacing w:val="-8"/>
        </w:rPr>
        <w:t> </w:t>
      </w:r>
      <w:r>
        <w:rPr/>
        <w:t>the</w:t>
      </w:r>
      <w:r>
        <w:rPr>
          <w:spacing w:val="-8"/>
        </w:rPr>
        <w:t> </w:t>
      </w:r>
      <w:r>
        <w:rPr/>
        <w:t>overlying</w:t>
      </w:r>
      <w:r>
        <w:rPr>
          <w:spacing w:val="-9"/>
        </w:rPr>
        <w:t> </w:t>
      </w:r>
      <w:r>
        <w:rPr/>
        <w:t>layers and even in the worse case, the maximum vertical distance moved by any of the CO</w:t>
      </w:r>
      <w:r>
        <w:rPr>
          <w:position w:val="-6"/>
          <w:sz w:val="11"/>
        </w:rPr>
        <w:t>2 </w:t>
      </w:r>
      <w:r>
        <w:rPr/>
        <w:t>was less than halfway to the seabed. </w:t>
      </w:r>
      <w:r>
        <w:rPr>
          <w:spacing w:val="-3"/>
        </w:rPr>
        <w:t>Similarly, </w:t>
      </w:r>
      <w:r>
        <w:rPr/>
        <w:t>Lindeberg and Bergmo (2003) studied the Sleipner field and found that CO</w:t>
      </w:r>
      <w:r>
        <w:rPr>
          <w:position w:val="-6"/>
          <w:sz w:val="11"/>
        </w:rPr>
        <w:t>2 </w:t>
      </w:r>
      <w:r>
        <w:rPr/>
        <w:t>would not begin to migrate into the North</w:t>
      </w:r>
      <w:r>
        <w:rPr>
          <w:spacing w:val="-5"/>
        </w:rPr>
        <w:t> </w:t>
      </w:r>
      <w:r>
        <w:rPr/>
        <w:t>Sea</w:t>
      </w:r>
      <w:r>
        <w:rPr>
          <w:spacing w:val="-5"/>
        </w:rPr>
        <w:t> </w:t>
      </w:r>
      <w:r>
        <w:rPr/>
        <w:t>for</w:t>
      </w:r>
      <w:r>
        <w:rPr>
          <w:spacing w:val="-4"/>
        </w:rPr>
        <w:t> </w:t>
      </w:r>
      <w:r>
        <w:rPr/>
        <w:t>100,000</w:t>
      </w:r>
      <w:r>
        <w:rPr>
          <w:spacing w:val="-5"/>
        </w:rPr>
        <w:t> </w:t>
      </w:r>
      <w:r>
        <w:rPr/>
        <w:t>years</w:t>
      </w:r>
      <w:r>
        <w:rPr>
          <w:spacing w:val="-4"/>
        </w:rPr>
        <w:t> </w:t>
      </w:r>
      <w:r>
        <w:rPr/>
        <w:t>and</w:t>
      </w:r>
      <w:r>
        <w:rPr>
          <w:spacing w:val="-5"/>
        </w:rPr>
        <w:t> </w:t>
      </w:r>
      <w:r>
        <w:rPr/>
        <w:t>that</w:t>
      </w:r>
      <w:r>
        <w:rPr>
          <w:spacing w:val="-4"/>
        </w:rPr>
        <w:t> </w:t>
      </w:r>
      <w:r>
        <w:rPr/>
        <w:t>even</w:t>
      </w:r>
      <w:r>
        <w:rPr>
          <w:spacing w:val="-5"/>
        </w:rPr>
        <w:t> </w:t>
      </w:r>
      <w:r>
        <w:rPr/>
        <w:t>after</w:t>
      </w:r>
      <w:r>
        <w:rPr>
          <w:spacing w:val="-4"/>
        </w:rPr>
        <w:t> </w:t>
      </w:r>
      <w:r>
        <w:rPr/>
        <w:t>a</w:t>
      </w:r>
      <w:r>
        <w:rPr>
          <w:spacing w:val="-5"/>
        </w:rPr>
        <w:t> </w:t>
      </w:r>
      <w:r>
        <w:rPr/>
        <w:t>million</w:t>
      </w:r>
      <w:r>
        <w:rPr>
          <w:spacing w:val="-4"/>
        </w:rPr>
        <w:t> </w:t>
      </w:r>
      <w:r>
        <w:rPr/>
        <w:t>years, the annual rate of release would be about 10</w:t>
      </w:r>
      <w:r>
        <w:rPr>
          <w:position w:val="7"/>
          <w:sz w:val="11"/>
        </w:rPr>
        <w:t>–6 </w:t>
      </w:r>
      <w:r>
        <w:rPr/>
        <w:t>of the stored CO per </w:t>
      </w:r>
      <w:r>
        <w:rPr>
          <w:spacing w:val="-3"/>
        </w:rPr>
        <w:t>year.</w:t>
      </w:r>
    </w:p>
    <w:p>
      <w:pPr>
        <w:pStyle w:val="BodyText"/>
        <w:spacing w:line="240" w:lineRule="exact"/>
        <w:ind w:left="157" w:right="38" w:firstLine="283"/>
        <w:jc w:val="both"/>
      </w:pPr>
      <w:r>
        <w:rPr/>
        <w:t>Simulations</w:t>
      </w:r>
      <w:r>
        <w:rPr>
          <w:spacing w:val="-24"/>
        </w:rPr>
        <w:t> </w:t>
      </w:r>
      <w:r>
        <w:rPr/>
        <w:t>designed</w:t>
      </w:r>
      <w:r>
        <w:rPr>
          <w:spacing w:val="-24"/>
        </w:rPr>
        <w:t> </w:t>
      </w:r>
      <w:r>
        <w:rPr/>
        <w:t>to</w:t>
      </w:r>
      <w:r>
        <w:rPr>
          <w:spacing w:val="-24"/>
        </w:rPr>
        <w:t> </w:t>
      </w:r>
      <w:r>
        <w:rPr/>
        <w:t>explore</w:t>
      </w:r>
      <w:r>
        <w:rPr>
          <w:spacing w:val="-24"/>
        </w:rPr>
        <w:t> </w:t>
      </w:r>
      <w:r>
        <w:rPr/>
        <w:t>the</w:t>
      </w:r>
      <w:r>
        <w:rPr>
          <w:spacing w:val="-24"/>
        </w:rPr>
        <w:t> </w:t>
      </w:r>
      <w:r>
        <w:rPr/>
        <w:t>possible</w:t>
      </w:r>
      <w:r>
        <w:rPr>
          <w:spacing w:val="-23"/>
        </w:rPr>
        <w:t> </w:t>
      </w:r>
      <w:r>
        <w:rPr/>
        <w:t>release</w:t>
      </w:r>
      <w:r>
        <w:rPr>
          <w:spacing w:val="-24"/>
        </w:rPr>
        <w:t> </w:t>
      </w:r>
      <w:r>
        <w:rPr/>
        <w:t>of</w:t>
      </w:r>
      <w:r>
        <w:rPr>
          <w:spacing w:val="-24"/>
        </w:rPr>
        <w:t> </w:t>
      </w:r>
      <w:r>
        <w:rPr/>
        <w:t>stored CO</w:t>
      </w:r>
      <w:r>
        <w:rPr>
          <w:position w:val="-6"/>
          <w:sz w:val="11"/>
        </w:rPr>
        <w:t>2 </w:t>
      </w:r>
      <w:r>
        <w:rPr/>
        <w:t>to the biosphere by multiple routes, including abandoned wells and other disturbances, have recently become available as a component of more general risk assessment activities (Section 5.7.5). </w:t>
      </w:r>
      <w:r>
        <w:rPr>
          <w:spacing w:val="-5"/>
        </w:rPr>
        <w:t>Two </w:t>
      </w:r>
      <w:r>
        <w:rPr/>
        <w:t>studies of the </w:t>
      </w:r>
      <w:r>
        <w:rPr>
          <w:spacing w:val="-3"/>
        </w:rPr>
        <w:t>Weyburn </w:t>
      </w:r>
      <w:r>
        <w:rPr/>
        <w:t>site, for example, assessed the probability of release to the biosphere. </w:t>
      </w:r>
      <w:r>
        <w:rPr>
          <w:spacing w:val="-3"/>
        </w:rPr>
        <w:t>Walton </w:t>
      </w:r>
      <w:r>
        <w:rPr>
          <w:i/>
          <w:spacing w:val="-6"/>
        </w:rPr>
        <w:t>et </w:t>
      </w:r>
      <w:r>
        <w:rPr>
          <w:i/>
        </w:rPr>
        <w:t>al. </w:t>
      </w:r>
      <w:r>
        <w:rPr/>
        <w:t>(2005) used a fully probabilistic model, with a simplified representation of CO</w:t>
      </w:r>
      <w:r>
        <w:rPr>
          <w:position w:val="-6"/>
          <w:sz w:val="11"/>
        </w:rPr>
        <w:t>2 </w:t>
      </w:r>
      <w:r>
        <w:rPr/>
        <w:t>transport, to compute a probability distribution</w:t>
      </w:r>
      <w:r>
        <w:rPr>
          <w:spacing w:val="-21"/>
        </w:rPr>
        <w:t> </w:t>
      </w:r>
      <w:r>
        <w:rPr/>
        <w:t>for</w:t>
      </w:r>
      <w:r>
        <w:rPr>
          <w:spacing w:val="-21"/>
        </w:rPr>
        <w:t> </w:t>
      </w:r>
      <w:r>
        <w:rPr/>
        <w:t>the</w:t>
      </w:r>
      <w:r>
        <w:rPr>
          <w:spacing w:val="-20"/>
        </w:rPr>
        <w:t> </w:t>
      </w:r>
      <w:r>
        <w:rPr/>
        <w:t>cumulative</w:t>
      </w:r>
      <w:r>
        <w:rPr>
          <w:spacing w:val="-21"/>
        </w:rPr>
        <w:t> </w:t>
      </w:r>
      <w:r>
        <w:rPr/>
        <w:t>fraction</w:t>
      </w:r>
      <w:r>
        <w:rPr>
          <w:spacing w:val="-21"/>
        </w:rPr>
        <w:t> </w:t>
      </w:r>
      <w:r>
        <w:rPr/>
        <w:t>released</w:t>
      </w:r>
      <w:r>
        <w:rPr>
          <w:spacing w:val="-20"/>
        </w:rPr>
        <w:t> </w:t>
      </w:r>
      <w:r>
        <w:rPr/>
        <w:t>to</w:t>
      </w:r>
      <w:r>
        <w:rPr>
          <w:spacing w:val="-21"/>
        </w:rPr>
        <w:t> </w:t>
      </w:r>
      <w:r>
        <w:rPr/>
        <w:t>the</w:t>
      </w:r>
      <w:r>
        <w:rPr>
          <w:spacing w:val="-20"/>
        </w:rPr>
        <w:t> </w:t>
      </w:r>
      <w:r>
        <w:rPr/>
        <w:t>biosphere. </w:t>
      </w:r>
      <w:r>
        <w:rPr>
          <w:spacing w:val="-3"/>
        </w:rPr>
        <w:t>Walton</w:t>
      </w:r>
      <w:r>
        <w:rPr>
          <w:spacing w:val="18"/>
        </w:rPr>
        <w:t> </w:t>
      </w:r>
      <w:r>
        <w:rPr>
          <w:i/>
        </w:rPr>
        <w:t>et</w:t>
      </w:r>
      <w:r>
        <w:rPr>
          <w:i/>
          <w:spacing w:val="18"/>
        </w:rPr>
        <w:t> </w:t>
      </w:r>
      <w:r>
        <w:rPr>
          <w:i/>
        </w:rPr>
        <w:t>al.</w:t>
      </w:r>
      <w:r>
        <w:rPr>
          <w:i/>
          <w:spacing w:val="19"/>
        </w:rPr>
        <w:t> </w:t>
      </w:r>
      <w:r>
        <w:rPr/>
        <w:t>found</w:t>
      </w:r>
      <w:r>
        <w:rPr>
          <w:spacing w:val="18"/>
        </w:rPr>
        <w:t> </w:t>
      </w:r>
      <w:r>
        <w:rPr/>
        <w:t>that</w:t>
      </w:r>
      <w:r>
        <w:rPr>
          <w:spacing w:val="18"/>
        </w:rPr>
        <w:t> </w:t>
      </w:r>
      <w:r>
        <w:rPr/>
        <w:t>after</w:t>
      </w:r>
      <w:r>
        <w:rPr>
          <w:spacing w:val="19"/>
        </w:rPr>
        <w:t> </w:t>
      </w:r>
      <w:r>
        <w:rPr/>
        <w:t>5000</w:t>
      </w:r>
      <w:r>
        <w:rPr>
          <w:spacing w:val="18"/>
        </w:rPr>
        <w:t> </w:t>
      </w:r>
      <w:r>
        <w:rPr/>
        <w:t>years,</w:t>
      </w:r>
      <w:r>
        <w:rPr>
          <w:spacing w:val="18"/>
        </w:rPr>
        <w:t> </w:t>
      </w:r>
      <w:r>
        <w:rPr/>
        <w:t>the</w:t>
      </w:r>
      <w:r>
        <w:rPr>
          <w:spacing w:val="19"/>
        </w:rPr>
        <w:t> </w:t>
      </w:r>
      <w:r>
        <w:rPr/>
        <w:t>probability</w:t>
      </w:r>
      <w:r>
        <w:rPr>
          <w:spacing w:val="18"/>
        </w:rPr>
        <w:t> </w:t>
      </w:r>
      <w:r>
        <w:rPr>
          <w:spacing w:val="-5"/>
        </w:rPr>
        <w:t>was</w:t>
      </w:r>
    </w:p>
    <w:p>
      <w:pPr>
        <w:pStyle w:val="BodyText"/>
        <w:spacing w:line="206" w:lineRule="auto" w:before="82"/>
        <w:ind w:left="157" w:right="531"/>
        <w:jc w:val="both"/>
      </w:pPr>
      <w:r>
        <w:rPr/>
        <w:br w:type="column"/>
      </w:r>
      <w:r>
        <w:rPr/>
        <w:t>by testing and sharpening understanding of CO</w:t>
      </w:r>
      <w:r>
        <w:rPr>
          <w:position w:val="-6"/>
          <w:sz w:val="11"/>
        </w:rPr>
        <w:t>2 </w:t>
      </w:r>
      <w:r>
        <w:rPr/>
        <w:t>transport and trapping mechanisms.</w:t>
      </w:r>
    </w:p>
    <w:p>
      <w:pPr>
        <w:pStyle w:val="BodyText"/>
        <w:spacing w:before="2"/>
        <w:rPr>
          <w:sz w:val="22"/>
        </w:rPr>
      </w:pPr>
    </w:p>
    <w:p>
      <w:pPr>
        <w:pStyle w:val="ListParagraph"/>
        <w:numPr>
          <w:ilvl w:val="3"/>
          <w:numId w:val="7"/>
        </w:numPr>
        <w:tabs>
          <w:tab w:pos="977" w:val="left" w:leader="none"/>
        </w:tabs>
        <w:spacing w:line="249" w:lineRule="auto" w:before="0" w:after="0"/>
        <w:ind w:left="977" w:right="621" w:hanging="820"/>
        <w:jc w:val="both"/>
        <w:rPr>
          <w:i/>
          <w:sz w:val="20"/>
        </w:rPr>
      </w:pPr>
      <w:r>
        <w:rPr>
          <w:i/>
          <w:sz w:val="20"/>
        </w:rPr>
        <w:t>Assessing the ability of operational geological </w:t>
      </w:r>
      <w:r>
        <w:rPr>
          <w:i/>
          <w:sz w:val="20"/>
        </w:rPr>
        <w:t>storage projects to retain CO</w:t>
      </w:r>
      <w:r>
        <w:rPr>
          <w:i/>
          <w:position w:val="-6"/>
          <w:sz w:val="11"/>
        </w:rPr>
        <w:t>2 </w:t>
      </w:r>
      <w:r>
        <w:rPr>
          <w:i/>
          <w:sz w:val="20"/>
        </w:rPr>
        <w:t>for long time</w:t>
      </w:r>
      <w:r>
        <w:rPr>
          <w:i/>
          <w:spacing w:val="-25"/>
          <w:sz w:val="20"/>
        </w:rPr>
        <w:t> </w:t>
      </w:r>
      <w:r>
        <w:rPr>
          <w:i/>
          <w:sz w:val="20"/>
        </w:rPr>
        <w:t>periods</w:t>
      </w:r>
    </w:p>
    <w:p>
      <w:pPr>
        <w:pStyle w:val="BodyText"/>
        <w:spacing w:line="181" w:lineRule="exact"/>
        <w:ind w:left="157"/>
        <w:jc w:val="both"/>
      </w:pPr>
      <w:r>
        <w:rPr/>
        <w:t>Assessment  of  the  fraction  retained  for  geological  </w:t>
      </w:r>
      <w:r>
        <w:rPr>
          <w:spacing w:val="11"/>
        </w:rPr>
        <w:t> </w:t>
      </w:r>
      <w:r>
        <w:rPr/>
        <w:t>storage</w:t>
      </w:r>
    </w:p>
    <w:p>
      <w:pPr>
        <w:pStyle w:val="BodyText"/>
        <w:spacing w:line="249" w:lineRule="auto" w:before="10"/>
        <w:ind w:left="157" w:right="529"/>
        <w:jc w:val="both"/>
      </w:pPr>
      <w:r>
        <w:rPr/>
        <w:t>projects is highly site-specific, depending on (1) the storage system design, including the  geological  characteristics  of  the selected storage site; (2) the injection system and related reservoir engineering; and (3) the methods of abandonment, including the performance of well-sealing  technologies.  If  the above information is available, it is possible to estimate  the</w:t>
      </w:r>
      <w:r>
        <w:rPr>
          <w:spacing w:val="10"/>
        </w:rPr>
        <w:t> </w:t>
      </w:r>
      <w:r>
        <w:rPr/>
        <w:t>fraction</w:t>
      </w:r>
      <w:r>
        <w:rPr>
          <w:spacing w:val="10"/>
        </w:rPr>
        <w:t> </w:t>
      </w:r>
      <w:r>
        <w:rPr/>
        <w:t>retained</w:t>
      </w:r>
      <w:r>
        <w:rPr>
          <w:spacing w:val="10"/>
        </w:rPr>
        <w:t> </w:t>
      </w:r>
      <w:r>
        <w:rPr/>
        <w:t>by</w:t>
      </w:r>
      <w:r>
        <w:rPr>
          <w:spacing w:val="10"/>
        </w:rPr>
        <w:t> </w:t>
      </w:r>
      <w:r>
        <w:rPr/>
        <w:t>using</w:t>
      </w:r>
      <w:r>
        <w:rPr>
          <w:spacing w:val="11"/>
        </w:rPr>
        <w:t> </w:t>
      </w:r>
      <w:r>
        <w:rPr/>
        <w:t>the</w:t>
      </w:r>
      <w:r>
        <w:rPr>
          <w:spacing w:val="10"/>
        </w:rPr>
        <w:t> </w:t>
      </w:r>
      <w:r>
        <w:rPr/>
        <w:t>models</w:t>
      </w:r>
      <w:r>
        <w:rPr>
          <w:spacing w:val="10"/>
        </w:rPr>
        <w:t> </w:t>
      </w:r>
      <w:r>
        <w:rPr/>
        <w:t>described</w:t>
      </w:r>
      <w:r>
        <w:rPr>
          <w:spacing w:val="10"/>
        </w:rPr>
        <w:t> </w:t>
      </w:r>
      <w:r>
        <w:rPr/>
        <w:t>in</w:t>
      </w:r>
      <w:r>
        <w:rPr>
          <w:spacing w:val="11"/>
        </w:rPr>
        <w:t> </w:t>
      </w:r>
      <w:r>
        <w:rPr/>
        <w:t>Section</w:t>
      </w:r>
    </w:p>
    <w:p>
      <w:pPr>
        <w:pStyle w:val="BodyText"/>
        <w:spacing w:before="6"/>
        <w:ind w:left="157"/>
        <w:jc w:val="both"/>
      </w:pPr>
      <w:r>
        <w:rPr/>
        <w:t>5.4.2   and   risk   assessment   methods   described   in</w:t>
      </w:r>
      <w:r>
        <w:rPr>
          <w:spacing w:val="7"/>
        </w:rPr>
        <w:t> </w:t>
      </w:r>
      <w:r>
        <w:rPr/>
        <w:t>Section</w:t>
      </w:r>
    </w:p>
    <w:p>
      <w:pPr>
        <w:pStyle w:val="BodyText"/>
        <w:spacing w:line="249" w:lineRule="auto" w:before="10"/>
        <w:ind w:left="157" w:right="530"/>
        <w:jc w:val="both"/>
      </w:pPr>
      <w:r>
        <w:rPr/>
        <w:t>5.7.5. Therefore, it is also possible, in principle, to estimate  the expected performance of an ensemble of storage projects that adhere to design guidelines such as site selection, seal integrity, injection depth and  well  closure  technologies.</w:t>
      </w:r>
      <w:hyperlink w:history="true" w:anchor="_bookmark45">
        <w:r>
          <w:rPr/>
          <w:t> </w:t>
        </w:r>
        <w:r>
          <w:rPr>
            <w:spacing w:val="-3"/>
          </w:rPr>
          <w:t>Table</w:t>
        </w:r>
        <w:r>
          <w:rPr>
            <w:spacing w:val="-18"/>
          </w:rPr>
          <w:t> </w:t>
        </w:r>
        <w:r>
          <w:rPr/>
          <w:t>5.5</w:t>
        </w:r>
        <w:r>
          <w:rPr>
            <w:spacing w:val="-18"/>
          </w:rPr>
          <w:t> </w:t>
        </w:r>
      </w:hyperlink>
      <w:r>
        <w:rPr/>
        <w:t>summarizes</w:t>
      </w:r>
      <w:r>
        <w:rPr>
          <w:spacing w:val="-19"/>
        </w:rPr>
        <w:t> </w:t>
      </w:r>
      <w:r>
        <w:rPr/>
        <w:t>disparate</w:t>
      </w:r>
      <w:r>
        <w:rPr>
          <w:spacing w:val="-18"/>
        </w:rPr>
        <w:t> </w:t>
      </w:r>
      <w:r>
        <w:rPr/>
        <w:t>lines</w:t>
      </w:r>
      <w:r>
        <w:rPr>
          <w:spacing w:val="-18"/>
        </w:rPr>
        <w:t> </w:t>
      </w:r>
      <w:r>
        <w:rPr/>
        <w:t>of</w:t>
      </w:r>
      <w:r>
        <w:rPr>
          <w:spacing w:val="-18"/>
        </w:rPr>
        <w:t> </w:t>
      </w:r>
      <w:r>
        <w:rPr/>
        <w:t>evidence</w:t>
      </w:r>
      <w:r>
        <w:rPr>
          <w:spacing w:val="-18"/>
        </w:rPr>
        <w:t> </w:t>
      </w:r>
      <w:r>
        <w:rPr/>
        <w:t>on</w:t>
      </w:r>
      <w:r>
        <w:rPr>
          <w:spacing w:val="-18"/>
        </w:rPr>
        <w:t> </w:t>
      </w:r>
      <w:r>
        <w:rPr/>
        <w:t>the</w:t>
      </w:r>
      <w:r>
        <w:rPr>
          <w:spacing w:val="-18"/>
        </w:rPr>
        <w:t> </w:t>
      </w:r>
      <w:r>
        <w:rPr/>
        <w:t>integrity of CO</w:t>
      </w:r>
      <w:r>
        <w:rPr>
          <w:position w:val="-6"/>
          <w:sz w:val="11"/>
        </w:rPr>
        <w:t>2 </w:t>
      </w:r>
      <w:r>
        <w:rPr/>
        <w:t>storage</w:t>
      </w:r>
      <w:r>
        <w:rPr>
          <w:spacing w:val="-7"/>
        </w:rPr>
        <w:t> </w:t>
      </w:r>
      <w:r>
        <w:rPr/>
        <w:t>systems.</w:t>
      </w:r>
    </w:p>
    <w:p>
      <w:pPr>
        <w:pStyle w:val="BodyText"/>
        <w:spacing w:line="180" w:lineRule="auto"/>
        <w:ind w:left="440"/>
        <w:jc w:val="both"/>
      </w:pPr>
      <w:r>
        <w:rPr/>
        <w:t>For large-scale operational CO</w:t>
      </w:r>
      <w:r>
        <w:rPr>
          <w:position w:val="-6"/>
          <w:sz w:val="11"/>
        </w:rPr>
        <w:t>2  </w:t>
      </w:r>
      <w:r>
        <w:rPr/>
        <w:t>storage projects, </w:t>
      </w:r>
      <w:r>
        <w:rPr>
          <w:spacing w:val="2"/>
        </w:rPr>
        <w:t> </w:t>
      </w:r>
      <w:r>
        <w:rPr/>
        <w:t>assuming</w:t>
      </w:r>
    </w:p>
    <w:p>
      <w:pPr>
        <w:pStyle w:val="BodyText"/>
        <w:spacing w:line="212" w:lineRule="exact"/>
        <w:ind w:left="157"/>
        <w:jc w:val="both"/>
      </w:pPr>
      <w:r>
        <w:rPr/>
        <w:t>that</w:t>
      </w:r>
      <w:r>
        <w:rPr>
          <w:spacing w:val="-15"/>
        </w:rPr>
        <w:t> </w:t>
      </w:r>
      <w:r>
        <w:rPr/>
        <w:t>sites</w:t>
      </w:r>
      <w:r>
        <w:rPr>
          <w:spacing w:val="-15"/>
        </w:rPr>
        <w:t> </w:t>
      </w:r>
      <w:r>
        <w:rPr/>
        <w:t>are</w:t>
      </w:r>
      <w:r>
        <w:rPr>
          <w:spacing w:val="-15"/>
        </w:rPr>
        <w:t> </w:t>
      </w:r>
      <w:r>
        <w:rPr/>
        <w:t>well</w:t>
      </w:r>
      <w:r>
        <w:rPr>
          <w:spacing w:val="-15"/>
        </w:rPr>
        <w:t> </w:t>
      </w:r>
      <w:r>
        <w:rPr/>
        <w:t>selected,</w:t>
      </w:r>
      <w:r>
        <w:rPr>
          <w:spacing w:val="-15"/>
        </w:rPr>
        <w:t> </w:t>
      </w:r>
      <w:r>
        <w:rPr/>
        <w:t>designed,</w:t>
      </w:r>
      <w:r>
        <w:rPr>
          <w:spacing w:val="-15"/>
        </w:rPr>
        <w:t> </w:t>
      </w:r>
      <w:r>
        <w:rPr/>
        <w:t>operated</w:t>
      </w:r>
      <w:r>
        <w:rPr>
          <w:spacing w:val="-15"/>
        </w:rPr>
        <w:t> </w:t>
      </w:r>
      <w:r>
        <w:rPr/>
        <w:t>and</w:t>
      </w:r>
      <w:r>
        <w:rPr>
          <w:spacing w:val="-14"/>
        </w:rPr>
        <w:t> </w:t>
      </w:r>
      <w:r>
        <w:rPr/>
        <w:t>appropriately</w:t>
      </w:r>
    </w:p>
    <w:p>
      <w:pPr>
        <w:pStyle w:val="BodyText"/>
        <w:spacing w:line="249" w:lineRule="auto"/>
        <w:ind w:left="157" w:right="530"/>
        <w:jc w:val="both"/>
      </w:pPr>
      <w:r>
        <w:rPr/>
        <w:t>monitored, the balance of available evidence suggests the following:</w:t>
      </w:r>
    </w:p>
    <w:p>
      <w:pPr>
        <w:spacing w:after="0" w:line="249" w:lineRule="auto"/>
        <w:jc w:val="both"/>
        <w:sectPr>
          <w:type w:val="continuous"/>
          <w:pgSz w:w="12240" w:h="15840"/>
          <w:pgMar w:top="400" w:bottom="280" w:left="580" w:right="600"/>
          <w:cols w:num="2" w:equalWidth="0">
            <w:col w:w="5242" w:space="84"/>
            <w:col w:w="5734"/>
          </w:cols>
        </w:sectPr>
      </w:pPr>
    </w:p>
    <w:p>
      <w:pPr>
        <w:pStyle w:val="BodyText"/>
        <w:spacing w:line="249" w:lineRule="auto"/>
        <w:ind w:left="157"/>
      </w:pPr>
      <w:r>
        <w:rPr/>
        <w:t>equal that the cumulative amount released would be larger or smaller than 0.1% (the median release fraction) and found a</w:t>
      </w:r>
    </w:p>
    <w:p>
      <w:pPr>
        <w:pStyle w:val="ListParagraph"/>
        <w:numPr>
          <w:ilvl w:val="0"/>
          <w:numId w:val="6"/>
        </w:numPr>
        <w:tabs>
          <w:tab w:pos="441" w:val="left" w:leader="none"/>
        </w:tabs>
        <w:spacing w:line="229" w:lineRule="exact" w:before="0" w:after="0"/>
        <w:ind w:left="440" w:right="0" w:hanging="284"/>
        <w:jc w:val="left"/>
        <w:rPr>
          <w:sz w:val="20"/>
        </w:rPr>
      </w:pPr>
      <w:r>
        <w:rPr>
          <w:w w:val="100"/>
          <w:sz w:val="20"/>
        </w:rPr>
        <w:br w:type="column"/>
      </w:r>
      <w:r>
        <w:rPr>
          <w:sz w:val="20"/>
        </w:rPr>
        <w:t>It is very likely the fraction of stored</w:t>
      </w:r>
      <w:r>
        <w:rPr>
          <w:spacing w:val="9"/>
          <w:sz w:val="20"/>
        </w:rPr>
        <w:t> </w:t>
      </w:r>
      <w:r>
        <w:rPr>
          <w:sz w:val="20"/>
        </w:rPr>
        <w:t>CO</w:t>
      </w:r>
    </w:p>
    <w:p>
      <w:pPr>
        <w:pStyle w:val="BodyText"/>
        <w:spacing w:line="225" w:lineRule="exact" w:before="9"/>
        <w:ind w:left="440"/>
      </w:pPr>
      <w:r>
        <w:rPr/>
        <w:pict>
          <v:shape style="position:absolute;margin-left:484.152191pt;margin-top:-3.256562pt;width:2.95pt;height:5.85pt;mso-position-horizontal-relative:page;mso-position-vertical-relative:paragraph;z-index:25172889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than 99% over the first 100 years.</w:t>
      </w:r>
    </w:p>
    <w:p>
      <w:pPr>
        <w:pStyle w:val="BodyText"/>
        <w:spacing w:line="229" w:lineRule="exact"/>
        <w:ind w:left="18"/>
      </w:pPr>
      <w:r>
        <w:rPr/>
        <w:br w:type="column"/>
      </w:r>
      <w:r>
        <w:rPr/>
        <w:t>retained is more</w:t>
      </w:r>
    </w:p>
    <w:p>
      <w:pPr>
        <w:spacing w:after="0" w:line="229" w:lineRule="exact"/>
        <w:sectPr>
          <w:type w:val="continuous"/>
          <w:pgSz w:w="12240" w:h="15840"/>
          <w:pgMar w:top="400" w:bottom="280" w:left="580" w:right="600"/>
          <w:cols w:num="3" w:equalWidth="0">
            <w:col w:w="5241" w:space="86"/>
            <w:col w:w="3836" w:space="39"/>
            <w:col w:w="1858"/>
          </w:cols>
        </w:sectPr>
      </w:pPr>
    </w:p>
    <w:p>
      <w:pPr>
        <w:pStyle w:val="BodyText"/>
        <w:spacing w:line="225" w:lineRule="auto" w:before="11"/>
        <w:ind w:left="157" w:right="38"/>
        <w:jc w:val="both"/>
      </w:pPr>
      <w:r>
        <w:rPr/>
        <w:t>95% probability that &lt;1% of the total amount stored would be released. Using a deterministic model of CO</w:t>
      </w:r>
      <w:r>
        <w:rPr>
          <w:position w:val="-6"/>
          <w:sz w:val="11"/>
        </w:rPr>
        <w:t>2 </w:t>
      </w:r>
      <w:r>
        <w:rPr/>
        <w:t>transport in </w:t>
      </w:r>
      <w:r>
        <w:rPr>
          <w:spacing w:val="-4"/>
        </w:rPr>
        <w:t>the </w:t>
      </w:r>
      <w:r>
        <w:rPr/>
        <w:t>subsurface,</w:t>
      </w:r>
      <w:r>
        <w:rPr>
          <w:spacing w:val="-8"/>
        </w:rPr>
        <w:t> </w:t>
      </w:r>
      <w:r>
        <w:rPr/>
        <w:t>Zhou</w:t>
      </w:r>
      <w:r>
        <w:rPr>
          <w:spacing w:val="-8"/>
        </w:rPr>
        <w:t> </w:t>
      </w:r>
      <w:r>
        <w:rPr>
          <w:i/>
        </w:rPr>
        <w:t>et</w:t>
      </w:r>
      <w:r>
        <w:rPr>
          <w:i/>
          <w:spacing w:val="-8"/>
        </w:rPr>
        <w:t> </w:t>
      </w:r>
      <w:r>
        <w:rPr>
          <w:i/>
        </w:rPr>
        <w:t>al.</w:t>
      </w:r>
      <w:r>
        <w:rPr>
          <w:i/>
          <w:spacing w:val="-8"/>
        </w:rPr>
        <w:t> </w:t>
      </w:r>
      <w:r>
        <w:rPr/>
        <w:t>(2005)</w:t>
      </w:r>
      <w:r>
        <w:rPr>
          <w:spacing w:val="-8"/>
        </w:rPr>
        <w:t> </w:t>
      </w:r>
      <w:r>
        <w:rPr/>
        <w:t>found</w:t>
      </w:r>
      <w:r>
        <w:rPr>
          <w:spacing w:val="-8"/>
        </w:rPr>
        <w:t> </w:t>
      </w:r>
      <w:r>
        <w:rPr/>
        <w:t>no</w:t>
      </w:r>
      <w:r>
        <w:rPr>
          <w:spacing w:val="-8"/>
        </w:rPr>
        <w:t> </w:t>
      </w:r>
      <w:r>
        <w:rPr/>
        <w:t>release</w:t>
      </w:r>
      <w:r>
        <w:rPr>
          <w:spacing w:val="-8"/>
        </w:rPr>
        <w:t> </w:t>
      </w:r>
      <w:r>
        <w:rPr/>
        <w:t>to</w:t>
      </w:r>
      <w:r>
        <w:rPr>
          <w:spacing w:val="-8"/>
        </w:rPr>
        <w:t> </w:t>
      </w:r>
      <w:r>
        <w:rPr/>
        <w:t>the</w:t>
      </w:r>
      <w:r>
        <w:rPr>
          <w:spacing w:val="-8"/>
        </w:rPr>
        <w:t> </w:t>
      </w:r>
      <w:r>
        <w:rPr/>
        <w:t>biosphere</w:t>
      </w:r>
    </w:p>
    <w:p>
      <w:pPr>
        <w:pStyle w:val="ListParagraph"/>
        <w:numPr>
          <w:ilvl w:val="0"/>
          <w:numId w:val="6"/>
        </w:numPr>
        <w:tabs>
          <w:tab w:pos="441" w:val="left" w:leader="none"/>
        </w:tabs>
        <w:spacing w:line="231" w:lineRule="exact" w:before="0" w:after="0"/>
        <w:ind w:left="440" w:right="0" w:hanging="284"/>
        <w:jc w:val="left"/>
        <w:rPr>
          <w:sz w:val="20"/>
        </w:rPr>
      </w:pPr>
      <w:r>
        <w:rPr>
          <w:w w:val="100"/>
          <w:sz w:val="20"/>
        </w:rPr>
        <w:br w:type="column"/>
      </w:r>
      <w:r>
        <w:rPr>
          <w:sz w:val="20"/>
        </w:rPr>
        <w:t>It is likely the fraction of stored</w:t>
      </w:r>
      <w:r>
        <w:rPr>
          <w:spacing w:val="8"/>
          <w:sz w:val="20"/>
        </w:rPr>
        <w:t> </w:t>
      </w:r>
      <w:r>
        <w:rPr>
          <w:sz w:val="20"/>
        </w:rPr>
        <w:t>CO</w:t>
      </w:r>
    </w:p>
    <w:p>
      <w:pPr>
        <w:pStyle w:val="BodyText"/>
        <w:spacing w:before="9"/>
        <w:ind w:left="440"/>
      </w:pPr>
      <w:r>
        <w:rPr/>
        <w:pict>
          <v:shape style="position:absolute;margin-left:463.794403pt;margin-top:-3.256562pt;width:2.95pt;height:5.85pt;mso-position-horizontal-relative:page;mso-position-vertical-relative:paragraph;z-index:25172992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99% over the first 1000 years.</w:t>
      </w:r>
    </w:p>
    <w:p>
      <w:pPr>
        <w:pStyle w:val="BodyText"/>
        <w:ind w:left="19"/>
      </w:pPr>
      <w:r>
        <w:rPr/>
        <w:br w:type="column"/>
      </w:r>
      <w:r>
        <w:rPr/>
        <w:t>retained is more than</w:t>
      </w:r>
    </w:p>
    <w:p>
      <w:pPr>
        <w:spacing w:after="0"/>
        <w:sectPr>
          <w:type w:val="continuous"/>
          <w:pgSz w:w="12240" w:h="15840"/>
          <w:pgMar w:top="400" w:bottom="280" w:left="580" w:right="600"/>
          <w:cols w:num="3" w:equalWidth="0">
            <w:col w:w="5241" w:space="85"/>
            <w:col w:w="3428" w:space="40"/>
            <w:col w:w="2266"/>
          </w:cols>
        </w:sectPr>
      </w:pPr>
    </w:p>
    <w:p>
      <w:pPr>
        <w:pStyle w:val="BodyText"/>
        <w:spacing w:line="249" w:lineRule="auto" w:before="10"/>
        <w:ind w:left="157" w:right="39"/>
        <w:jc w:val="both"/>
      </w:pPr>
      <w:r>
        <w:rPr/>
        <w:t>in 5000 years. While using a probabilistic model of transport through abandoned wells, they found a statistical mean release of 0.001% and a maximum release of 0.14% (expressed as the cumulative fraction of stored CO</w:t>
      </w:r>
      <w:r>
        <w:rPr>
          <w:position w:val="-6"/>
          <w:sz w:val="11"/>
        </w:rPr>
        <w:t>2 </w:t>
      </w:r>
      <w:r>
        <w:rPr/>
        <w:t>released over 5000 years).</w:t>
      </w:r>
    </w:p>
    <w:p>
      <w:pPr>
        <w:pStyle w:val="BodyText"/>
        <w:spacing w:line="183" w:lineRule="exact"/>
        <w:ind w:left="440"/>
        <w:jc w:val="both"/>
      </w:pPr>
      <w:r>
        <w:rPr/>
        <w:t>In</w:t>
      </w:r>
      <w:r>
        <w:rPr>
          <w:spacing w:val="-15"/>
        </w:rPr>
        <w:t> </w:t>
      </w:r>
      <w:r>
        <w:rPr/>
        <w:t>saline</w:t>
      </w:r>
      <w:r>
        <w:rPr>
          <w:spacing w:val="-15"/>
        </w:rPr>
        <w:t> </w:t>
      </w:r>
      <w:r>
        <w:rPr/>
        <w:t>formations</w:t>
      </w:r>
      <w:r>
        <w:rPr>
          <w:spacing w:val="-15"/>
        </w:rPr>
        <w:t> </w:t>
      </w:r>
      <w:r>
        <w:rPr/>
        <w:t>or</w:t>
      </w:r>
      <w:r>
        <w:rPr>
          <w:spacing w:val="-15"/>
        </w:rPr>
        <w:t> </w:t>
      </w:r>
      <w:r>
        <w:rPr/>
        <w:t>oil</w:t>
      </w:r>
      <w:r>
        <w:rPr>
          <w:spacing w:val="-14"/>
        </w:rPr>
        <w:t> </w:t>
      </w:r>
      <w:r>
        <w:rPr/>
        <w:t>and</w:t>
      </w:r>
      <w:r>
        <w:rPr>
          <w:spacing w:val="-15"/>
        </w:rPr>
        <w:t> </w:t>
      </w:r>
      <w:r>
        <w:rPr/>
        <w:t>gas</w:t>
      </w:r>
      <w:r>
        <w:rPr>
          <w:spacing w:val="-15"/>
        </w:rPr>
        <w:t> </w:t>
      </w:r>
      <w:r>
        <w:rPr/>
        <w:t>reservoirs</w:t>
      </w:r>
      <w:r>
        <w:rPr>
          <w:spacing w:val="-15"/>
        </w:rPr>
        <w:t> </w:t>
      </w:r>
      <w:r>
        <w:rPr/>
        <w:t>with</w:t>
      </w:r>
      <w:r>
        <w:rPr>
          <w:spacing w:val="-14"/>
        </w:rPr>
        <w:t> </w:t>
      </w:r>
      <w:r>
        <w:rPr/>
        <w:t>significant</w:t>
      </w:r>
    </w:p>
    <w:p>
      <w:pPr>
        <w:pStyle w:val="BodyText"/>
        <w:spacing w:line="240" w:lineRule="exact" w:before="5"/>
        <w:ind w:left="157" w:right="38"/>
        <w:jc w:val="both"/>
      </w:pPr>
      <w:r>
        <w:rPr/>
        <w:t>brine content, much of the CO</w:t>
      </w:r>
      <w:r>
        <w:rPr>
          <w:position w:val="-6"/>
          <w:sz w:val="11"/>
        </w:rPr>
        <w:t>2 </w:t>
      </w:r>
      <w:r>
        <w:rPr/>
        <w:t>will eventually dissolve in the brine </w:t>
      </w:r>
      <w:hyperlink w:history="true" w:anchor="_bookmark12">
        <w:r>
          <w:rPr/>
          <w:t>(Figure</w:t>
        </w:r>
      </w:hyperlink>
      <w:r>
        <w:rPr/>
        <w:t> 5.7), be trapped as a residual immobile </w:t>
      </w:r>
      <w:r>
        <w:rPr>
          <w:spacing w:val="-3"/>
        </w:rPr>
        <w:t>phase  </w:t>
      </w:r>
      <w:hyperlink w:history="true" w:anchor="_bookmark14">
        <w:r>
          <w:rPr/>
          <w:t>(Figure 5.8)</w:t>
        </w:r>
      </w:hyperlink>
      <w:r>
        <w:rPr/>
        <w:t> or be immobilized by geochemical  reactions.  The time scale for dissolution is typically short compared to the time for CO</w:t>
      </w:r>
      <w:r>
        <w:rPr>
          <w:position w:val="-6"/>
          <w:sz w:val="11"/>
        </w:rPr>
        <w:t>2 </w:t>
      </w:r>
      <w:r>
        <w:rPr/>
        <w:t>to migrate out of the storage formation by other</w:t>
      </w:r>
      <w:r>
        <w:rPr>
          <w:spacing w:val="-12"/>
        </w:rPr>
        <w:t> </w:t>
      </w:r>
      <w:r>
        <w:rPr/>
        <w:t>processes</w:t>
      </w:r>
      <w:r>
        <w:rPr>
          <w:spacing w:val="-11"/>
        </w:rPr>
        <w:t> </w:t>
      </w:r>
      <w:r>
        <w:rPr/>
        <w:t>(Ennis-King</w:t>
      </w:r>
      <w:r>
        <w:rPr>
          <w:spacing w:val="-11"/>
        </w:rPr>
        <w:t> </w:t>
      </w:r>
      <w:r>
        <w:rPr/>
        <w:t>and</w:t>
      </w:r>
      <w:r>
        <w:rPr>
          <w:spacing w:val="-12"/>
        </w:rPr>
        <w:t> </w:t>
      </w:r>
      <w:r>
        <w:rPr/>
        <w:t>Paterson,</w:t>
      </w:r>
      <w:r>
        <w:rPr>
          <w:spacing w:val="-12"/>
        </w:rPr>
        <w:t> </w:t>
      </w:r>
      <w:r>
        <w:rPr/>
        <w:t>2003;</w:t>
      </w:r>
      <w:r>
        <w:rPr>
          <w:spacing w:val="-11"/>
        </w:rPr>
        <w:t> </w:t>
      </w:r>
      <w:r>
        <w:rPr/>
        <w:t>Lindeberg</w:t>
      </w:r>
      <w:r>
        <w:rPr>
          <w:spacing w:val="-11"/>
        </w:rPr>
        <w:t> </w:t>
      </w:r>
      <w:r>
        <w:rPr/>
        <w:t>and Bergmo, 2003; </w:t>
      </w:r>
      <w:r>
        <w:rPr>
          <w:spacing w:val="-3"/>
        </w:rPr>
        <w:t>Walton </w:t>
      </w:r>
      <w:r>
        <w:rPr>
          <w:i/>
        </w:rPr>
        <w:t>et al.</w:t>
      </w:r>
      <w:r>
        <w:rPr/>
        <w:t>, 2005). It is expected that </w:t>
      </w:r>
      <w:r>
        <w:rPr>
          <w:spacing w:val="-4"/>
        </w:rPr>
        <w:t>many </w:t>
      </w:r>
      <w:r>
        <w:rPr/>
        <w:t>storage projects could be selected and operated so that a very large</w:t>
      </w:r>
      <w:r>
        <w:rPr>
          <w:spacing w:val="-7"/>
        </w:rPr>
        <w:t> </w:t>
      </w:r>
      <w:r>
        <w:rPr/>
        <w:t>fraction</w:t>
      </w:r>
      <w:r>
        <w:rPr>
          <w:spacing w:val="-7"/>
        </w:rPr>
        <w:t> </w:t>
      </w:r>
      <w:r>
        <w:rPr/>
        <w:t>of</w:t>
      </w:r>
      <w:r>
        <w:rPr>
          <w:spacing w:val="-7"/>
        </w:rPr>
        <w:t> </w:t>
      </w:r>
      <w:r>
        <w:rPr/>
        <w:t>the</w:t>
      </w:r>
      <w:r>
        <w:rPr>
          <w:spacing w:val="-7"/>
        </w:rPr>
        <w:t> </w:t>
      </w:r>
      <w:r>
        <w:rPr/>
        <w:t>injected</w:t>
      </w:r>
      <w:r>
        <w:rPr>
          <w:spacing w:val="-7"/>
        </w:rPr>
        <w:t> </w:t>
      </w:r>
      <w:r>
        <w:rPr/>
        <w:t>CO</w:t>
      </w:r>
      <w:r>
        <w:rPr>
          <w:position w:val="-6"/>
          <w:sz w:val="11"/>
        </w:rPr>
        <w:t>2</w:t>
      </w:r>
      <w:r>
        <w:rPr>
          <w:spacing w:val="16"/>
          <w:position w:val="-6"/>
          <w:sz w:val="11"/>
        </w:rPr>
        <w:t> </w:t>
      </w:r>
      <w:r>
        <w:rPr/>
        <w:t>will</w:t>
      </w:r>
      <w:r>
        <w:rPr>
          <w:spacing w:val="-7"/>
        </w:rPr>
        <w:t> </w:t>
      </w:r>
      <w:r>
        <w:rPr/>
        <w:t>dissolve.</w:t>
      </w:r>
      <w:r>
        <w:rPr>
          <w:spacing w:val="-7"/>
        </w:rPr>
        <w:t> </w:t>
      </w:r>
      <w:r>
        <w:rPr/>
        <w:t>Once</w:t>
      </w:r>
      <w:r>
        <w:rPr>
          <w:spacing w:val="-6"/>
        </w:rPr>
        <w:t> </w:t>
      </w:r>
      <w:r>
        <w:rPr/>
        <w:t>dissolved, CO</w:t>
      </w:r>
      <w:r>
        <w:rPr>
          <w:position w:val="-6"/>
          <w:sz w:val="11"/>
        </w:rPr>
        <w:t>2 </w:t>
      </w:r>
      <w:r>
        <w:rPr/>
        <w:t>can eventually be transported out of the injection site by basin-scale</w:t>
      </w:r>
      <w:r>
        <w:rPr>
          <w:spacing w:val="-5"/>
        </w:rPr>
        <w:t> </w:t>
      </w:r>
      <w:r>
        <w:rPr/>
        <w:t>circulation</w:t>
      </w:r>
      <w:r>
        <w:rPr>
          <w:spacing w:val="-5"/>
        </w:rPr>
        <w:t> </w:t>
      </w:r>
      <w:r>
        <w:rPr/>
        <w:t>or</w:t>
      </w:r>
      <w:r>
        <w:rPr>
          <w:spacing w:val="-5"/>
        </w:rPr>
        <w:t> </w:t>
      </w:r>
      <w:r>
        <w:rPr/>
        <w:t>upward</w:t>
      </w:r>
      <w:r>
        <w:rPr>
          <w:spacing w:val="-4"/>
        </w:rPr>
        <w:t> </w:t>
      </w:r>
      <w:r>
        <w:rPr/>
        <w:t>migration,</w:t>
      </w:r>
      <w:r>
        <w:rPr>
          <w:spacing w:val="-5"/>
        </w:rPr>
        <w:t> </w:t>
      </w:r>
      <w:r>
        <w:rPr/>
        <w:t>but</w:t>
      </w:r>
      <w:r>
        <w:rPr>
          <w:spacing w:val="-5"/>
        </w:rPr>
        <w:t> </w:t>
      </w:r>
      <w:r>
        <w:rPr/>
        <w:t>the</w:t>
      </w:r>
      <w:r>
        <w:rPr>
          <w:spacing w:val="-5"/>
        </w:rPr>
        <w:t> </w:t>
      </w:r>
      <w:r>
        <w:rPr/>
        <w:t>time</w:t>
      </w:r>
      <w:r>
        <w:rPr>
          <w:spacing w:val="-4"/>
        </w:rPr>
        <w:t> </w:t>
      </w:r>
      <w:r>
        <w:rPr/>
        <w:t>scales (millions of years) of such transport are typically sufficiently long</w:t>
      </w:r>
      <w:r>
        <w:rPr>
          <w:spacing w:val="-4"/>
        </w:rPr>
        <w:t> </w:t>
      </w:r>
      <w:r>
        <w:rPr/>
        <w:t>that</w:t>
      </w:r>
      <w:r>
        <w:rPr>
          <w:spacing w:val="-3"/>
        </w:rPr>
        <w:t> </w:t>
      </w:r>
      <w:r>
        <w:rPr/>
        <w:t>they</w:t>
      </w:r>
      <w:r>
        <w:rPr>
          <w:spacing w:val="-4"/>
        </w:rPr>
        <w:t> </w:t>
      </w:r>
      <w:r>
        <w:rPr/>
        <w:t>can</w:t>
      </w:r>
      <w:r>
        <w:rPr>
          <w:spacing w:val="-3"/>
        </w:rPr>
        <w:t> </w:t>
      </w:r>
      <w:r>
        <w:rPr/>
        <w:t>(arguably)</w:t>
      </w:r>
      <w:r>
        <w:rPr>
          <w:spacing w:val="-3"/>
        </w:rPr>
        <w:t> </w:t>
      </w:r>
      <w:r>
        <w:rPr/>
        <w:t>be</w:t>
      </w:r>
      <w:r>
        <w:rPr>
          <w:spacing w:val="-4"/>
        </w:rPr>
        <w:t> </w:t>
      </w:r>
      <w:r>
        <w:rPr/>
        <w:t>ignored</w:t>
      </w:r>
      <w:r>
        <w:rPr>
          <w:spacing w:val="-3"/>
        </w:rPr>
        <w:t> </w:t>
      </w:r>
      <w:r>
        <w:rPr/>
        <w:t>in</w:t>
      </w:r>
      <w:r>
        <w:rPr>
          <w:spacing w:val="-3"/>
        </w:rPr>
        <w:t> </w:t>
      </w:r>
      <w:r>
        <w:rPr/>
        <w:t>assessing</w:t>
      </w:r>
      <w:r>
        <w:rPr>
          <w:spacing w:val="-4"/>
        </w:rPr>
        <w:t> </w:t>
      </w:r>
      <w:r>
        <w:rPr/>
        <w:t>the</w:t>
      </w:r>
      <w:r>
        <w:rPr>
          <w:spacing w:val="-3"/>
        </w:rPr>
        <w:t> </w:t>
      </w:r>
      <w:r>
        <w:rPr/>
        <w:t>risk</w:t>
      </w:r>
      <w:r>
        <w:rPr>
          <w:spacing w:val="-3"/>
        </w:rPr>
        <w:t> </w:t>
      </w:r>
      <w:r>
        <w:rPr/>
        <w:t>of leakage.</w:t>
      </w:r>
    </w:p>
    <w:p>
      <w:pPr>
        <w:pStyle w:val="BodyText"/>
        <w:spacing w:line="240" w:lineRule="exact"/>
        <w:ind w:left="157" w:right="38" w:firstLine="283"/>
        <w:jc w:val="both"/>
      </w:pPr>
      <w:r>
        <w:rPr/>
        <w:t>As</w:t>
      </w:r>
      <w:r>
        <w:rPr>
          <w:spacing w:val="-13"/>
        </w:rPr>
        <w:t> </w:t>
      </w:r>
      <w:r>
        <w:rPr/>
        <w:t>described</w:t>
      </w:r>
      <w:r>
        <w:rPr>
          <w:spacing w:val="-13"/>
        </w:rPr>
        <w:t> </w:t>
      </w:r>
      <w:r>
        <w:rPr/>
        <w:t>in</w:t>
      </w:r>
      <w:r>
        <w:rPr>
          <w:spacing w:val="-12"/>
        </w:rPr>
        <w:t> </w:t>
      </w:r>
      <w:r>
        <w:rPr/>
        <w:t>Section</w:t>
      </w:r>
      <w:r>
        <w:rPr>
          <w:spacing w:val="-13"/>
        </w:rPr>
        <w:t> </w:t>
      </w:r>
      <w:r>
        <w:rPr/>
        <w:t>5.1,</w:t>
      </w:r>
      <w:r>
        <w:rPr>
          <w:spacing w:val="-12"/>
        </w:rPr>
        <w:t> </w:t>
      </w:r>
      <w:r>
        <w:rPr/>
        <w:t>several</w:t>
      </w:r>
      <w:r>
        <w:rPr>
          <w:spacing w:val="-13"/>
        </w:rPr>
        <w:t> </w:t>
      </w:r>
      <w:r>
        <w:rPr/>
        <w:t>CO</w:t>
      </w:r>
      <w:r>
        <w:rPr>
          <w:position w:val="-6"/>
          <w:sz w:val="11"/>
        </w:rPr>
        <w:t>2</w:t>
      </w:r>
      <w:r>
        <w:rPr>
          <w:spacing w:val="11"/>
          <w:position w:val="-6"/>
          <w:sz w:val="11"/>
        </w:rPr>
        <w:t> </w:t>
      </w:r>
      <w:r>
        <w:rPr/>
        <w:t>storage</w:t>
      </w:r>
      <w:r>
        <w:rPr>
          <w:spacing w:val="-13"/>
        </w:rPr>
        <w:t> </w:t>
      </w:r>
      <w:r>
        <w:rPr/>
        <w:t>projects</w:t>
      </w:r>
      <w:r>
        <w:rPr>
          <w:spacing w:val="-12"/>
        </w:rPr>
        <w:t> </w:t>
      </w:r>
      <w:r>
        <w:rPr/>
        <w:t>are now</w:t>
      </w:r>
      <w:r>
        <w:rPr>
          <w:spacing w:val="-33"/>
        </w:rPr>
        <w:t> </w:t>
      </w:r>
      <w:r>
        <w:rPr/>
        <w:t>in</w:t>
      </w:r>
      <w:r>
        <w:rPr>
          <w:spacing w:val="-32"/>
        </w:rPr>
        <w:t> </w:t>
      </w:r>
      <w:r>
        <w:rPr/>
        <w:t>operation</w:t>
      </w:r>
      <w:r>
        <w:rPr>
          <w:spacing w:val="-32"/>
        </w:rPr>
        <w:t> </w:t>
      </w:r>
      <w:r>
        <w:rPr/>
        <w:t>and</w:t>
      </w:r>
      <w:r>
        <w:rPr>
          <w:spacing w:val="-32"/>
        </w:rPr>
        <w:t> </w:t>
      </w:r>
      <w:r>
        <w:rPr/>
        <w:t>being</w:t>
      </w:r>
      <w:r>
        <w:rPr>
          <w:spacing w:val="-32"/>
        </w:rPr>
        <w:t> </w:t>
      </w:r>
      <w:r>
        <w:rPr/>
        <w:t>carefully</w:t>
      </w:r>
      <w:r>
        <w:rPr>
          <w:spacing w:val="-32"/>
        </w:rPr>
        <w:t> </w:t>
      </w:r>
      <w:r>
        <w:rPr/>
        <w:t>monitored.</w:t>
      </w:r>
      <w:r>
        <w:rPr>
          <w:spacing w:val="-36"/>
        </w:rPr>
        <w:t> </w:t>
      </w:r>
      <w:r>
        <w:rPr/>
        <w:t>While</w:t>
      </w:r>
      <w:r>
        <w:rPr>
          <w:spacing w:val="-32"/>
        </w:rPr>
        <w:t> </w:t>
      </w:r>
      <w:r>
        <w:rPr/>
        <w:t>no</w:t>
      </w:r>
      <w:r>
        <w:rPr>
          <w:spacing w:val="-32"/>
        </w:rPr>
        <w:t> </w:t>
      </w:r>
      <w:r>
        <w:rPr/>
        <w:t>leakage of stored CO</w:t>
      </w:r>
      <w:r>
        <w:rPr>
          <w:position w:val="-6"/>
          <w:sz w:val="11"/>
        </w:rPr>
        <w:t>2 </w:t>
      </w:r>
      <w:r>
        <w:rPr/>
        <w:t>out of the storage formations has been observed in any of the current projects, time is too short and overall monitoring too limited, to enable direct empirical conclusions about the long-term performance of geological storage. Rather than</w:t>
      </w:r>
      <w:r>
        <w:rPr>
          <w:spacing w:val="-5"/>
        </w:rPr>
        <w:t> </w:t>
      </w:r>
      <w:r>
        <w:rPr/>
        <w:t>providing</w:t>
      </w:r>
      <w:r>
        <w:rPr>
          <w:spacing w:val="-4"/>
        </w:rPr>
        <w:t> </w:t>
      </w:r>
      <w:r>
        <w:rPr/>
        <w:t>a</w:t>
      </w:r>
      <w:r>
        <w:rPr>
          <w:spacing w:val="-4"/>
        </w:rPr>
        <w:t> </w:t>
      </w:r>
      <w:r>
        <w:rPr/>
        <w:t>direct</w:t>
      </w:r>
      <w:r>
        <w:rPr>
          <w:spacing w:val="-4"/>
        </w:rPr>
        <w:t> </w:t>
      </w:r>
      <w:r>
        <w:rPr/>
        <w:t>test</w:t>
      </w:r>
      <w:r>
        <w:rPr>
          <w:spacing w:val="-4"/>
        </w:rPr>
        <w:t> </w:t>
      </w:r>
      <w:r>
        <w:rPr/>
        <w:t>of</w:t>
      </w:r>
      <w:r>
        <w:rPr>
          <w:spacing w:val="-4"/>
        </w:rPr>
        <w:t> </w:t>
      </w:r>
      <w:r>
        <w:rPr/>
        <w:t>performance,</w:t>
      </w:r>
      <w:r>
        <w:rPr>
          <w:spacing w:val="-5"/>
        </w:rPr>
        <w:t> </w:t>
      </w:r>
      <w:r>
        <w:rPr/>
        <w:t>the</w:t>
      </w:r>
      <w:r>
        <w:rPr>
          <w:spacing w:val="-4"/>
        </w:rPr>
        <w:t> </w:t>
      </w:r>
      <w:r>
        <w:rPr/>
        <w:t>current</w:t>
      </w:r>
      <w:r>
        <w:rPr>
          <w:spacing w:val="-4"/>
        </w:rPr>
        <w:t> </w:t>
      </w:r>
      <w:r>
        <w:rPr/>
        <w:t>projects improve</w:t>
      </w:r>
      <w:r>
        <w:rPr>
          <w:spacing w:val="17"/>
        </w:rPr>
        <w:t> </w:t>
      </w:r>
      <w:r>
        <w:rPr/>
        <w:t>the</w:t>
      </w:r>
      <w:r>
        <w:rPr>
          <w:spacing w:val="18"/>
        </w:rPr>
        <w:t> </w:t>
      </w:r>
      <w:r>
        <w:rPr/>
        <w:t>quality</w:t>
      </w:r>
      <w:r>
        <w:rPr>
          <w:spacing w:val="18"/>
        </w:rPr>
        <w:t> </w:t>
      </w:r>
      <w:r>
        <w:rPr/>
        <w:t>of</w:t>
      </w:r>
      <w:r>
        <w:rPr>
          <w:spacing w:val="18"/>
        </w:rPr>
        <w:t> </w:t>
      </w:r>
      <w:r>
        <w:rPr/>
        <w:t>long-duration</w:t>
      </w:r>
      <w:r>
        <w:rPr>
          <w:spacing w:val="17"/>
        </w:rPr>
        <w:t> </w:t>
      </w:r>
      <w:r>
        <w:rPr/>
        <w:t>performance</w:t>
      </w:r>
      <w:r>
        <w:rPr>
          <w:spacing w:val="18"/>
        </w:rPr>
        <w:t> </w:t>
      </w:r>
      <w:r>
        <w:rPr/>
        <w:t>predictions</w:t>
      </w:r>
    </w:p>
    <w:p>
      <w:pPr>
        <w:pStyle w:val="Heading2"/>
        <w:numPr>
          <w:ilvl w:val="2"/>
          <w:numId w:val="15"/>
        </w:numPr>
        <w:tabs>
          <w:tab w:pos="978" w:val="left" w:leader="none"/>
        </w:tabs>
        <w:spacing w:line="240" w:lineRule="auto" w:before="10" w:after="0"/>
        <w:ind w:left="977" w:right="0" w:hanging="821"/>
        <w:jc w:val="both"/>
        <w:rPr>
          <w:i/>
        </w:rPr>
      </w:pPr>
      <w:r>
        <w:rPr>
          <w:i/>
        </w:rPr>
        <w:br w:type="column"/>
        <w:t>Possible local and regional environmental</w:t>
      </w:r>
      <w:r>
        <w:rPr>
          <w:i/>
          <w:spacing w:val="-6"/>
        </w:rPr>
        <w:t> </w:t>
      </w:r>
      <w:r>
        <w:rPr>
          <w:i/>
        </w:rPr>
        <w:t>hazards</w:t>
      </w:r>
    </w:p>
    <w:p>
      <w:pPr>
        <w:pStyle w:val="BodyText"/>
        <w:spacing w:before="8"/>
        <w:rPr>
          <w:b/>
          <w:i/>
          <w:sz w:val="21"/>
        </w:rPr>
      </w:pPr>
    </w:p>
    <w:p>
      <w:pPr>
        <w:pStyle w:val="ListParagraph"/>
        <w:numPr>
          <w:ilvl w:val="3"/>
          <w:numId w:val="15"/>
        </w:numPr>
        <w:tabs>
          <w:tab w:pos="978" w:val="left" w:leader="none"/>
        </w:tabs>
        <w:spacing w:line="240" w:lineRule="auto" w:before="1" w:after="0"/>
        <w:ind w:left="977" w:right="0" w:hanging="821"/>
        <w:jc w:val="both"/>
        <w:rPr>
          <w:i/>
          <w:sz w:val="20"/>
        </w:rPr>
      </w:pPr>
      <w:r>
        <w:rPr>
          <w:i/>
          <w:sz w:val="20"/>
        </w:rPr>
        <w:t>Potential hazards to human health and</w:t>
      </w:r>
      <w:r>
        <w:rPr>
          <w:i/>
          <w:spacing w:val="-3"/>
          <w:sz w:val="20"/>
        </w:rPr>
        <w:t> </w:t>
      </w:r>
      <w:r>
        <w:rPr>
          <w:i/>
          <w:sz w:val="20"/>
        </w:rPr>
        <w:t>safety</w:t>
      </w:r>
    </w:p>
    <w:p>
      <w:pPr>
        <w:pStyle w:val="BodyText"/>
        <w:spacing w:line="240" w:lineRule="exact" w:before="4"/>
        <w:ind w:left="157" w:right="530"/>
        <w:jc w:val="both"/>
      </w:pPr>
      <w:r>
        <w:rPr/>
        <w:t>Risks</w:t>
      </w:r>
      <w:r>
        <w:rPr>
          <w:spacing w:val="-18"/>
        </w:rPr>
        <w:t> </w:t>
      </w:r>
      <w:r>
        <w:rPr/>
        <w:t>to</w:t>
      </w:r>
      <w:r>
        <w:rPr>
          <w:spacing w:val="-18"/>
        </w:rPr>
        <w:t> </w:t>
      </w:r>
      <w:r>
        <w:rPr/>
        <w:t>human</w:t>
      </w:r>
      <w:r>
        <w:rPr>
          <w:spacing w:val="-17"/>
        </w:rPr>
        <w:t> </w:t>
      </w:r>
      <w:r>
        <w:rPr/>
        <w:t>health</w:t>
      </w:r>
      <w:r>
        <w:rPr>
          <w:spacing w:val="-18"/>
        </w:rPr>
        <w:t> </w:t>
      </w:r>
      <w:r>
        <w:rPr/>
        <w:t>and</w:t>
      </w:r>
      <w:r>
        <w:rPr>
          <w:spacing w:val="-17"/>
        </w:rPr>
        <w:t> </w:t>
      </w:r>
      <w:r>
        <w:rPr/>
        <w:t>safety</w:t>
      </w:r>
      <w:r>
        <w:rPr>
          <w:spacing w:val="-18"/>
        </w:rPr>
        <w:t> </w:t>
      </w:r>
      <w:r>
        <w:rPr/>
        <w:t>arise</w:t>
      </w:r>
      <w:r>
        <w:rPr>
          <w:spacing w:val="-17"/>
        </w:rPr>
        <w:t> </w:t>
      </w:r>
      <w:r>
        <w:rPr/>
        <w:t>(almost)</w:t>
      </w:r>
      <w:r>
        <w:rPr>
          <w:spacing w:val="-18"/>
        </w:rPr>
        <w:t> </w:t>
      </w:r>
      <w:r>
        <w:rPr/>
        <w:t>exclusively</w:t>
      </w:r>
      <w:r>
        <w:rPr>
          <w:spacing w:val="-17"/>
        </w:rPr>
        <w:t> </w:t>
      </w:r>
      <w:r>
        <w:rPr/>
        <w:t>from elevated CO</w:t>
      </w:r>
      <w:r>
        <w:rPr>
          <w:position w:val="-6"/>
          <w:sz w:val="11"/>
        </w:rPr>
        <w:t>2 </w:t>
      </w:r>
      <w:r>
        <w:rPr/>
        <w:t>concentrations in ambient air, either in confined outdoor environments, in caves or in buildings. Physiological and toxicological responses to elevated CO</w:t>
      </w:r>
      <w:r>
        <w:rPr>
          <w:position w:val="-6"/>
          <w:sz w:val="11"/>
        </w:rPr>
        <w:t>2 </w:t>
      </w:r>
      <w:r>
        <w:rPr/>
        <w:t>concentrations </w:t>
      </w:r>
      <w:r>
        <w:rPr>
          <w:spacing w:val="-4"/>
        </w:rPr>
        <w:t>are </w:t>
      </w:r>
      <w:r>
        <w:rPr/>
        <w:t>relatively well understood (AI.3.3). At concentrations above about</w:t>
      </w:r>
      <w:r>
        <w:rPr>
          <w:spacing w:val="-12"/>
        </w:rPr>
        <w:t> </w:t>
      </w:r>
      <w:r>
        <w:rPr/>
        <w:t>2%,</w:t>
      </w:r>
      <w:r>
        <w:rPr>
          <w:spacing w:val="-12"/>
        </w:rPr>
        <w:t> </w:t>
      </w:r>
      <w:r>
        <w:rPr/>
        <w:t>CO</w:t>
      </w:r>
      <w:r>
        <w:rPr>
          <w:position w:val="-6"/>
          <w:sz w:val="11"/>
        </w:rPr>
        <w:t>2</w:t>
      </w:r>
      <w:r>
        <w:rPr>
          <w:spacing w:val="11"/>
          <w:position w:val="-6"/>
          <w:sz w:val="11"/>
        </w:rPr>
        <w:t> </w:t>
      </w:r>
      <w:r>
        <w:rPr/>
        <w:t>has</w:t>
      </w:r>
      <w:r>
        <w:rPr>
          <w:spacing w:val="-12"/>
        </w:rPr>
        <w:t> </w:t>
      </w:r>
      <w:r>
        <w:rPr/>
        <w:t>a</w:t>
      </w:r>
      <w:r>
        <w:rPr>
          <w:spacing w:val="-12"/>
        </w:rPr>
        <w:t> </w:t>
      </w:r>
      <w:r>
        <w:rPr/>
        <w:t>strong</w:t>
      </w:r>
      <w:r>
        <w:rPr>
          <w:spacing w:val="-11"/>
        </w:rPr>
        <w:t> </w:t>
      </w:r>
      <w:r>
        <w:rPr/>
        <w:t>effect</w:t>
      </w:r>
      <w:r>
        <w:rPr>
          <w:spacing w:val="-12"/>
        </w:rPr>
        <w:t> </w:t>
      </w:r>
      <w:r>
        <w:rPr/>
        <w:t>on</w:t>
      </w:r>
      <w:r>
        <w:rPr>
          <w:spacing w:val="-12"/>
        </w:rPr>
        <w:t> </w:t>
      </w:r>
      <w:r>
        <w:rPr/>
        <w:t>respiratory</w:t>
      </w:r>
      <w:r>
        <w:rPr>
          <w:spacing w:val="-11"/>
        </w:rPr>
        <w:t> </w:t>
      </w:r>
      <w:r>
        <w:rPr/>
        <w:t>physiology</w:t>
      </w:r>
      <w:r>
        <w:rPr>
          <w:spacing w:val="-12"/>
        </w:rPr>
        <w:t> </w:t>
      </w:r>
      <w:r>
        <w:rPr/>
        <w:t>and at concentrations above 7–10%, it can cause unconsciousness and death. Exposure studies have not revealed any adverse health effect of chronic exposure to concentrations below</w:t>
      </w:r>
      <w:r>
        <w:rPr>
          <w:spacing w:val="-4"/>
        </w:rPr>
        <w:t> </w:t>
      </w:r>
      <w:r>
        <w:rPr/>
        <w:t>1%.</w:t>
      </w:r>
    </w:p>
    <w:p>
      <w:pPr>
        <w:pStyle w:val="BodyText"/>
        <w:spacing w:line="240" w:lineRule="exact"/>
        <w:ind w:left="157" w:right="530" w:firstLine="283"/>
        <w:jc w:val="both"/>
      </w:pPr>
      <w:r>
        <w:rPr/>
        <w:t>The principal challenge in estimating the risks posed by CO</w:t>
      </w:r>
      <w:r>
        <w:rPr>
          <w:position w:val="-6"/>
          <w:sz w:val="11"/>
        </w:rPr>
        <w:t>2 </w:t>
      </w:r>
      <w:r>
        <w:rPr/>
        <w:t>that might seep from storage sites lies in estimating the spatial and temporal distribution of CO</w:t>
      </w:r>
      <w:r>
        <w:rPr>
          <w:position w:val="-6"/>
          <w:sz w:val="11"/>
        </w:rPr>
        <w:t>2 </w:t>
      </w:r>
      <w:r>
        <w:rPr/>
        <w:t>fluxes reaching the shallow</w:t>
      </w:r>
      <w:r>
        <w:rPr>
          <w:spacing w:val="-18"/>
        </w:rPr>
        <w:t> </w:t>
      </w:r>
      <w:r>
        <w:rPr/>
        <w:t>subsurface</w:t>
      </w:r>
      <w:r>
        <w:rPr>
          <w:spacing w:val="-17"/>
        </w:rPr>
        <w:t> </w:t>
      </w:r>
      <w:r>
        <w:rPr/>
        <w:t>and</w:t>
      </w:r>
      <w:r>
        <w:rPr>
          <w:spacing w:val="-18"/>
        </w:rPr>
        <w:t> </w:t>
      </w:r>
      <w:r>
        <w:rPr/>
        <w:t>in</w:t>
      </w:r>
      <w:r>
        <w:rPr>
          <w:spacing w:val="-17"/>
        </w:rPr>
        <w:t> </w:t>
      </w:r>
      <w:r>
        <w:rPr/>
        <w:t>predicting</w:t>
      </w:r>
      <w:r>
        <w:rPr>
          <w:spacing w:val="-17"/>
        </w:rPr>
        <w:t> </w:t>
      </w:r>
      <w:r>
        <w:rPr/>
        <w:t>ambient</w:t>
      </w:r>
      <w:r>
        <w:rPr>
          <w:spacing w:val="-18"/>
        </w:rPr>
        <w:t> </w:t>
      </w:r>
      <w:r>
        <w:rPr/>
        <w:t>CO</w:t>
      </w:r>
      <w:r>
        <w:rPr>
          <w:position w:val="-6"/>
          <w:sz w:val="11"/>
        </w:rPr>
        <w:t>2</w:t>
      </w:r>
      <w:r>
        <w:rPr>
          <w:spacing w:val="6"/>
          <w:position w:val="-6"/>
          <w:sz w:val="11"/>
        </w:rPr>
        <w:t> </w:t>
      </w:r>
      <w:r>
        <w:rPr/>
        <w:t>concentration resulting from a given CO</w:t>
      </w:r>
      <w:r>
        <w:rPr>
          <w:position w:val="-6"/>
          <w:sz w:val="11"/>
        </w:rPr>
        <w:t>2   </w:t>
      </w:r>
      <w:r>
        <w:rPr/>
        <w:t>flux. Concentrations in surface   air will be strongly influenced by surface topography and atmospheric conditions. Because CO</w:t>
      </w:r>
      <w:r>
        <w:rPr>
          <w:position w:val="-6"/>
          <w:sz w:val="11"/>
        </w:rPr>
        <w:t>2  </w:t>
      </w:r>
      <w:r>
        <w:rPr/>
        <w:t>is 50% denser than </w:t>
      </w:r>
      <w:r>
        <w:rPr>
          <w:spacing w:val="-6"/>
        </w:rPr>
        <w:t>air,  </w:t>
      </w:r>
      <w:r>
        <w:rPr/>
        <w:t>it tends to migrate downwards, flowing along the ground and collecting in shallow depressions, potentially creating much higher concentrations in confined spaces than in open</w:t>
      </w:r>
      <w:r>
        <w:rPr>
          <w:spacing w:val="-13"/>
        </w:rPr>
        <w:t> </w:t>
      </w:r>
      <w:r>
        <w:rPr/>
        <w:t>terrain.</w:t>
      </w:r>
    </w:p>
    <w:p>
      <w:pPr>
        <w:pStyle w:val="BodyText"/>
        <w:spacing w:line="240" w:lineRule="exact"/>
        <w:ind w:left="157" w:right="530" w:firstLine="283"/>
        <w:jc w:val="both"/>
      </w:pPr>
      <w:r>
        <w:rPr/>
        <w:t>Seepage of CO</w:t>
      </w:r>
      <w:r>
        <w:rPr>
          <w:position w:val="-6"/>
          <w:sz w:val="11"/>
        </w:rPr>
        <w:t>2 </w:t>
      </w:r>
      <w:r>
        <w:rPr/>
        <w:t>is not uncommon in regions influenced by volcanism. Naturally occurring releases of CO</w:t>
      </w:r>
      <w:r>
        <w:rPr>
          <w:position w:val="-6"/>
          <w:sz w:val="11"/>
        </w:rPr>
        <w:t>2 </w:t>
      </w:r>
      <w:r>
        <w:rPr/>
        <w:t>provide a basis for understanding the transport of CO</w:t>
      </w:r>
      <w:r>
        <w:rPr>
          <w:position w:val="-6"/>
          <w:sz w:val="11"/>
        </w:rPr>
        <w:t>2 </w:t>
      </w:r>
      <w:r>
        <w:rPr/>
        <w:t>from the vadose </w:t>
      </w:r>
      <w:r>
        <w:rPr>
          <w:spacing w:val="-3"/>
        </w:rPr>
        <w:t>zone  </w:t>
      </w:r>
      <w:r>
        <w:rPr/>
        <w:t>to the atmosphere, as well as providing empirical data that link CO</w:t>
      </w:r>
      <w:r>
        <w:rPr>
          <w:position w:val="-6"/>
          <w:sz w:val="11"/>
        </w:rPr>
        <w:t>2</w:t>
      </w:r>
      <w:r>
        <w:rPr>
          <w:spacing w:val="11"/>
          <w:position w:val="-6"/>
          <w:sz w:val="11"/>
        </w:rPr>
        <w:t> </w:t>
      </w:r>
      <w:r>
        <w:rPr/>
        <w:t>fluxes</w:t>
      </w:r>
      <w:r>
        <w:rPr>
          <w:spacing w:val="-11"/>
        </w:rPr>
        <w:t> </w:t>
      </w:r>
      <w:r>
        <w:rPr/>
        <w:t>into</w:t>
      </w:r>
      <w:r>
        <w:rPr>
          <w:spacing w:val="-11"/>
        </w:rPr>
        <w:t> </w:t>
      </w:r>
      <w:r>
        <w:rPr/>
        <w:t>the</w:t>
      </w:r>
      <w:r>
        <w:rPr>
          <w:spacing w:val="-11"/>
        </w:rPr>
        <w:t> </w:t>
      </w:r>
      <w:r>
        <w:rPr/>
        <w:t>shallow</w:t>
      </w:r>
      <w:r>
        <w:rPr>
          <w:spacing w:val="-11"/>
        </w:rPr>
        <w:t> </w:t>
      </w:r>
      <w:r>
        <w:rPr/>
        <w:t>subsurface</w:t>
      </w:r>
      <w:r>
        <w:rPr>
          <w:spacing w:val="-11"/>
        </w:rPr>
        <w:t> </w:t>
      </w:r>
      <w:r>
        <w:rPr/>
        <w:t>with</w:t>
      </w:r>
      <w:r>
        <w:rPr>
          <w:spacing w:val="-11"/>
        </w:rPr>
        <w:t> </w:t>
      </w:r>
      <w:r>
        <w:rPr/>
        <w:t>CO</w:t>
      </w:r>
      <w:r>
        <w:rPr>
          <w:position w:val="-6"/>
          <w:sz w:val="11"/>
        </w:rPr>
        <w:t>2</w:t>
      </w:r>
      <w:r>
        <w:rPr>
          <w:spacing w:val="11"/>
          <w:position w:val="-6"/>
          <w:sz w:val="11"/>
        </w:rPr>
        <w:t> </w:t>
      </w:r>
      <w:r>
        <w:rPr/>
        <w:t>concentrations</w:t>
      </w:r>
    </w:p>
    <w:p>
      <w:pPr>
        <w:spacing w:after="0" w:line="240" w:lineRule="exact"/>
        <w:jc w:val="both"/>
        <w:sectPr>
          <w:type w:val="continuous"/>
          <w:pgSz w:w="12240" w:h="15840"/>
          <w:pgMar w:top="400" w:bottom="280" w:left="580" w:right="600"/>
          <w:cols w:num="2" w:equalWidth="0">
            <w:col w:w="5242" w:space="84"/>
            <w:col w:w="5734"/>
          </w:cols>
        </w:sectPr>
      </w:pPr>
    </w:p>
    <w:p>
      <w:pPr>
        <w:pStyle w:val="BodyText"/>
      </w:pPr>
    </w:p>
    <w:p>
      <w:pPr>
        <w:pStyle w:val="BodyText"/>
        <w:spacing w:before="9"/>
      </w:pPr>
    </w:p>
    <w:p>
      <w:pPr>
        <w:spacing w:before="1"/>
        <w:ind w:left="573" w:right="0" w:firstLine="0"/>
        <w:jc w:val="left"/>
        <w:rPr>
          <w:sz w:val="18"/>
        </w:rPr>
      </w:pPr>
      <w:bookmarkStart w:name="_bookmark45" w:id="94"/>
      <w:bookmarkEnd w:id="94"/>
      <w:r>
        <w:rPr/>
      </w:r>
      <w:r>
        <w:rPr>
          <w:b/>
          <w:spacing w:val="-17"/>
          <w:w w:val="200"/>
          <w:sz w:val="18"/>
        </w:rPr>
        <w:t>t</w:t>
      </w:r>
      <w:r>
        <w:rPr>
          <w:b/>
          <w:sz w:val="18"/>
        </w:rPr>
        <w:t>able 5.5 </w:t>
      </w:r>
      <w:r>
        <w:rPr>
          <w:spacing w:val="-1"/>
          <w:sz w:val="18"/>
        </w:rPr>
        <w:t>Summar</w:t>
      </w:r>
      <w:r>
        <w:rPr>
          <w:sz w:val="18"/>
        </w:rPr>
        <w:t>y</w:t>
      </w:r>
      <w:r>
        <w:rPr>
          <w:spacing w:val="-1"/>
          <w:sz w:val="18"/>
        </w:rPr>
        <w:t> </w:t>
      </w:r>
      <w:r>
        <w:rPr>
          <w:sz w:val="18"/>
        </w:rPr>
        <w:t>of evidence for C</w:t>
      </w:r>
      <w:r>
        <w:rPr>
          <w:spacing w:val="-1"/>
          <w:sz w:val="18"/>
        </w:rPr>
        <w:t>O</w:t>
      </w:r>
      <w:r>
        <w:rPr>
          <w:w w:val="104"/>
          <w:position w:val="-5"/>
          <w:sz w:val="10"/>
        </w:rPr>
        <w:t>2</w:t>
      </w:r>
      <w:r>
        <w:rPr>
          <w:position w:val="-5"/>
          <w:sz w:val="10"/>
        </w:rPr>
        <w:t> </w:t>
      </w:r>
      <w:r>
        <w:rPr>
          <w:spacing w:val="-5"/>
          <w:position w:val="-5"/>
          <w:sz w:val="10"/>
        </w:rPr>
        <w:t> </w:t>
      </w:r>
      <w:r>
        <w:rPr>
          <w:sz w:val="18"/>
        </w:rPr>
        <w:t>retention and release rates.</w:t>
      </w:r>
    </w:p>
    <w:tbl>
      <w:tblPr>
        <w:tblW w:w="0" w:type="auto"/>
        <w:jc w:val="left"/>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6"/>
        <w:gridCol w:w="5817"/>
        <w:gridCol w:w="2335"/>
      </w:tblGrid>
      <w:tr>
        <w:trPr>
          <w:trHeight w:val="285" w:hRule="atLeast"/>
        </w:trPr>
        <w:tc>
          <w:tcPr>
            <w:tcW w:w="2186" w:type="dxa"/>
            <w:shd w:val="clear" w:color="auto" w:fill="E0EEE0"/>
          </w:tcPr>
          <w:p>
            <w:pPr>
              <w:pStyle w:val="TableParagraph"/>
              <w:spacing w:before="42"/>
              <w:ind w:left="79"/>
              <w:rPr>
                <w:b/>
                <w:sz w:val="18"/>
              </w:rPr>
            </w:pPr>
            <w:r>
              <w:rPr>
                <w:b/>
                <w:sz w:val="18"/>
              </w:rPr>
              <w:t>Kind of evidence</w:t>
            </w:r>
          </w:p>
        </w:tc>
        <w:tc>
          <w:tcPr>
            <w:tcW w:w="5817" w:type="dxa"/>
            <w:shd w:val="clear" w:color="auto" w:fill="E0EEE0"/>
          </w:tcPr>
          <w:p>
            <w:pPr>
              <w:pStyle w:val="TableParagraph"/>
              <w:spacing w:before="42"/>
              <w:ind w:left="80"/>
              <w:rPr>
                <w:b/>
                <w:sz w:val="18"/>
              </w:rPr>
            </w:pPr>
            <w:r>
              <w:rPr>
                <w:b/>
                <w:sz w:val="18"/>
              </w:rPr>
              <w:t>Average annual fraction released</w:t>
            </w:r>
          </w:p>
        </w:tc>
        <w:tc>
          <w:tcPr>
            <w:tcW w:w="2335" w:type="dxa"/>
            <w:shd w:val="clear" w:color="auto" w:fill="E0EEE0"/>
          </w:tcPr>
          <w:p>
            <w:pPr>
              <w:pStyle w:val="TableParagraph"/>
              <w:spacing w:before="42"/>
              <w:ind w:left="80"/>
              <w:rPr>
                <w:b/>
                <w:sz w:val="18"/>
              </w:rPr>
            </w:pPr>
            <w:r>
              <w:rPr>
                <w:b/>
                <w:sz w:val="18"/>
              </w:rPr>
              <w:t>Representative references</w:t>
            </w:r>
          </w:p>
        </w:tc>
      </w:tr>
      <w:tr>
        <w:trPr>
          <w:trHeight w:val="921" w:hRule="atLeast"/>
        </w:trPr>
        <w:tc>
          <w:tcPr>
            <w:tcW w:w="2186" w:type="dxa"/>
            <w:shd w:val="clear" w:color="auto" w:fill="F9FCF9"/>
          </w:tcPr>
          <w:p>
            <w:pPr>
              <w:pStyle w:val="TableParagraph"/>
              <w:spacing w:before="42"/>
              <w:ind w:left="79"/>
              <w:rPr>
                <w:sz w:val="18"/>
              </w:rPr>
            </w:pPr>
            <w:r>
              <w:rPr>
                <w:sz w:val="18"/>
              </w:rPr>
              <w:t>CO</w:t>
            </w:r>
            <w:r>
              <w:rPr>
                <w:position w:val="-5"/>
                <w:sz w:val="10"/>
              </w:rPr>
              <w:t>2 </w:t>
            </w:r>
            <w:r>
              <w:rPr>
                <w:sz w:val="18"/>
              </w:rPr>
              <w:t>in natural formations</w:t>
            </w:r>
          </w:p>
        </w:tc>
        <w:tc>
          <w:tcPr>
            <w:tcW w:w="5817" w:type="dxa"/>
            <w:shd w:val="clear" w:color="auto" w:fill="F9FCF9"/>
          </w:tcPr>
          <w:p>
            <w:pPr>
              <w:pStyle w:val="TableParagraph"/>
              <w:spacing w:line="204" w:lineRule="auto" w:before="60"/>
              <w:ind w:left="80"/>
              <w:rPr>
                <w:sz w:val="18"/>
              </w:rPr>
            </w:pPr>
            <w:r>
              <w:rPr>
                <w:sz w:val="18"/>
              </w:rPr>
              <w:t>The lifetime of CO</w:t>
            </w:r>
            <w:r>
              <w:rPr>
                <w:position w:val="-5"/>
                <w:sz w:val="10"/>
              </w:rPr>
              <w:t>2 </w:t>
            </w:r>
            <w:r>
              <w:rPr>
                <w:sz w:val="18"/>
              </w:rPr>
              <w:t>in natural formations (&gt;10 million yr in some cases) suggests an average release fraction &lt;10</w:t>
            </w:r>
            <w:r>
              <w:rPr>
                <w:position w:val="6"/>
                <w:sz w:val="10"/>
              </w:rPr>
              <w:t>-7 </w:t>
            </w:r>
            <w:r>
              <w:rPr>
                <w:sz w:val="18"/>
              </w:rPr>
              <w:t>yr</w:t>
            </w:r>
            <w:r>
              <w:rPr>
                <w:position w:val="6"/>
                <w:sz w:val="10"/>
              </w:rPr>
              <w:t>-1 </w:t>
            </w:r>
            <w:r>
              <w:rPr>
                <w:sz w:val="18"/>
              </w:rPr>
              <w:t>for CO trapped in sedimentary</w:t>
            </w:r>
          </w:p>
          <w:p>
            <w:pPr>
              <w:pStyle w:val="TableParagraph"/>
              <w:spacing w:line="29" w:lineRule="exact" w:before="0"/>
              <w:ind w:left="0" w:right="1814"/>
              <w:jc w:val="right"/>
              <w:rPr>
                <w:sz w:val="10"/>
              </w:rPr>
            </w:pPr>
            <w:r>
              <w:rPr>
                <w:w w:val="104"/>
                <w:sz w:val="10"/>
              </w:rPr>
              <w:t>2</w:t>
            </w:r>
          </w:p>
          <w:p>
            <w:pPr>
              <w:pStyle w:val="TableParagraph"/>
              <w:spacing w:line="188" w:lineRule="exact" w:before="0"/>
              <w:ind w:left="80"/>
              <w:rPr>
                <w:sz w:val="18"/>
              </w:rPr>
            </w:pPr>
            <w:r>
              <w:rPr>
                <w:sz w:val="18"/>
              </w:rPr>
              <w:t>basins. In highly fractured volcanic systems, rate of release can be many</w:t>
            </w:r>
          </w:p>
          <w:p>
            <w:pPr>
              <w:pStyle w:val="TableParagraph"/>
              <w:spacing w:before="5"/>
              <w:ind w:left="80"/>
              <w:rPr>
                <w:sz w:val="18"/>
              </w:rPr>
            </w:pPr>
            <w:r>
              <w:rPr>
                <w:sz w:val="18"/>
              </w:rPr>
              <w:t>orders of magnitude faster.</w:t>
            </w:r>
          </w:p>
        </w:tc>
        <w:tc>
          <w:tcPr>
            <w:tcW w:w="2335" w:type="dxa"/>
            <w:shd w:val="clear" w:color="auto" w:fill="F9FCF9"/>
          </w:tcPr>
          <w:p>
            <w:pPr>
              <w:pStyle w:val="TableParagraph"/>
              <w:spacing w:before="42"/>
              <w:ind w:left="80"/>
              <w:rPr>
                <w:sz w:val="18"/>
              </w:rPr>
            </w:pPr>
            <w:r>
              <w:rPr>
                <w:sz w:val="18"/>
              </w:rPr>
              <w:t>Stevens </w:t>
            </w:r>
            <w:r>
              <w:rPr>
                <w:i/>
                <w:sz w:val="18"/>
              </w:rPr>
              <w:t>et al.</w:t>
            </w:r>
            <w:r>
              <w:rPr>
                <w:sz w:val="18"/>
              </w:rPr>
              <w:t>, 2001a; Baines</w:t>
            </w:r>
          </w:p>
          <w:p>
            <w:pPr>
              <w:pStyle w:val="TableParagraph"/>
              <w:spacing w:before="5"/>
              <w:ind w:left="80"/>
              <w:rPr>
                <w:sz w:val="18"/>
              </w:rPr>
            </w:pPr>
            <w:r>
              <w:rPr>
                <w:sz w:val="18"/>
              </w:rPr>
              <w:t>and Worden, 2001</w:t>
            </w:r>
          </w:p>
        </w:tc>
      </w:tr>
      <w:tr>
        <w:trPr>
          <w:trHeight w:val="708" w:hRule="atLeast"/>
        </w:trPr>
        <w:tc>
          <w:tcPr>
            <w:tcW w:w="2186" w:type="dxa"/>
            <w:shd w:val="clear" w:color="auto" w:fill="F9FCF9"/>
          </w:tcPr>
          <w:p>
            <w:pPr>
              <w:pStyle w:val="TableParagraph"/>
              <w:spacing w:before="42"/>
              <w:ind w:left="80"/>
              <w:rPr>
                <w:sz w:val="18"/>
              </w:rPr>
            </w:pPr>
            <w:r>
              <w:rPr>
                <w:sz w:val="18"/>
              </w:rPr>
              <w:t>Oil and gas</w:t>
            </w:r>
          </w:p>
        </w:tc>
        <w:tc>
          <w:tcPr>
            <w:tcW w:w="5817" w:type="dxa"/>
            <w:shd w:val="clear" w:color="auto" w:fill="F9FCF9"/>
          </w:tcPr>
          <w:p>
            <w:pPr>
              <w:pStyle w:val="TableParagraph"/>
              <w:spacing w:line="244" w:lineRule="auto" w:before="42"/>
              <w:ind w:left="80" w:right="261"/>
              <w:rPr>
                <w:sz w:val="18"/>
              </w:rPr>
            </w:pPr>
            <w:r>
              <w:rPr>
                <w:sz w:val="18"/>
              </w:rPr>
              <w:t>The presence of buoyant fluids trapped for geological timescales demonstrates the widespread presence of geological systems (seals and caprock) that are capable of confining gasses with release rates &lt;10</w:t>
            </w:r>
            <w:r>
              <w:rPr>
                <w:position w:val="6"/>
                <w:sz w:val="10"/>
              </w:rPr>
              <w:t>-7 </w:t>
            </w:r>
            <w:r>
              <w:rPr>
                <w:sz w:val="18"/>
              </w:rPr>
              <w:t>yr</w:t>
            </w:r>
            <w:r>
              <w:rPr>
                <w:position w:val="6"/>
                <w:sz w:val="10"/>
              </w:rPr>
              <w:t>-1</w:t>
            </w:r>
            <w:r>
              <w:rPr>
                <w:sz w:val="18"/>
              </w:rPr>
              <w:t>.</w:t>
            </w:r>
          </w:p>
        </w:tc>
        <w:tc>
          <w:tcPr>
            <w:tcW w:w="2335" w:type="dxa"/>
            <w:shd w:val="clear" w:color="auto" w:fill="F9FCF9"/>
          </w:tcPr>
          <w:p>
            <w:pPr>
              <w:pStyle w:val="TableParagraph"/>
              <w:spacing w:before="42"/>
              <w:ind w:left="80"/>
              <w:rPr>
                <w:sz w:val="18"/>
              </w:rPr>
            </w:pPr>
            <w:r>
              <w:rPr>
                <w:sz w:val="18"/>
              </w:rPr>
              <w:t>Bradshaw </w:t>
            </w:r>
            <w:r>
              <w:rPr>
                <w:i/>
                <w:sz w:val="18"/>
              </w:rPr>
              <w:t>et al.</w:t>
            </w:r>
            <w:r>
              <w:rPr>
                <w:sz w:val="18"/>
              </w:rPr>
              <w:t>, 2005</w:t>
            </w:r>
          </w:p>
        </w:tc>
      </w:tr>
      <w:tr>
        <w:trPr>
          <w:trHeight w:val="709" w:hRule="atLeast"/>
        </w:trPr>
        <w:tc>
          <w:tcPr>
            <w:tcW w:w="2186" w:type="dxa"/>
            <w:shd w:val="clear" w:color="auto" w:fill="F9FCF9"/>
          </w:tcPr>
          <w:p>
            <w:pPr>
              <w:pStyle w:val="TableParagraph"/>
              <w:spacing w:before="42"/>
              <w:ind w:left="80"/>
              <w:rPr>
                <w:sz w:val="18"/>
              </w:rPr>
            </w:pPr>
            <w:r>
              <w:rPr>
                <w:sz w:val="18"/>
              </w:rPr>
              <w:t>Natural gas storage</w:t>
            </w:r>
          </w:p>
        </w:tc>
        <w:tc>
          <w:tcPr>
            <w:tcW w:w="5817" w:type="dxa"/>
            <w:shd w:val="clear" w:color="auto" w:fill="F9FCF9"/>
          </w:tcPr>
          <w:p>
            <w:pPr>
              <w:pStyle w:val="TableParagraph"/>
              <w:spacing w:line="244" w:lineRule="auto" w:before="42"/>
              <w:ind w:left="80" w:right="261"/>
              <w:rPr>
                <w:sz w:val="18"/>
              </w:rPr>
            </w:pPr>
            <w:r>
              <w:rPr>
                <w:sz w:val="18"/>
              </w:rPr>
              <w:t>The cumulative experience of natural gas storage systems exceeds 10,000 facility-years and demonstrates that operational engineered storage systems can contain methane with release rates of 10</w:t>
            </w:r>
            <w:r>
              <w:rPr>
                <w:position w:val="6"/>
                <w:sz w:val="10"/>
              </w:rPr>
              <w:t>-4 </w:t>
            </w:r>
            <w:r>
              <w:rPr>
                <w:sz w:val="18"/>
              </w:rPr>
              <w:t>to 10</w:t>
            </w:r>
            <w:r>
              <w:rPr>
                <w:position w:val="6"/>
                <w:sz w:val="10"/>
              </w:rPr>
              <w:t>-6 </w:t>
            </w:r>
            <w:r>
              <w:rPr>
                <w:sz w:val="18"/>
              </w:rPr>
              <w:t>yr</w:t>
            </w:r>
            <w:r>
              <w:rPr>
                <w:position w:val="6"/>
                <w:sz w:val="10"/>
              </w:rPr>
              <w:t>-1</w:t>
            </w:r>
            <w:r>
              <w:rPr>
                <w:sz w:val="18"/>
              </w:rPr>
              <w:t>.</w:t>
            </w:r>
          </w:p>
        </w:tc>
        <w:tc>
          <w:tcPr>
            <w:tcW w:w="2335" w:type="dxa"/>
            <w:shd w:val="clear" w:color="auto" w:fill="F9FCF9"/>
          </w:tcPr>
          <w:p>
            <w:pPr>
              <w:pStyle w:val="TableParagraph"/>
              <w:spacing w:before="42"/>
              <w:ind w:left="80"/>
              <w:rPr>
                <w:sz w:val="18"/>
              </w:rPr>
            </w:pPr>
            <w:r>
              <w:rPr>
                <w:sz w:val="18"/>
              </w:rPr>
              <w:t>Lippmann and Benson, 2003;</w:t>
            </w:r>
          </w:p>
          <w:p>
            <w:pPr>
              <w:pStyle w:val="TableParagraph"/>
              <w:spacing w:before="5"/>
              <w:ind w:left="80"/>
              <w:rPr>
                <w:sz w:val="18"/>
              </w:rPr>
            </w:pPr>
            <w:r>
              <w:rPr>
                <w:sz w:val="18"/>
              </w:rPr>
              <w:t>Perry, 2005</w:t>
            </w:r>
          </w:p>
        </w:tc>
      </w:tr>
      <w:tr>
        <w:trPr>
          <w:trHeight w:val="708" w:hRule="atLeast"/>
        </w:trPr>
        <w:tc>
          <w:tcPr>
            <w:tcW w:w="2186" w:type="dxa"/>
            <w:shd w:val="clear" w:color="auto" w:fill="F9FCF9"/>
          </w:tcPr>
          <w:p>
            <w:pPr>
              <w:pStyle w:val="TableParagraph"/>
              <w:spacing w:line="244" w:lineRule="auto" w:before="42"/>
              <w:ind w:left="80" w:right="456"/>
              <w:rPr>
                <w:sz w:val="18"/>
              </w:rPr>
            </w:pPr>
            <w:r>
              <w:rPr>
                <w:sz w:val="18"/>
              </w:rPr>
              <w:t>Enhanced oil recovery (EOR)</w:t>
            </w:r>
          </w:p>
        </w:tc>
        <w:tc>
          <w:tcPr>
            <w:tcW w:w="5817" w:type="dxa"/>
            <w:shd w:val="clear" w:color="auto" w:fill="F9FCF9"/>
          </w:tcPr>
          <w:p>
            <w:pPr>
              <w:pStyle w:val="TableParagraph"/>
              <w:spacing w:line="223" w:lineRule="auto" w:before="50"/>
              <w:ind w:left="80"/>
              <w:rPr>
                <w:sz w:val="18"/>
              </w:rPr>
            </w:pPr>
            <w:r>
              <w:rPr>
                <w:sz w:val="18"/>
              </w:rPr>
              <w:t>More than 100 MtCO</w:t>
            </w:r>
            <w:r>
              <w:rPr>
                <w:position w:val="-5"/>
                <w:sz w:val="10"/>
              </w:rPr>
              <w:t>2 </w:t>
            </w:r>
            <w:r>
              <w:rPr>
                <w:sz w:val="18"/>
              </w:rPr>
              <w:t>has been injected for EOR. Data from the few sites where surface fluxes have been measured suggest that fractional release rates are near zero.</w:t>
            </w:r>
          </w:p>
        </w:tc>
        <w:tc>
          <w:tcPr>
            <w:tcW w:w="2335" w:type="dxa"/>
            <w:shd w:val="clear" w:color="auto" w:fill="F9FCF9"/>
          </w:tcPr>
          <w:p>
            <w:pPr>
              <w:pStyle w:val="TableParagraph"/>
              <w:spacing w:before="42"/>
              <w:ind w:left="80"/>
              <w:rPr>
                <w:sz w:val="18"/>
              </w:rPr>
            </w:pPr>
            <w:r>
              <w:rPr>
                <w:sz w:val="18"/>
              </w:rPr>
              <w:t>Moritis, 2002; Klusman,</w:t>
            </w:r>
          </w:p>
          <w:p>
            <w:pPr>
              <w:pStyle w:val="TableParagraph"/>
              <w:spacing w:before="5"/>
              <w:ind w:left="80"/>
              <w:rPr>
                <w:sz w:val="18"/>
              </w:rPr>
            </w:pPr>
            <w:r>
              <w:rPr>
                <w:sz w:val="18"/>
              </w:rPr>
              <w:t>2003</w:t>
            </w:r>
          </w:p>
        </w:tc>
      </w:tr>
      <w:tr>
        <w:trPr>
          <w:trHeight w:val="921" w:hRule="atLeast"/>
        </w:trPr>
        <w:tc>
          <w:tcPr>
            <w:tcW w:w="2186" w:type="dxa"/>
            <w:shd w:val="clear" w:color="auto" w:fill="F9FCF9"/>
          </w:tcPr>
          <w:p>
            <w:pPr>
              <w:pStyle w:val="TableParagraph"/>
              <w:spacing w:line="244" w:lineRule="auto" w:before="42"/>
              <w:ind w:left="80"/>
              <w:rPr>
                <w:sz w:val="18"/>
              </w:rPr>
            </w:pPr>
            <w:r>
              <w:rPr>
                <w:sz w:val="18"/>
              </w:rPr>
              <w:t>Models of flow through the undisturbed subsurface</w:t>
            </w:r>
          </w:p>
        </w:tc>
        <w:tc>
          <w:tcPr>
            <w:tcW w:w="5817" w:type="dxa"/>
            <w:shd w:val="clear" w:color="auto" w:fill="F9FCF9"/>
          </w:tcPr>
          <w:p>
            <w:pPr>
              <w:pStyle w:val="TableParagraph"/>
              <w:spacing w:line="212" w:lineRule="exact" w:before="40"/>
              <w:ind w:left="80"/>
              <w:rPr>
                <w:sz w:val="18"/>
              </w:rPr>
            </w:pPr>
            <w:r>
              <w:rPr>
                <w:sz w:val="18"/>
              </w:rPr>
              <w:t>Numerical models show that release of CO</w:t>
            </w:r>
            <w:r>
              <w:rPr>
                <w:position w:val="-5"/>
                <w:sz w:val="10"/>
              </w:rPr>
              <w:t>2 </w:t>
            </w:r>
            <w:r>
              <w:rPr>
                <w:sz w:val="18"/>
              </w:rPr>
              <w:t>by subsurface flow through undisturbed geological media (excluding wells) may be near zero at appropriately selected storage sites and is very likely &lt;10</w:t>
            </w:r>
            <w:r>
              <w:rPr>
                <w:position w:val="6"/>
                <w:sz w:val="10"/>
              </w:rPr>
              <w:t>-6 </w:t>
            </w:r>
            <w:r>
              <w:rPr>
                <w:sz w:val="18"/>
              </w:rPr>
              <w:t>in the few studies that attempted probabilistic estimates.</w:t>
            </w:r>
          </w:p>
        </w:tc>
        <w:tc>
          <w:tcPr>
            <w:tcW w:w="2335" w:type="dxa"/>
            <w:shd w:val="clear" w:color="auto" w:fill="F9FCF9"/>
          </w:tcPr>
          <w:p>
            <w:pPr>
              <w:pStyle w:val="TableParagraph"/>
              <w:spacing w:before="42"/>
              <w:ind w:left="80"/>
              <w:rPr>
                <w:sz w:val="18"/>
              </w:rPr>
            </w:pPr>
            <w:r>
              <w:rPr>
                <w:sz w:val="18"/>
              </w:rPr>
              <w:t>Walton </w:t>
            </w:r>
            <w:r>
              <w:rPr>
                <w:i/>
                <w:sz w:val="18"/>
              </w:rPr>
              <w:t>et al.</w:t>
            </w:r>
            <w:r>
              <w:rPr>
                <w:sz w:val="18"/>
              </w:rPr>
              <w:t>, 2005; Zhou</w:t>
            </w:r>
          </w:p>
          <w:p>
            <w:pPr>
              <w:pStyle w:val="TableParagraph"/>
              <w:spacing w:line="244" w:lineRule="auto" w:before="5"/>
              <w:ind w:left="80" w:right="100"/>
              <w:rPr>
                <w:sz w:val="18"/>
              </w:rPr>
            </w:pPr>
            <w:r>
              <w:rPr>
                <w:i/>
                <w:sz w:val="18"/>
              </w:rPr>
              <w:t>et al.</w:t>
            </w:r>
            <w:r>
              <w:rPr>
                <w:sz w:val="18"/>
              </w:rPr>
              <w:t>, 2005; Lindeberg and Bergmo, 2003; Cawley </w:t>
            </w:r>
            <w:r>
              <w:rPr>
                <w:i/>
                <w:sz w:val="18"/>
              </w:rPr>
              <w:t>et al.</w:t>
            </w:r>
            <w:r>
              <w:rPr>
                <w:sz w:val="18"/>
              </w:rPr>
              <w:t>, 2005</w:t>
            </w:r>
          </w:p>
        </w:tc>
      </w:tr>
      <w:tr>
        <w:trPr>
          <w:trHeight w:val="1132" w:hRule="atLeast"/>
        </w:trPr>
        <w:tc>
          <w:tcPr>
            <w:tcW w:w="2186" w:type="dxa"/>
            <w:shd w:val="clear" w:color="auto" w:fill="F9FCF9"/>
          </w:tcPr>
          <w:p>
            <w:pPr>
              <w:pStyle w:val="TableParagraph"/>
              <w:spacing w:line="244" w:lineRule="auto" w:before="42"/>
              <w:ind w:left="80" w:right="361"/>
              <w:rPr>
                <w:sz w:val="18"/>
              </w:rPr>
            </w:pPr>
            <w:r>
              <w:rPr>
                <w:sz w:val="18"/>
              </w:rPr>
              <w:t>Models of flow through wells</w:t>
            </w:r>
          </w:p>
        </w:tc>
        <w:tc>
          <w:tcPr>
            <w:tcW w:w="5817" w:type="dxa"/>
            <w:shd w:val="clear" w:color="auto" w:fill="F9FCF9"/>
          </w:tcPr>
          <w:p>
            <w:pPr>
              <w:pStyle w:val="TableParagraph"/>
              <w:spacing w:line="210" w:lineRule="atLeast" w:before="39"/>
              <w:ind w:left="80" w:right="261"/>
              <w:rPr>
                <w:sz w:val="18"/>
              </w:rPr>
            </w:pPr>
            <w:r>
              <w:rPr>
                <w:sz w:val="18"/>
              </w:rPr>
              <w:t>Evidence from a small number of risk assessment studies suggests that average release of CO can be 10</w:t>
            </w:r>
            <w:r>
              <w:rPr>
                <w:position w:val="6"/>
                <w:sz w:val="10"/>
              </w:rPr>
              <w:t>-5 </w:t>
            </w:r>
            <w:r>
              <w:rPr>
                <w:sz w:val="18"/>
              </w:rPr>
              <w:t>to 10</w:t>
            </w:r>
            <w:r>
              <w:rPr>
                <w:position w:val="6"/>
                <w:sz w:val="10"/>
              </w:rPr>
              <w:t>-7 </w:t>
            </w:r>
            <w:r>
              <w:rPr>
                <w:sz w:val="18"/>
              </w:rPr>
              <w:t>yr</w:t>
            </w:r>
            <w:r>
              <w:rPr>
                <w:position w:val="6"/>
                <w:sz w:val="10"/>
              </w:rPr>
              <w:t>-1 </w:t>
            </w:r>
            <w:r>
              <w:rPr>
                <w:sz w:val="18"/>
              </w:rPr>
              <w:t>even in existing oil fields with</w:t>
            </w:r>
          </w:p>
          <w:p>
            <w:pPr>
              <w:pStyle w:val="TableParagraph"/>
              <w:spacing w:line="26" w:lineRule="exact" w:before="0"/>
              <w:ind w:left="1687"/>
              <w:rPr>
                <w:sz w:val="10"/>
              </w:rPr>
            </w:pPr>
            <w:r>
              <w:rPr>
                <w:w w:val="104"/>
                <w:sz w:val="10"/>
              </w:rPr>
              <w:t>2</w:t>
            </w:r>
          </w:p>
          <w:p>
            <w:pPr>
              <w:pStyle w:val="TableParagraph"/>
              <w:spacing w:line="188" w:lineRule="exact" w:before="0"/>
              <w:ind w:left="80"/>
              <w:rPr>
                <w:sz w:val="18"/>
              </w:rPr>
            </w:pPr>
            <w:r>
              <w:rPr>
                <w:sz w:val="18"/>
              </w:rPr>
              <w:t>many abandoned wells, such as Weyburn. Simulations with idealized systems</w:t>
            </w:r>
          </w:p>
          <w:p>
            <w:pPr>
              <w:pStyle w:val="TableParagraph"/>
              <w:spacing w:line="212" w:lineRule="exact" w:before="3"/>
              <w:ind w:left="80"/>
              <w:rPr>
                <w:sz w:val="18"/>
              </w:rPr>
            </w:pPr>
            <w:r>
              <w:rPr>
                <w:sz w:val="18"/>
              </w:rPr>
              <w:t>with ‘open’ wells show that release rates can exceed 10</w:t>
            </w:r>
            <w:r>
              <w:rPr>
                <w:position w:val="6"/>
                <w:sz w:val="10"/>
              </w:rPr>
              <w:t>-2</w:t>
            </w:r>
            <w:r>
              <w:rPr>
                <w:sz w:val="18"/>
              </w:rPr>
              <w:t>, though in practice such wells would presumably be closed as soon as CO</w:t>
            </w:r>
            <w:r>
              <w:rPr>
                <w:position w:val="-5"/>
                <w:sz w:val="10"/>
              </w:rPr>
              <w:t>2 </w:t>
            </w:r>
            <w:r>
              <w:rPr>
                <w:sz w:val="18"/>
              </w:rPr>
              <w:t>was detected.</w:t>
            </w:r>
          </w:p>
        </w:tc>
        <w:tc>
          <w:tcPr>
            <w:tcW w:w="2335" w:type="dxa"/>
            <w:shd w:val="clear" w:color="auto" w:fill="F9FCF9"/>
          </w:tcPr>
          <w:p>
            <w:pPr>
              <w:pStyle w:val="TableParagraph"/>
              <w:spacing w:line="244" w:lineRule="auto" w:before="42"/>
              <w:ind w:left="80" w:right="199"/>
              <w:jc w:val="both"/>
              <w:rPr>
                <w:sz w:val="18"/>
              </w:rPr>
            </w:pPr>
            <w:r>
              <w:rPr>
                <w:sz w:val="18"/>
              </w:rPr>
              <w:t>Walton </w:t>
            </w:r>
            <w:r>
              <w:rPr>
                <w:i/>
                <w:sz w:val="18"/>
              </w:rPr>
              <w:t>et al.</w:t>
            </w:r>
            <w:r>
              <w:rPr>
                <w:sz w:val="18"/>
              </w:rPr>
              <w:t>, 2005; Zhou et al., 2005; Nordbotten </w:t>
            </w:r>
            <w:r>
              <w:rPr>
                <w:i/>
                <w:sz w:val="18"/>
              </w:rPr>
              <w:t>et al.</w:t>
            </w:r>
            <w:r>
              <w:rPr>
                <w:sz w:val="18"/>
              </w:rPr>
              <w:t>, 2005b</w:t>
            </w:r>
          </w:p>
        </w:tc>
      </w:tr>
      <w:tr>
        <w:trPr>
          <w:trHeight w:val="921" w:hRule="atLeast"/>
        </w:trPr>
        <w:tc>
          <w:tcPr>
            <w:tcW w:w="2186" w:type="dxa"/>
            <w:shd w:val="clear" w:color="auto" w:fill="F9FCF9"/>
          </w:tcPr>
          <w:p>
            <w:pPr>
              <w:pStyle w:val="TableParagraph"/>
              <w:spacing w:line="204" w:lineRule="auto" w:before="60"/>
              <w:ind w:left="79" w:right="456"/>
              <w:rPr>
                <w:sz w:val="18"/>
              </w:rPr>
            </w:pPr>
            <w:r>
              <w:rPr>
                <w:sz w:val="18"/>
              </w:rPr>
              <w:t>Current CO</w:t>
            </w:r>
            <w:r>
              <w:rPr>
                <w:position w:val="-5"/>
                <w:sz w:val="10"/>
              </w:rPr>
              <w:t>2 </w:t>
            </w:r>
            <w:r>
              <w:rPr>
                <w:sz w:val="18"/>
              </w:rPr>
              <w:t>storage projects</w:t>
            </w:r>
          </w:p>
        </w:tc>
        <w:tc>
          <w:tcPr>
            <w:tcW w:w="5817" w:type="dxa"/>
            <w:shd w:val="clear" w:color="auto" w:fill="F9FCF9"/>
          </w:tcPr>
          <w:p>
            <w:pPr>
              <w:pStyle w:val="TableParagraph"/>
              <w:spacing w:line="212" w:lineRule="exact" w:before="40"/>
              <w:ind w:left="80" w:right="98"/>
              <w:rPr>
                <w:sz w:val="18"/>
              </w:rPr>
            </w:pPr>
            <w:r>
              <w:rPr>
                <w:sz w:val="18"/>
              </w:rPr>
              <w:t>Data from current CO</w:t>
            </w:r>
            <w:r>
              <w:rPr>
                <w:position w:val="-5"/>
                <w:sz w:val="10"/>
              </w:rPr>
              <w:t>2 </w:t>
            </w:r>
            <w:r>
              <w:rPr>
                <w:sz w:val="18"/>
              </w:rPr>
              <w:t>storage projects demonstrate that monitoring techniques are able to detect movement of CO</w:t>
            </w:r>
            <w:r>
              <w:rPr>
                <w:position w:val="-5"/>
                <w:sz w:val="10"/>
              </w:rPr>
              <w:t>2 </w:t>
            </w:r>
            <w:r>
              <w:rPr>
                <w:sz w:val="18"/>
              </w:rPr>
              <w:t>in the storage reservoirs. Although no release to the surface has been detected, little can be concluded given the short history and few sites.</w:t>
            </w:r>
          </w:p>
        </w:tc>
        <w:tc>
          <w:tcPr>
            <w:tcW w:w="2335" w:type="dxa"/>
            <w:shd w:val="clear" w:color="auto" w:fill="F9FCF9"/>
          </w:tcPr>
          <w:p>
            <w:pPr>
              <w:pStyle w:val="TableParagraph"/>
              <w:spacing w:line="244" w:lineRule="auto" w:before="42"/>
              <w:ind w:left="80" w:right="100"/>
              <w:rPr>
                <w:sz w:val="18"/>
              </w:rPr>
            </w:pPr>
            <w:r>
              <w:rPr>
                <w:sz w:val="18"/>
              </w:rPr>
              <w:t>Wilson and Monea, 2005; Arts </w:t>
            </w:r>
            <w:r>
              <w:rPr>
                <w:i/>
                <w:sz w:val="18"/>
              </w:rPr>
              <w:t>et al.</w:t>
            </w:r>
            <w:r>
              <w:rPr>
                <w:sz w:val="18"/>
              </w:rPr>
              <w:t>, 2005; Chadwick, </w:t>
            </w:r>
            <w:r>
              <w:rPr>
                <w:i/>
                <w:sz w:val="18"/>
              </w:rPr>
              <w:t>et al.</w:t>
            </w:r>
            <w:r>
              <w:rPr>
                <w:sz w:val="18"/>
              </w:rPr>
              <w:t>, 2005</w:t>
            </w:r>
          </w:p>
        </w:tc>
      </w:tr>
    </w:tbl>
    <w:p>
      <w:pPr>
        <w:pStyle w:val="BodyText"/>
        <w:rPr>
          <w:sz w:val="23"/>
        </w:rPr>
      </w:pPr>
    </w:p>
    <w:p>
      <w:pPr>
        <w:spacing w:after="0"/>
        <w:rPr>
          <w:sz w:val="23"/>
        </w:rPr>
        <w:sectPr>
          <w:pgSz w:w="12240" w:h="15840"/>
          <w:pgMar w:header="567" w:footer="0" w:top="760" w:bottom="280" w:left="580" w:right="600"/>
        </w:sectPr>
      </w:pPr>
    </w:p>
    <w:p>
      <w:pPr>
        <w:pStyle w:val="BodyText"/>
        <w:spacing w:line="240" w:lineRule="exact" w:before="59"/>
        <w:ind w:left="553"/>
        <w:jc w:val="both"/>
      </w:pPr>
      <w:r>
        <w:rPr/>
        <w:t>in the ambient air – and the consequent health and  safety risks. Such seeps do not, however, provide a useful basis for estimating the spatial and temporal distribution of CO</w:t>
      </w:r>
      <w:r>
        <w:rPr>
          <w:position w:val="-6"/>
          <w:sz w:val="11"/>
        </w:rPr>
        <w:t>2 </w:t>
      </w:r>
      <w:r>
        <w:rPr/>
        <w:t>fluxes leaking from a deep storage site, because (in general) the seeps occur in highly fractured volcanic zones, unlike the interiors </w:t>
      </w:r>
      <w:r>
        <w:rPr>
          <w:spacing w:val="-8"/>
        </w:rPr>
        <w:t>of </w:t>
      </w:r>
      <w:r>
        <w:rPr/>
        <w:t>stable sedimentary basins, the likely locations for CO</w:t>
      </w:r>
      <w:r>
        <w:rPr>
          <w:position w:val="-6"/>
          <w:sz w:val="11"/>
        </w:rPr>
        <w:t>2 </w:t>
      </w:r>
      <w:r>
        <w:rPr/>
        <w:t>storage (Section 5.3).</w:t>
      </w:r>
    </w:p>
    <w:p>
      <w:pPr>
        <w:pStyle w:val="BodyText"/>
        <w:spacing w:line="240" w:lineRule="exact"/>
        <w:ind w:left="553" w:right="1" w:firstLine="283"/>
        <w:jc w:val="both"/>
      </w:pPr>
      <w:r>
        <w:rPr/>
        <w:t>Natural seeps are widely distributed in tectonically active regions</w:t>
      </w:r>
      <w:r>
        <w:rPr>
          <w:spacing w:val="-9"/>
        </w:rPr>
        <w:t> </w:t>
      </w:r>
      <w:r>
        <w:rPr/>
        <w:t>of</w:t>
      </w:r>
      <w:r>
        <w:rPr>
          <w:spacing w:val="-9"/>
        </w:rPr>
        <w:t> </w:t>
      </w:r>
      <w:r>
        <w:rPr/>
        <w:t>the</w:t>
      </w:r>
      <w:r>
        <w:rPr>
          <w:spacing w:val="-9"/>
        </w:rPr>
        <w:t> </w:t>
      </w:r>
      <w:r>
        <w:rPr/>
        <w:t>world</w:t>
      </w:r>
      <w:r>
        <w:rPr>
          <w:spacing w:val="-9"/>
        </w:rPr>
        <w:t> </w:t>
      </w:r>
      <w:r>
        <w:rPr/>
        <w:t>(Morner</w:t>
      </w:r>
      <w:r>
        <w:rPr>
          <w:spacing w:val="-9"/>
        </w:rPr>
        <w:t> </w:t>
      </w:r>
      <w:r>
        <w:rPr/>
        <w:t>and</w:t>
      </w:r>
      <w:r>
        <w:rPr>
          <w:spacing w:val="-9"/>
        </w:rPr>
        <w:t> </w:t>
      </w:r>
      <w:r>
        <w:rPr/>
        <w:t>Etiope,</w:t>
      </w:r>
      <w:r>
        <w:rPr>
          <w:spacing w:val="-9"/>
        </w:rPr>
        <w:t> </w:t>
      </w:r>
      <w:r>
        <w:rPr/>
        <w:t>2002).</w:t>
      </w:r>
      <w:r>
        <w:rPr>
          <w:spacing w:val="-9"/>
        </w:rPr>
        <w:t> </w:t>
      </w:r>
      <w:r>
        <w:rPr/>
        <w:t>In</w:t>
      </w:r>
      <w:r>
        <w:rPr>
          <w:spacing w:val="-9"/>
        </w:rPr>
        <w:t> </w:t>
      </w:r>
      <w:r>
        <w:rPr/>
        <w:t>central</w:t>
      </w:r>
      <w:r>
        <w:rPr>
          <w:spacing w:val="-9"/>
        </w:rPr>
        <w:t> </w:t>
      </w:r>
      <w:r>
        <w:rPr>
          <w:spacing w:val="-3"/>
        </w:rPr>
        <w:t>Italy, </w:t>
      </w:r>
      <w:r>
        <w:rPr/>
        <w:t>for example, CO</w:t>
      </w:r>
      <w:r>
        <w:rPr>
          <w:position w:val="-6"/>
          <w:sz w:val="11"/>
        </w:rPr>
        <w:t>2 </w:t>
      </w:r>
      <w:r>
        <w:rPr/>
        <w:t>is emitted from vents, surface degassing and diffuse</w:t>
      </w:r>
      <w:r>
        <w:rPr>
          <w:spacing w:val="14"/>
        </w:rPr>
        <w:t> </w:t>
      </w:r>
      <w:r>
        <w:rPr/>
        <w:t>emission</w:t>
      </w:r>
      <w:r>
        <w:rPr>
          <w:spacing w:val="14"/>
        </w:rPr>
        <w:t> </w:t>
      </w:r>
      <w:r>
        <w:rPr/>
        <w:t>from</w:t>
      </w:r>
      <w:r>
        <w:rPr>
          <w:spacing w:val="14"/>
        </w:rPr>
        <w:t> </w:t>
      </w:r>
      <w:r>
        <w:rPr/>
        <w:t>CO</w:t>
      </w:r>
      <w:r>
        <w:rPr>
          <w:position w:val="-6"/>
          <w:sz w:val="11"/>
        </w:rPr>
        <w:t>2</w:t>
      </w:r>
      <w:r>
        <w:rPr/>
        <w:t>-rich</w:t>
      </w:r>
      <w:r>
        <w:rPr>
          <w:spacing w:val="14"/>
        </w:rPr>
        <w:t> </w:t>
      </w:r>
      <w:r>
        <w:rPr/>
        <w:t>groundwater.</w:t>
      </w:r>
      <w:r>
        <w:rPr>
          <w:spacing w:val="14"/>
        </w:rPr>
        <w:t> </w:t>
      </w:r>
      <w:r>
        <w:rPr/>
        <w:t>Fluxes</w:t>
      </w:r>
      <w:r>
        <w:rPr>
          <w:spacing w:val="14"/>
        </w:rPr>
        <w:t> </w:t>
      </w:r>
      <w:r>
        <w:rPr/>
        <w:t>from</w:t>
      </w:r>
    </w:p>
    <w:p>
      <w:pPr>
        <w:pStyle w:val="ListParagraph"/>
        <w:numPr>
          <w:ilvl w:val="3"/>
          <w:numId w:val="15"/>
        </w:numPr>
        <w:tabs>
          <w:tab w:pos="1063" w:val="left" w:leader="none"/>
        </w:tabs>
        <w:spacing w:line="206" w:lineRule="auto" w:before="83" w:after="0"/>
        <w:ind w:left="1062" w:right="576" w:hanging="821"/>
        <w:jc w:val="both"/>
        <w:rPr>
          <w:i/>
          <w:sz w:val="20"/>
        </w:rPr>
      </w:pPr>
      <w:r>
        <w:rPr>
          <w:i/>
          <w:spacing w:val="-1"/>
          <w:sz w:val="20"/>
        </w:rPr>
        <w:br w:type="column"/>
      </w:r>
      <w:r>
        <w:rPr>
          <w:i/>
          <w:sz w:val="20"/>
        </w:rPr>
        <w:t>Hazards to groundwater from CO</w:t>
      </w:r>
      <w:r>
        <w:rPr>
          <w:i/>
          <w:position w:val="-6"/>
          <w:sz w:val="11"/>
        </w:rPr>
        <w:t>2 </w:t>
      </w:r>
      <w:r>
        <w:rPr>
          <w:i/>
          <w:sz w:val="20"/>
        </w:rPr>
        <w:t>leakage and </w:t>
      </w:r>
      <w:r>
        <w:rPr>
          <w:i/>
          <w:sz w:val="20"/>
        </w:rPr>
        <w:t>brine displacement</w:t>
      </w:r>
    </w:p>
    <w:p>
      <w:pPr>
        <w:pStyle w:val="BodyText"/>
        <w:spacing w:line="240" w:lineRule="exact" w:before="10"/>
        <w:ind w:left="242" w:right="133"/>
        <w:jc w:val="both"/>
      </w:pPr>
      <w:r>
        <w:rPr/>
        <w:t>Increases in  dissolved  CO</w:t>
      </w:r>
      <w:r>
        <w:rPr>
          <w:position w:val="-6"/>
          <w:sz w:val="11"/>
        </w:rPr>
        <w:t>2  </w:t>
      </w:r>
      <w:r>
        <w:rPr/>
        <w:t>concentration  that  might  </w:t>
      </w:r>
      <w:r>
        <w:rPr>
          <w:spacing w:val="-3"/>
        </w:rPr>
        <w:t>occur </w:t>
      </w:r>
      <w:r>
        <w:rPr/>
        <w:t>as CO</w:t>
      </w:r>
      <w:r>
        <w:rPr>
          <w:position w:val="-6"/>
          <w:sz w:val="11"/>
        </w:rPr>
        <w:t>2 </w:t>
      </w:r>
      <w:r>
        <w:rPr/>
        <w:t>migrates from a storage reservoir to the surface will alter groundwater chemistry, potentially affecting shallow groundwater used for potable water and industrial and agricultural needs. Dissolved CO</w:t>
      </w:r>
      <w:r>
        <w:rPr>
          <w:position w:val="-6"/>
          <w:sz w:val="11"/>
        </w:rPr>
        <w:t>2 </w:t>
      </w:r>
      <w:r>
        <w:rPr/>
        <w:t>forms carbonic acid, altering the pH of the solution and potentially causing indirect effects, including mobilization of (toxic) metals, sulphate or chloride; and possibly giving the water an odd odour, colour or taste.   In the worst case, contamination might reach dangerous</w:t>
      </w:r>
      <w:r>
        <w:rPr>
          <w:spacing w:val="4"/>
        </w:rPr>
        <w:t> </w:t>
      </w:r>
      <w:r>
        <w:rPr/>
        <w:t>levels,</w:t>
      </w:r>
    </w:p>
    <w:p>
      <w:pPr>
        <w:spacing w:after="0" w:line="240" w:lineRule="exact"/>
        <w:jc w:val="both"/>
        <w:sectPr>
          <w:type w:val="continuous"/>
          <w:pgSz w:w="12240" w:h="15840"/>
          <w:pgMar w:top="400" w:bottom="280" w:left="580" w:right="600"/>
          <w:cols w:num="2" w:equalWidth="0">
            <w:col w:w="5598" w:space="40"/>
            <w:col w:w="5422"/>
          </w:cols>
        </w:sectPr>
      </w:pPr>
    </w:p>
    <w:p>
      <w:pPr>
        <w:pStyle w:val="BodyText"/>
        <w:spacing w:line="277" w:lineRule="exact" w:before="5"/>
        <w:ind w:left="553"/>
        <w:rPr>
          <w:sz w:val="11"/>
        </w:rPr>
      </w:pPr>
      <w:r>
        <w:rPr/>
        <w:t>vents range from less than 100 to more than 430 tCO</w:t>
      </w:r>
      <w:r>
        <w:rPr>
          <w:position w:val="-6"/>
          <w:sz w:val="11"/>
        </w:rPr>
        <w:t>2</w:t>
      </w:r>
    </w:p>
    <w:p>
      <w:pPr>
        <w:spacing w:before="5"/>
        <w:ind w:left="31" w:right="0" w:firstLine="0"/>
        <w:jc w:val="left"/>
        <w:rPr>
          <w:sz w:val="20"/>
        </w:rPr>
      </w:pPr>
      <w:r>
        <w:rPr/>
        <w:br w:type="column"/>
      </w:r>
      <w:r>
        <w:rPr>
          <w:sz w:val="20"/>
        </w:rPr>
        <w:t>day</w:t>
      </w:r>
      <w:r>
        <w:rPr>
          <w:position w:val="7"/>
          <w:sz w:val="11"/>
        </w:rPr>
        <w:t>–1</w:t>
      </w:r>
      <w:r>
        <w:rPr>
          <w:sz w:val="20"/>
        </w:rPr>
        <w:t>,</w:t>
      </w:r>
    </w:p>
    <w:p>
      <w:pPr>
        <w:pStyle w:val="BodyText"/>
        <w:spacing w:before="5"/>
        <w:ind w:left="243"/>
      </w:pPr>
      <w:r>
        <w:rPr/>
        <w:br w:type="column"/>
      </w:r>
      <w:r>
        <w:rPr/>
        <w:t>excluding the use of groundwater for drinking or irrigation.</w:t>
      </w:r>
    </w:p>
    <w:p>
      <w:pPr>
        <w:spacing w:after="0"/>
        <w:sectPr>
          <w:type w:val="continuous"/>
          <w:pgSz w:w="12240" w:h="15840"/>
          <w:pgMar w:top="400" w:bottom="280" w:left="580" w:right="600"/>
          <w:cols w:num="3" w:equalWidth="0">
            <w:col w:w="5070" w:space="40"/>
            <w:col w:w="487" w:space="39"/>
            <w:col w:w="5424"/>
          </w:cols>
        </w:sectPr>
      </w:pPr>
    </w:p>
    <w:p>
      <w:pPr>
        <w:pStyle w:val="BodyText"/>
        <w:tabs>
          <w:tab w:pos="6163" w:val="left" w:leader="none"/>
        </w:tabs>
        <w:spacing w:line="193" w:lineRule="exact"/>
        <w:ind w:left="553"/>
      </w:pPr>
      <w:r>
        <w:rPr/>
        <w:t>which have shown to be lethal to animal and plants.</w:t>
      </w:r>
      <w:r>
        <w:rPr>
          <w:spacing w:val="13"/>
        </w:rPr>
        <w:t> </w:t>
      </w:r>
      <w:r>
        <w:rPr/>
        <w:t>At</w:t>
      </w:r>
      <w:r>
        <w:rPr>
          <w:spacing w:val="2"/>
        </w:rPr>
        <w:t> </w:t>
      </w:r>
      <w:r>
        <w:rPr/>
        <w:t>Poggio</w:t>
        <w:tab/>
      </w:r>
      <w:r>
        <w:rPr>
          <w:spacing w:val="-4"/>
        </w:rPr>
        <w:t>Wang</w:t>
      </w:r>
      <w:r>
        <w:rPr>
          <w:spacing w:val="9"/>
        </w:rPr>
        <w:t> </w:t>
      </w:r>
      <w:r>
        <w:rPr/>
        <w:t>and</w:t>
      </w:r>
      <w:r>
        <w:rPr>
          <w:spacing w:val="10"/>
        </w:rPr>
        <w:t> </w:t>
      </w:r>
      <w:r>
        <w:rPr/>
        <w:t>Jaffé</w:t>
      </w:r>
      <w:r>
        <w:rPr>
          <w:spacing w:val="9"/>
        </w:rPr>
        <w:t> </w:t>
      </w:r>
      <w:r>
        <w:rPr/>
        <w:t>(2004)</w:t>
      </w:r>
      <w:r>
        <w:rPr>
          <w:spacing w:val="10"/>
        </w:rPr>
        <w:t> </w:t>
      </w:r>
      <w:r>
        <w:rPr/>
        <w:t>used</w:t>
      </w:r>
      <w:r>
        <w:rPr>
          <w:spacing w:val="9"/>
        </w:rPr>
        <w:t> </w:t>
      </w:r>
      <w:r>
        <w:rPr/>
        <w:t>a</w:t>
      </w:r>
      <w:r>
        <w:rPr>
          <w:spacing w:val="10"/>
        </w:rPr>
        <w:t> </w:t>
      </w:r>
      <w:r>
        <w:rPr/>
        <w:t>chemical</w:t>
      </w:r>
      <w:r>
        <w:rPr>
          <w:spacing w:val="9"/>
        </w:rPr>
        <w:t> </w:t>
      </w:r>
      <w:r>
        <w:rPr/>
        <w:t>transport</w:t>
      </w:r>
      <w:r>
        <w:rPr>
          <w:spacing w:val="10"/>
        </w:rPr>
        <w:t> </w:t>
      </w:r>
      <w:r>
        <w:rPr/>
        <w:t>model</w:t>
      </w:r>
      <w:r>
        <w:rPr>
          <w:spacing w:val="9"/>
        </w:rPr>
        <w:t> </w:t>
      </w:r>
      <w:r>
        <w:rPr/>
        <w:t>to</w:t>
      </w:r>
    </w:p>
    <w:p>
      <w:pPr>
        <w:spacing w:after="0" w:line="193" w:lineRule="exact"/>
        <w:sectPr>
          <w:type w:val="continuous"/>
          <w:pgSz w:w="12240" w:h="15840"/>
          <w:pgMar w:top="400" w:bottom="280" w:left="580" w:right="600"/>
        </w:sectPr>
      </w:pPr>
    </w:p>
    <w:p>
      <w:pPr>
        <w:pStyle w:val="BodyText"/>
        <w:spacing w:line="277" w:lineRule="exact" w:before="10"/>
        <w:ind w:left="553"/>
        <w:rPr>
          <w:sz w:val="11"/>
        </w:rPr>
      </w:pPr>
      <w:r>
        <w:rPr/>
        <w:t>dell’Ulivo, for example, a flux of 200 tCO</w:t>
      </w:r>
      <w:r>
        <w:rPr>
          <w:position w:val="-6"/>
          <w:sz w:val="11"/>
        </w:rPr>
        <w:t>2</w:t>
      </w:r>
    </w:p>
    <w:p>
      <w:pPr>
        <w:spacing w:before="10"/>
        <w:ind w:left="41" w:right="0" w:firstLine="0"/>
        <w:jc w:val="left"/>
        <w:rPr>
          <w:sz w:val="20"/>
        </w:rPr>
      </w:pPr>
      <w:r>
        <w:rPr/>
        <w:br w:type="column"/>
      </w:r>
      <w:r>
        <w:rPr>
          <w:sz w:val="20"/>
        </w:rPr>
        <w:t>day</w:t>
      </w:r>
      <w:r>
        <w:rPr>
          <w:position w:val="7"/>
          <w:sz w:val="11"/>
        </w:rPr>
        <w:t>–1 </w:t>
      </w:r>
      <w:r>
        <w:rPr>
          <w:sz w:val="20"/>
        </w:rPr>
        <w:t>is emitted</w:t>
      </w:r>
    </w:p>
    <w:p>
      <w:pPr>
        <w:pStyle w:val="BodyText"/>
        <w:spacing w:line="277" w:lineRule="exact" w:before="10"/>
        <w:ind w:left="242"/>
        <w:rPr>
          <w:sz w:val="11"/>
        </w:rPr>
      </w:pPr>
      <w:r>
        <w:rPr/>
        <w:br w:type="column"/>
      </w:r>
      <w:r>
        <w:rPr/>
        <w:t>investigate the effect of releasing CO</w:t>
      </w:r>
      <w:r>
        <w:rPr>
          <w:position w:val="-6"/>
          <w:sz w:val="11"/>
        </w:rPr>
        <w:t>2</w:t>
      </w:r>
    </w:p>
    <w:p>
      <w:pPr>
        <w:pStyle w:val="BodyText"/>
        <w:spacing w:before="10"/>
        <w:ind w:left="29"/>
      </w:pPr>
      <w:r>
        <w:rPr/>
        <w:br w:type="column"/>
      </w:r>
      <w:r>
        <w:rPr/>
        <w:t>from a point source at</w:t>
      </w:r>
    </w:p>
    <w:p>
      <w:pPr>
        <w:spacing w:after="0"/>
        <w:sectPr>
          <w:type w:val="continuous"/>
          <w:pgSz w:w="12240" w:h="15840"/>
          <w:pgMar w:top="400" w:bottom="280" w:left="580" w:right="600"/>
          <w:cols w:num="4" w:equalWidth="0">
            <w:col w:w="4215" w:space="40"/>
            <w:col w:w="1344" w:space="39"/>
            <w:col w:w="3381" w:space="39"/>
            <w:col w:w="2002"/>
          </w:cols>
        </w:sectPr>
      </w:pPr>
    </w:p>
    <w:p>
      <w:pPr>
        <w:pStyle w:val="BodyText"/>
        <w:spacing w:line="193" w:lineRule="exact"/>
        <w:ind w:left="553"/>
        <w:jc w:val="both"/>
      </w:pPr>
      <w:r>
        <w:rPr/>
        <w:t>from diffuse soil degassing. At least ten people have died from</w:t>
      </w:r>
    </w:p>
    <w:p>
      <w:pPr>
        <w:pStyle w:val="BodyText"/>
        <w:spacing w:line="260" w:lineRule="exact" w:before="10"/>
        <w:ind w:left="553"/>
        <w:jc w:val="both"/>
      </w:pPr>
      <w:r>
        <w:rPr/>
        <w:t>CO</w:t>
      </w:r>
      <w:r>
        <w:rPr>
          <w:position w:val="-6"/>
          <w:sz w:val="11"/>
        </w:rPr>
        <w:t>2 </w:t>
      </w:r>
      <w:r>
        <w:rPr/>
        <w:t>releases in the region of Lazio over the last 20 years.</w:t>
      </w:r>
    </w:p>
    <w:p>
      <w:pPr>
        <w:pStyle w:val="BodyText"/>
        <w:spacing w:line="210" w:lineRule="exact"/>
        <w:ind w:left="837"/>
        <w:jc w:val="both"/>
      </w:pPr>
      <w:r>
        <w:rPr/>
        <w:t>Natural and engineered analogues show that it is possible,</w:t>
      </w:r>
    </w:p>
    <w:p>
      <w:pPr>
        <w:pStyle w:val="BodyText"/>
        <w:spacing w:line="240" w:lineRule="exact" w:before="4"/>
        <w:ind w:left="553"/>
        <w:jc w:val="both"/>
      </w:pPr>
      <w:r>
        <w:rPr/>
        <w:t>though improbable, that slow releases from CO</w:t>
      </w:r>
      <w:r>
        <w:rPr>
          <w:position w:val="-6"/>
          <w:sz w:val="11"/>
        </w:rPr>
        <w:t>2 </w:t>
      </w:r>
      <w:r>
        <w:rPr/>
        <w:t>storage reservoirs will pose a threat to humans. Sudden, catastrophic releases of natural accumulations of CO</w:t>
      </w:r>
      <w:r>
        <w:rPr>
          <w:position w:val="-6"/>
          <w:sz w:val="11"/>
        </w:rPr>
        <w:t>2 </w:t>
      </w:r>
      <w:r>
        <w:rPr/>
        <w:t>have occurred, associated</w:t>
      </w:r>
      <w:r>
        <w:rPr>
          <w:spacing w:val="-19"/>
        </w:rPr>
        <w:t> </w:t>
      </w:r>
      <w:r>
        <w:rPr/>
        <w:t>with</w:t>
      </w:r>
      <w:r>
        <w:rPr>
          <w:spacing w:val="-19"/>
        </w:rPr>
        <w:t> </w:t>
      </w:r>
      <w:r>
        <w:rPr/>
        <w:t>volcanism</w:t>
      </w:r>
      <w:r>
        <w:rPr>
          <w:spacing w:val="-18"/>
        </w:rPr>
        <w:t> </w:t>
      </w:r>
      <w:r>
        <w:rPr/>
        <w:t>or</w:t>
      </w:r>
      <w:r>
        <w:rPr>
          <w:spacing w:val="-19"/>
        </w:rPr>
        <w:t> </w:t>
      </w:r>
      <w:r>
        <w:rPr/>
        <w:t>subsurface</w:t>
      </w:r>
      <w:r>
        <w:rPr>
          <w:spacing w:val="-19"/>
        </w:rPr>
        <w:t> </w:t>
      </w:r>
      <w:r>
        <w:rPr/>
        <w:t>mining</w:t>
      </w:r>
      <w:r>
        <w:rPr>
          <w:spacing w:val="-18"/>
        </w:rPr>
        <w:t> </w:t>
      </w:r>
      <w:r>
        <w:rPr/>
        <w:t>activities.</w:t>
      </w:r>
      <w:r>
        <w:rPr>
          <w:spacing w:val="-22"/>
        </w:rPr>
        <w:t> </w:t>
      </w:r>
      <w:r>
        <w:rPr/>
        <w:t>Thus, they</w:t>
      </w:r>
      <w:r>
        <w:rPr>
          <w:spacing w:val="-11"/>
        </w:rPr>
        <w:t> </w:t>
      </w:r>
      <w:r>
        <w:rPr/>
        <w:t>are</w:t>
      </w:r>
      <w:r>
        <w:rPr>
          <w:spacing w:val="-11"/>
        </w:rPr>
        <w:t> </w:t>
      </w:r>
      <w:r>
        <w:rPr/>
        <w:t>of</w:t>
      </w:r>
      <w:r>
        <w:rPr>
          <w:spacing w:val="-11"/>
        </w:rPr>
        <w:t> </w:t>
      </w:r>
      <w:r>
        <w:rPr/>
        <w:t>limited</w:t>
      </w:r>
      <w:r>
        <w:rPr>
          <w:spacing w:val="-10"/>
        </w:rPr>
        <w:t> </w:t>
      </w:r>
      <w:r>
        <w:rPr/>
        <w:t>relevance</w:t>
      </w:r>
      <w:r>
        <w:rPr>
          <w:spacing w:val="-11"/>
        </w:rPr>
        <w:t> </w:t>
      </w:r>
      <w:r>
        <w:rPr/>
        <w:t>to</w:t>
      </w:r>
      <w:r>
        <w:rPr>
          <w:spacing w:val="-11"/>
        </w:rPr>
        <w:t> </w:t>
      </w:r>
      <w:r>
        <w:rPr/>
        <w:t>understanding</w:t>
      </w:r>
      <w:r>
        <w:rPr>
          <w:spacing w:val="-11"/>
        </w:rPr>
        <w:t> </w:t>
      </w:r>
      <w:r>
        <w:rPr/>
        <w:t>risks</w:t>
      </w:r>
      <w:r>
        <w:rPr>
          <w:spacing w:val="-10"/>
        </w:rPr>
        <w:t> </w:t>
      </w:r>
      <w:r>
        <w:rPr/>
        <w:t>arising</w:t>
      </w:r>
      <w:r>
        <w:rPr>
          <w:spacing w:val="-11"/>
        </w:rPr>
        <w:t> </w:t>
      </w:r>
      <w:r>
        <w:rPr>
          <w:spacing w:val="-4"/>
        </w:rPr>
        <w:t>from </w:t>
      </w:r>
      <w:r>
        <w:rPr/>
        <w:t>CO</w:t>
      </w:r>
      <w:r>
        <w:rPr>
          <w:position w:val="-6"/>
          <w:sz w:val="11"/>
        </w:rPr>
        <w:t>2 </w:t>
      </w:r>
      <w:r>
        <w:rPr/>
        <w:t>stored in sedimentary basins. However, mining or drilling in areas with CO</w:t>
      </w:r>
      <w:r>
        <w:rPr>
          <w:position w:val="-6"/>
          <w:sz w:val="11"/>
        </w:rPr>
        <w:t>2 </w:t>
      </w:r>
      <w:r>
        <w:rPr/>
        <w:t>storage sites may pose a long-term risk after site abandonment if institutional knowledge and precautions are not in place to avoid accidentally penetrating a storage formation.</w:t>
      </w:r>
    </w:p>
    <w:p>
      <w:pPr>
        <w:pStyle w:val="BodyText"/>
        <w:spacing w:line="193" w:lineRule="exact"/>
        <w:ind w:left="242"/>
        <w:jc w:val="both"/>
      </w:pPr>
      <w:r>
        <w:rPr/>
        <w:br w:type="column"/>
      </w:r>
      <w:r>
        <w:rPr/>
        <w:t>100 m depth into a shallow water formation that contained a</w:t>
      </w:r>
    </w:p>
    <w:p>
      <w:pPr>
        <w:pStyle w:val="BodyText"/>
        <w:spacing w:line="240" w:lineRule="exact" w:before="4"/>
        <w:ind w:left="242" w:right="134"/>
        <w:jc w:val="both"/>
      </w:pPr>
      <w:r>
        <w:rPr/>
        <w:t>high concentration of mineralized lead (galena). They </w:t>
      </w:r>
      <w:r>
        <w:rPr>
          <w:spacing w:val="-3"/>
        </w:rPr>
        <w:t>found </w:t>
      </w:r>
      <w:r>
        <w:rPr/>
        <w:t>that in weakly buffered formations, the escaping CO</w:t>
      </w:r>
      <w:r>
        <w:rPr>
          <w:position w:val="-6"/>
          <w:sz w:val="11"/>
        </w:rPr>
        <w:t>2 </w:t>
      </w:r>
      <w:r>
        <w:rPr/>
        <w:t>could mobilize sufficient dissolved lead to pose a health  hazard  over a radius of a few hundred metres from the CO</w:t>
      </w:r>
      <w:r>
        <w:rPr>
          <w:position w:val="-6"/>
          <w:sz w:val="11"/>
        </w:rPr>
        <w:t>2 </w:t>
      </w:r>
      <w:r>
        <w:rPr/>
        <w:t>source. This analysis represents an extreme upper bound to the </w:t>
      </w:r>
      <w:r>
        <w:rPr>
          <w:spacing w:val="-3"/>
        </w:rPr>
        <w:t>risk    </w:t>
      </w:r>
      <w:r>
        <w:rPr/>
        <w:t>of metal leaching, since few natural formations have mineral composition so susceptible to the effects of CO</w:t>
      </w:r>
      <w:r>
        <w:rPr>
          <w:position w:val="-6"/>
          <w:sz w:val="11"/>
        </w:rPr>
        <w:t>2</w:t>
      </w:r>
      <w:r>
        <w:rPr/>
        <w:t>-mediated leaching and one of the expressed requirements of a storage site is to avoid compromising other potential resources, such</w:t>
      </w:r>
      <w:r>
        <w:rPr>
          <w:spacing w:val="-33"/>
        </w:rPr>
        <w:t> </w:t>
      </w:r>
      <w:r>
        <w:rPr/>
        <w:t>as mineral deposits.</w:t>
      </w:r>
    </w:p>
    <w:p>
      <w:pPr>
        <w:pStyle w:val="BodyText"/>
        <w:spacing w:line="206" w:lineRule="auto" w:before="25"/>
        <w:ind w:left="242" w:right="133" w:firstLine="283"/>
        <w:jc w:val="both"/>
      </w:pPr>
      <w:r>
        <w:rPr/>
        <w:t>The injection of CO</w:t>
      </w:r>
      <w:r>
        <w:rPr>
          <w:position w:val="-6"/>
          <w:sz w:val="11"/>
        </w:rPr>
        <w:t>2 </w:t>
      </w:r>
      <w:r>
        <w:rPr/>
        <w:t>or any other fluid deep underground necessarily causes changes in pore-fluid pressures and in the</w:t>
      </w:r>
    </w:p>
    <w:p>
      <w:pPr>
        <w:spacing w:after="0" w:line="206" w:lineRule="auto"/>
        <w:jc w:val="both"/>
        <w:sectPr>
          <w:type w:val="continuous"/>
          <w:pgSz w:w="12240" w:h="15840"/>
          <w:pgMar w:top="400" w:bottom="280" w:left="580" w:right="600"/>
          <w:cols w:num="2" w:equalWidth="0">
            <w:col w:w="5598" w:space="40"/>
            <w:col w:w="5422"/>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9"/>
        <w:jc w:val="both"/>
      </w:pPr>
      <w:r>
        <w:rPr/>
        <w:t>geomechanical stress fields that reach far beyond the volume occupied by the injected fluid. Brines displaced from deep formations by injected CO</w:t>
      </w:r>
      <w:r>
        <w:rPr>
          <w:position w:val="-6"/>
          <w:sz w:val="11"/>
        </w:rPr>
        <w:t>2 </w:t>
      </w:r>
      <w:r>
        <w:rPr/>
        <w:t>can potentially migrate or </w:t>
      </w:r>
      <w:r>
        <w:rPr>
          <w:spacing w:val="-3"/>
        </w:rPr>
        <w:t>leak </w:t>
      </w:r>
      <w:r>
        <w:rPr/>
        <w:t>through fractures or defective wells to shallow aquifers and contaminate shallower drinking water formations by</w:t>
      </w:r>
      <w:r>
        <w:rPr>
          <w:spacing w:val="-36"/>
        </w:rPr>
        <w:t> </w:t>
      </w:r>
      <w:r>
        <w:rPr/>
        <w:t>increasing their </w:t>
      </w:r>
      <w:r>
        <w:rPr>
          <w:spacing w:val="-3"/>
        </w:rPr>
        <w:t>salinity.  </w:t>
      </w:r>
      <w:r>
        <w:rPr/>
        <w:t>In the worst case, infiltration of saline water  into groundwater or into the shallow subsurface could impact wildlife</w:t>
      </w:r>
      <w:r>
        <w:rPr>
          <w:spacing w:val="-10"/>
        </w:rPr>
        <w:t> </w:t>
      </w:r>
      <w:r>
        <w:rPr/>
        <w:t>habitat,</w:t>
      </w:r>
      <w:r>
        <w:rPr>
          <w:spacing w:val="-10"/>
        </w:rPr>
        <w:t> </w:t>
      </w:r>
      <w:r>
        <w:rPr/>
        <w:t>restrict</w:t>
      </w:r>
      <w:r>
        <w:rPr>
          <w:spacing w:val="-10"/>
        </w:rPr>
        <w:t> </w:t>
      </w:r>
      <w:r>
        <w:rPr/>
        <w:t>or</w:t>
      </w:r>
      <w:r>
        <w:rPr>
          <w:spacing w:val="-9"/>
        </w:rPr>
        <w:t> </w:t>
      </w:r>
      <w:r>
        <w:rPr/>
        <w:t>eliminate</w:t>
      </w:r>
      <w:r>
        <w:rPr>
          <w:spacing w:val="-10"/>
        </w:rPr>
        <w:t> </w:t>
      </w:r>
      <w:r>
        <w:rPr/>
        <w:t>agricultural</w:t>
      </w:r>
      <w:r>
        <w:rPr>
          <w:spacing w:val="-10"/>
        </w:rPr>
        <w:t> </w:t>
      </w:r>
      <w:r>
        <w:rPr/>
        <w:t>use</w:t>
      </w:r>
      <w:r>
        <w:rPr>
          <w:spacing w:val="-10"/>
        </w:rPr>
        <w:t> </w:t>
      </w:r>
      <w:r>
        <w:rPr/>
        <w:t>of</w:t>
      </w:r>
      <w:r>
        <w:rPr>
          <w:spacing w:val="-9"/>
        </w:rPr>
        <w:t> </w:t>
      </w:r>
      <w:r>
        <w:rPr/>
        <w:t>land</w:t>
      </w:r>
      <w:r>
        <w:rPr>
          <w:spacing w:val="-10"/>
        </w:rPr>
        <w:t> </w:t>
      </w:r>
      <w:r>
        <w:rPr/>
        <w:t>and pollute surface</w:t>
      </w:r>
      <w:r>
        <w:rPr>
          <w:spacing w:val="-2"/>
        </w:rPr>
        <w:t> </w:t>
      </w:r>
      <w:r>
        <w:rPr/>
        <w:t>waters.</w:t>
      </w:r>
    </w:p>
    <w:p>
      <w:pPr>
        <w:pStyle w:val="BodyText"/>
        <w:spacing w:line="240" w:lineRule="exact"/>
        <w:ind w:left="157" w:right="38" w:firstLine="283"/>
        <w:jc w:val="both"/>
      </w:pPr>
      <w:r>
        <w:rPr/>
        <w:t>As is the case for induced </w:t>
      </w:r>
      <w:r>
        <w:rPr>
          <w:spacing w:val="-3"/>
        </w:rPr>
        <w:t>seismicity, </w:t>
      </w:r>
      <w:r>
        <w:rPr/>
        <w:t>the experience with injection of different fluids provides an empirical basis for assessing the likelihood that groundwater contamination will occur by brine displacement. As discussed in Section 5.5 and shown in </w:t>
      </w:r>
      <w:hyperlink w:history="true" w:anchor="_bookmark36">
        <w:r>
          <w:rPr/>
          <w:t>Figure 5.22,</w:t>
        </w:r>
      </w:hyperlink>
      <w:r>
        <w:rPr/>
        <w:t> the current site-specific injection rates of fluids into the deep subsurface are roughly comparable to the rates at which CO</w:t>
      </w:r>
      <w:r>
        <w:rPr>
          <w:position w:val="-6"/>
          <w:sz w:val="11"/>
        </w:rPr>
        <w:t>2 </w:t>
      </w:r>
      <w:r>
        <w:rPr/>
        <w:t>would be injected if geological storage were adopted for storage of CO</w:t>
      </w:r>
      <w:r>
        <w:rPr>
          <w:position w:val="-6"/>
          <w:sz w:val="11"/>
        </w:rPr>
        <w:t>2 </w:t>
      </w:r>
      <w:r>
        <w:rPr/>
        <w:t>from large-scale power plants. Contamination</w:t>
      </w:r>
      <w:r>
        <w:rPr>
          <w:spacing w:val="-32"/>
        </w:rPr>
        <w:t> </w:t>
      </w:r>
      <w:r>
        <w:rPr/>
        <w:t>of</w:t>
      </w:r>
      <w:r>
        <w:rPr>
          <w:spacing w:val="-31"/>
        </w:rPr>
        <w:t> </w:t>
      </w:r>
      <w:r>
        <w:rPr/>
        <w:t>groundwater</w:t>
      </w:r>
      <w:r>
        <w:rPr>
          <w:spacing w:val="-32"/>
        </w:rPr>
        <w:t> </w:t>
      </w:r>
      <w:r>
        <w:rPr/>
        <w:t>by</w:t>
      </w:r>
      <w:r>
        <w:rPr>
          <w:spacing w:val="-31"/>
        </w:rPr>
        <w:t> </w:t>
      </w:r>
      <w:r>
        <w:rPr/>
        <w:t>brines</w:t>
      </w:r>
      <w:r>
        <w:rPr>
          <w:spacing w:val="-32"/>
        </w:rPr>
        <w:t> </w:t>
      </w:r>
      <w:r>
        <w:rPr/>
        <w:t>displaced</w:t>
      </w:r>
      <w:r>
        <w:rPr>
          <w:spacing w:val="-31"/>
        </w:rPr>
        <w:t> </w:t>
      </w:r>
      <w:r>
        <w:rPr/>
        <w:t>from</w:t>
      </w:r>
      <w:r>
        <w:rPr>
          <w:spacing w:val="-32"/>
        </w:rPr>
        <w:t> </w:t>
      </w:r>
      <w:r>
        <w:rPr/>
        <w:t>injection wells is rare and it is therefore expected that contamination arising from large-scale CO</w:t>
      </w:r>
      <w:r>
        <w:rPr>
          <w:position w:val="-6"/>
          <w:sz w:val="11"/>
        </w:rPr>
        <w:t>2 </w:t>
      </w:r>
      <w:r>
        <w:rPr/>
        <w:t>storage activities would also be rare. Density differences between CO</w:t>
      </w:r>
      <w:r>
        <w:rPr>
          <w:position w:val="-6"/>
          <w:sz w:val="11"/>
        </w:rPr>
        <w:t>2 </w:t>
      </w:r>
      <w:r>
        <w:rPr/>
        <w:t>and other fluids with which we have extensive experience do not compromise this conclusion, because brine displacement is driven primarily </w:t>
      </w:r>
      <w:r>
        <w:rPr>
          <w:spacing w:val="-6"/>
        </w:rPr>
        <w:t>by </w:t>
      </w:r>
      <w:r>
        <w:rPr/>
        <w:t>the pressure/hydraulic head differential of the injected CO</w:t>
      </w:r>
      <w:r>
        <w:rPr>
          <w:position w:val="-6"/>
          <w:sz w:val="11"/>
        </w:rPr>
        <w:t>2</w:t>
      </w:r>
      <w:r>
        <w:rPr/>
        <w:t>,</w:t>
      </w:r>
      <w:r>
        <w:rPr>
          <w:spacing w:val="-32"/>
        </w:rPr>
        <w:t> </w:t>
      </w:r>
      <w:r>
        <w:rPr>
          <w:spacing w:val="-4"/>
        </w:rPr>
        <w:t>not </w:t>
      </w:r>
      <w:r>
        <w:rPr/>
        <w:t>by buoyancy forces.</w:t>
      </w:r>
    </w:p>
    <w:p>
      <w:pPr>
        <w:pStyle w:val="BodyText"/>
        <w:spacing w:before="3"/>
        <w:rPr>
          <w:sz w:val="21"/>
        </w:rPr>
      </w:pPr>
    </w:p>
    <w:p>
      <w:pPr>
        <w:pStyle w:val="ListParagraph"/>
        <w:numPr>
          <w:ilvl w:val="3"/>
          <w:numId w:val="15"/>
        </w:numPr>
        <w:tabs>
          <w:tab w:pos="977" w:val="left" w:leader="none"/>
        </w:tabs>
        <w:spacing w:line="240" w:lineRule="auto" w:before="1" w:after="0"/>
        <w:ind w:left="977" w:right="0" w:hanging="820"/>
        <w:jc w:val="both"/>
        <w:rPr>
          <w:i/>
          <w:sz w:val="20"/>
        </w:rPr>
      </w:pPr>
      <w:r>
        <w:rPr>
          <w:i/>
          <w:sz w:val="20"/>
        </w:rPr>
        <w:t>Hazards to terrestrial and marine</w:t>
      </w:r>
      <w:r>
        <w:rPr>
          <w:i/>
          <w:spacing w:val="-26"/>
          <w:sz w:val="20"/>
        </w:rPr>
        <w:t> </w:t>
      </w:r>
      <w:r>
        <w:rPr>
          <w:i/>
          <w:sz w:val="20"/>
        </w:rPr>
        <w:t>ecosystems</w:t>
      </w:r>
    </w:p>
    <w:p>
      <w:pPr>
        <w:pStyle w:val="BodyText"/>
        <w:spacing w:line="240" w:lineRule="exact" w:before="4"/>
        <w:ind w:left="157" w:right="39"/>
        <w:jc w:val="both"/>
      </w:pPr>
      <w:r>
        <w:rPr/>
        <w:t>Stored CO</w:t>
      </w:r>
      <w:r>
        <w:rPr>
          <w:position w:val="-6"/>
          <w:sz w:val="11"/>
        </w:rPr>
        <w:t>2 </w:t>
      </w:r>
      <w:r>
        <w:rPr/>
        <w:t>and any accompanying substances, may affect the flora</w:t>
      </w:r>
      <w:r>
        <w:rPr>
          <w:spacing w:val="-10"/>
        </w:rPr>
        <w:t> </w:t>
      </w:r>
      <w:r>
        <w:rPr/>
        <w:t>and</w:t>
      </w:r>
      <w:r>
        <w:rPr>
          <w:spacing w:val="-9"/>
        </w:rPr>
        <w:t> </w:t>
      </w:r>
      <w:r>
        <w:rPr/>
        <w:t>fauna</w:t>
      </w:r>
      <w:r>
        <w:rPr>
          <w:spacing w:val="-9"/>
        </w:rPr>
        <w:t> </w:t>
      </w:r>
      <w:r>
        <w:rPr/>
        <w:t>with</w:t>
      </w:r>
      <w:r>
        <w:rPr>
          <w:spacing w:val="-9"/>
        </w:rPr>
        <w:t> </w:t>
      </w:r>
      <w:r>
        <w:rPr/>
        <w:t>which</w:t>
      </w:r>
      <w:r>
        <w:rPr>
          <w:spacing w:val="-9"/>
        </w:rPr>
        <w:t> </w:t>
      </w:r>
      <w:r>
        <w:rPr/>
        <w:t>it</w:t>
      </w:r>
      <w:r>
        <w:rPr>
          <w:spacing w:val="-9"/>
        </w:rPr>
        <w:t> </w:t>
      </w:r>
      <w:r>
        <w:rPr/>
        <w:t>comes</w:t>
      </w:r>
      <w:r>
        <w:rPr>
          <w:spacing w:val="-9"/>
        </w:rPr>
        <w:t> </w:t>
      </w:r>
      <w:r>
        <w:rPr/>
        <w:t>into</w:t>
      </w:r>
      <w:r>
        <w:rPr>
          <w:spacing w:val="-9"/>
        </w:rPr>
        <w:t> </w:t>
      </w:r>
      <w:r>
        <w:rPr/>
        <w:t>contact.</w:t>
      </w:r>
      <w:r>
        <w:rPr>
          <w:spacing w:val="-9"/>
        </w:rPr>
        <w:t> </w:t>
      </w:r>
      <w:r>
        <w:rPr/>
        <w:t>Impacts</w:t>
      </w:r>
      <w:r>
        <w:rPr>
          <w:spacing w:val="-9"/>
        </w:rPr>
        <w:t> </w:t>
      </w:r>
      <w:r>
        <w:rPr/>
        <w:t>might be expected on microbes in the deep subsurface and on plants and</w:t>
      </w:r>
      <w:r>
        <w:rPr>
          <w:spacing w:val="-12"/>
        </w:rPr>
        <w:t> </w:t>
      </w:r>
      <w:r>
        <w:rPr/>
        <w:t>animals</w:t>
      </w:r>
      <w:r>
        <w:rPr>
          <w:spacing w:val="-12"/>
        </w:rPr>
        <w:t> </w:t>
      </w:r>
      <w:r>
        <w:rPr/>
        <w:t>in</w:t>
      </w:r>
      <w:r>
        <w:rPr>
          <w:spacing w:val="-12"/>
        </w:rPr>
        <w:t> </w:t>
      </w:r>
      <w:r>
        <w:rPr/>
        <w:t>shallower</w:t>
      </w:r>
      <w:r>
        <w:rPr>
          <w:spacing w:val="-12"/>
        </w:rPr>
        <w:t> </w:t>
      </w:r>
      <w:r>
        <w:rPr/>
        <w:t>soils</w:t>
      </w:r>
      <w:r>
        <w:rPr>
          <w:spacing w:val="-11"/>
        </w:rPr>
        <w:t> </w:t>
      </w:r>
      <w:r>
        <w:rPr/>
        <w:t>and</w:t>
      </w:r>
      <w:r>
        <w:rPr>
          <w:spacing w:val="-12"/>
        </w:rPr>
        <w:t> </w:t>
      </w:r>
      <w:r>
        <w:rPr/>
        <w:t>at</w:t>
      </w:r>
      <w:r>
        <w:rPr>
          <w:spacing w:val="-12"/>
        </w:rPr>
        <w:t> </w:t>
      </w:r>
      <w:r>
        <w:rPr/>
        <w:t>the</w:t>
      </w:r>
      <w:r>
        <w:rPr>
          <w:spacing w:val="-12"/>
        </w:rPr>
        <w:t> </w:t>
      </w:r>
      <w:r>
        <w:rPr/>
        <w:t>surface.</w:t>
      </w:r>
      <w:r>
        <w:rPr>
          <w:spacing w:val="-14"/>
        </w:rPr>
        <w:t> </w:t>
      </w:r>
      <w:r>
        <w:rPr/>
        <w:t>The</w:t>
      </w:r>
      <w:r>
        <w:rPr>
          <w:spacing w:val="-12"/>
        </w:rPr>
        <w:t> </w:t>
      </w:r>
      <w:r>
        <w:rPr/>
        <w:t>remainder of this discussion focuses only on the hazards where exposures to CO</w:t>
      </w:r>
      <w:r>
        <w:rPr>
          <w:position w:val="-6"/>
          <w:sz w:val="11"/>
        </w:rPr>
        <w:t>2 </w:t>
      </w:r>
      <w:r>
        <w:rPr/>
        <w:t>do occur. As discussed in Section 5.7.3, the probability of</w:t>
      </w:r>
      <w:r>
        <w:rPr>
          <w:spacing w:val="-10"/>
        </w:rPr>
        <w:t> </w:t>
      </w:r>
      <w:r>
        <w:rPr/>
        <w:t>leakage</w:t>
      </w:r>
      <w:r>
        <w:rPr>
          <w:spacing w:val="-10"/>
        </w:rPr>
        <w:t> </w:t>
      </w:r>
      <w:r>
        <w:rPr/>
        <w:t>is</w:t>
      </w:r>
      <w:r>
        <w:rPr>
          <w:spacing w:val="-10"/>
        </w:rPr>
        <w:t> </w:t>
      </w:r>
      <w:r>
        <w:rPr>
          <w:spacing w:val="-4"/>
        </w:rPr>
        <w:t>low.</w:t>
      </w:r>
      <w:r>
        <w:rPr>
          <w:spacing w:val="-10"/>
        </w:rPr>
        <w:t> </w:t>
      </w:r>
      <w:r>
        <w:rPr/>
        <w:t>Nevertheless,</w:t>
      </w:r>
      <w:r>
        <w:rPr>
          <w:spacing w:val="-10"/>
        </w:rPr>
        <w:t> </w:t>
      </w:r>
      <w:r>
        <w:rPr/>
        <w:t>it</w:t>
      </w:r>
      <w:r>
        <w:rPr>
          <w:spacing w:val="-10"/>
        </w:rPr>
        <w:t> </w:t>
      </w:r>
      <w:r>
        <w:rPr/>
        <w:t>is</w:t>
      </w:r>
      <w:r>
        <w:rPr>
          <w:spacing w:val="-10"/>
        </w:rPr>
        <w:t> </w:t>
      </w:r>
      <w:r>
        <w:rPr/>
        <w:t>important</w:t>
      </w:r>
      <w:r>
        <w:rPr>
          <w:spacing w:val="-9"/>
        </w:rPr>
        <w:t> </w:t>
      </w:r>
      <w:r>
        <w:rPr/>
        <w:t>to</w:t>
      </w:r>
      <w:r>
        <w:rPr>
          <w:spacing w:val="-10"/>
        </w:rPr>
        <w:t> </w:t>
      </w:r>
      <w:r>
        <w:rPr/>
        <w:t>understand</w:t>
      </w:r>
      <w:r>
        <w:rPr>
          <w:spacing w:val="-10"/>
        </w:rPr>
        <w:t> </w:t>
      </w:r>
      <w:r>
        <w:rPr/>
        <w:t>the hazards should exposures</w:t>
      </w:r>
      <w:r>
        <w:rPr>
          <w:spacing w:val="-2"/>
        </w:rPr>
        <w:t> </w:t>
      </w:r>
      <w:r>
        <w:rPr/>
        <w:t>occur.</w:t>
      </w:r>
    </w:p>
    <w:p>
      <w:pPr>
        <w:pStyle w:val="BodyText"/>
        <w:spacing w:line="249" w:lineRule="auto" w:before="6"/>
        <w:ind w:left="157" w:right="38" w:firstLine="283"/>
        <w:jc w:val="both"/>
      </w:pPr>
      <w:r>
        <w:rPr/>
        <w:t>In the last three decades, microbes dubbed ‘extremophiles’, living in environments where life was previously considered impossible,</w:t>
      </w:r>
      <w:r>
        <w:rPr>
          <w:spacing w:val="-8"/>
        </w:rPr>
        <w:t> </w:t>
      </w:r>
      <w:r>
        <w:rPr/>
        <w:t>have</w:t>
      </w:r>
      <w:r>
        <w:rPr>
          <w:spacing w:val="-8"/>
        </w:rPr>
        <w:t> </w:t>
      </w:r>
      <w:r>
        <w:rPr/>
        <w:t>been</w:t>
      </w:r>
      <w:r>
        <w:rPr>
          <w:spacing w:val="-8"/>
        </w:rPr>
        <w:t> </w:t>
      </w:r>
      <w:r>
        <w:rPr/>
        <w:t>identified</w:t>
      </w:r>
      <w:r>
        <w:rPr>
          <w:spacing w:val="-7"/>
        </w:rPr>
        <w:t> </w:t>
      </w:r>
      <w:r>
        <w:rPr/>
        <w:t>in</w:t>
      </w:r>
      <w:r>
        <w:rPr>
          <w:spacing w:val="-8"/>
        </w:rPr>
        <w:t> </w:t>
      </w:r>
      <w:r>
        <w:rPr/>
        <w:t>many</w:t>
      </w:r>
      <w:r>
        <w:rPr>
          <w:spacing w:val="-8"/>
        </w:rPr>
        <w:t> </w:t>
      </w:r>
      <w:r>
        <w:rPr/>
        <w:t>underground</w:t>
      </w:r>
      <w:r>
        <w:rPr>
          <w:spacing w:val="-7"/>
        </w:rPr>
        <w:t> </w:t>
      </w:r>
      <w:r>
        <w:rPr/>
        <w:t>habitats. These microorganisms have limited nutrient supply and</w:t>
      </w:r>
      <w:r>
        <w:rPr>
          <w:spacing w:val="-25"/>
        </w:rPr>
        <w:t> </w:t>
      </w:r>
      <w:r>
        <w:rPr/>
        <w:t>exhibit</w:t>
      </w:r>
    </w:p>
    <w:p>
      <w:pPr>
        <w:pStyle w:val="BodyText"/>
        <w:spacing w:line="249" w:lineRule="auto" w:before="63"/>
        <w:ind w:left="157" w:right="531"/>
        <w:jc w:val="both"/>
      </w:pPr>
      <w:r>
        <w:rPr/>
        <w:br w:type="column"/>
      </w:r>
      <w:r>
        <w:rPr/>
        <w:t>of Fe(III)-reducing communities (Onstott, 2005). From an operational perspective, creation of biofilms may reduce the effective permeability of the formation.</w:t>
      </w:r>
    </w:p>
    <w:p>
      <w:pPr>
        <w:pStyle w:val="BodyText"/>
        <w:spacing w:line="225" w:lineRule="auto" w:before="11"/>
        <w:ind w:left="157" w:right="530" w:firstLine="283"/>
        <w:jc w:val="both"/>
      </w:pPr>
      <w:r>
        <w:rPr/>
        <w:t>Should</w:t>
      </w:r>
      <w:r>
        <w:rPr>
          <w:spacing w:val="-13"/>
        </w:rPr>
        <w:t> </w:t>
      </w:r>
      <w:r>
        <w:rPr/>
        <w:t>CO</w:t>
      </w:r>
      <w:r>
        <w:rPr>
          <w:position w:val="-6"/>
          <w:sz w:val="11"/>
        </w:rPr>
        <w:t>2</w:t>
      </w:r>
      <w:r>
        <w:rPr>
          <w:spacing w:val="10"/>
          <w:position w:val="-6"/>
          <w:sz w:val="11"/>
        </w:rPr>
        <w:t> </w:t>
      </w:r>
      <w:r>
        <w:rPr/>
        <w:t>leak</w:t>
      </w:r>
      <w:r>
        <w:rPr>
          <w:spacing w:val="-12"/>
        </w:rPr>
        <w:t> </w:t>
      </w:r>
      <w:r>
        <w:rPr/>
        <w:t>from</w:t>
      </w:r>
      <w:r>
        <w:rPr>
          <w:spacing w:val="-13"/>
        </w:rPr>
        <w:t> </w:t>
      </w:r>
      <w:r>
        <w:rPr/>
        <w:t>the</w:t>
      </w:r>
      <w:r>
        <w:rPr>
          <w:spacing w:val="-12"/>
        </w:rPr>
        <w:t> </w:t>
      </w:r>
      <w:r>
        <w:rPr/>
        <w:t>storage</w:t>
      </w:r>
      <w:r>
        <w:rPr>
          <w:spacing w:val="-12"/>
        </w:rPr>
        <w:t> </w:t>
      </w:r>
      <w:r>
        <w:rPr/>
        <w:t>formation</w:t>
      </w:r>
      <w:r>
        <w:rPr>
          <w:spacing w:val="-13"/>
        </w:rPr>
        <w:t> </w:t>
      </w:r>
      <w:r>
        <w:rPr/>
        <w:t>and</w:t>
      </w:r>
      <w:r>
        <w:rPr>
          <w:spacing w:val="-12"/>
        </w:rPr>
        <w:t> </w:t>
      </w:r>
      <w:r>
        <w:rPr/>
        <w:t>find</w:t>
      </w:r>
      <w:r>
        <w:rPr>
          <w:spacing w:val="-12"/>
        </w:rPr>
        <w:t> </w:t>
      </w:r>
      <w:r>
        <w:rPr/>
        <w:t>its</w:t>
      </w:r>
      <w:r>
        <w:rPr>
          <w:spacing w:val="-13"/>
        </w:rPr>
        <w:t> </w:t>
      </w:r>
      <w:r>
        <w:rPr/>
        <w:t>way to</w:t>
      </w:r>
      <w:r>
        <w:rPr>
          <w:spacing w:val="-12"/>
        </w:rPr>
        <w:t> </w:t>
      </w:r>
      <w:r>
        <w:rPr/>
        <w:t>the</w:t>
      </w:r>
      <w:r>
        <w:rPr>
          <w:spacing w:val="-12"/>
        </w:rPr>
        <w:t> </w:t>
      </w:r>
      <w:r>
        <w:rPr/>
        <w:t>surface,</w:t>
      </w:r>
      <w:r>
        <w:rPr>
          <w:spacing w:val="-12"/>
        </w:rPr>
        <w:t> </w:t>
      </w:r>
      <w:r>
        <w:rPr/>
        <w:t>it</w:t>
      </w:r>
      <w:r>
        <w:rPr>
          <w:spacing w:val="-12"/>
        </w:rPr>
        <w:t> </w:t>
      </w:r>
      <w:r>
        <w:rPr/>
        <w:t>will</w:t>
      </w:r>
      <w:r>
        <w:rPr>
          <w:spacing w:val="-12"/>
        </w:rPr>
        <w:t> </w:t>
      </w:r>
      <w:r>
        <w:rPr/>
        <w:t>enter</w:t>
      </w:r>
      <w:r>
        <w:rPr>
          <w:spacing w:val="-12"/>
        </w:rPr>
        <w:t> </w:t>
      </w:r>
      <w:r>
        <w:rPr/>
        <w:t>a</w:t>
      </w:r>
      <w:r>
        <w:rPr>
          <w:spacing w:val="-12"/>
        </w:rPr>
        <w:t> </w:t>
      </w:r>
      <w:r>
        <w:rPr/>
        <w:t>much</w:t>
      </w:r>
      <w:r>
        <w:rPr>
          <w:spacing w:val="-11"/>
        </w:rPr>
        <w:t> </w:t>
      </w:r>
      <w:r>
        <w:rPr/>
        <w:t>more</w:t>
      </w:r>
      <w:r>
        <w:rPr>
          <w:spacing w:val="-12"/>
        </w:rPr>
        <w:t> </w:t>
      </w:r>
      <w:r>
        <w:rPr/>
        <w:t>biologically</w:t>
      </w:r>
      <w:r>
        <w:rPr>
          <w:spacing w:val="-12"/>
        </w:rPr>
        <w:t> </w:t>
      </w:r>
      <w:r>
        <w:rPr/>
        <w:t>active</w:t>
      </w:r>
      <w:r>
        <w:rPr>
          <w:spacing w:val="-12"/>
        </w:rPr>
        <w:t> </w:t>
      </w:r>
      <w:r>
        <w:rPr/>
        <w:t>area. While</w:t>
      </w:r>
      <w:r>
        <w:rPr>
          <w:spacing w:val="-15"/>
        </w:rPr>
        <w:t> </w:t>
      </w:r>
      <w:r>
        <w:rPr/>
        <w:t>elevated</w:t>
      </w:r>
      <w:r>
        <w:rPr>
          <w:spacing w:val="-14"/>
        </w:rPr>
        <w:t> </w:t>
      </w:r>
      <w:r>
        <w:rPr/>
        <w:t>CO</w:t>
      </w:r>
      <w:r>
        <w:rPr>
          <w:position w:val="-6"/>
          <w:sz w:val="11"/>
        </w:rPr>
        <w:t>2</w:t>
      </w:r>
      <w:r>
        <w:rPr>
          <w:spacing w:val="8"/>
          <w:position w:val="-6"/>
          <w:sz w:val="11"/>
        </w:rPr>
        <w:t> </w:t>
      </w:r>
      <w:r>
        <w:rPr/>
        <w:t>concentrations</w:t>
      </w:r>
      <w:r>
        <w:rPr>
          <w:spacing w:val="-15"/>
        </w:rPr>
        <w:t> </w:t>
      </w:r>
      <w:r>
        <w:rPr/>
        <w:t>in</w:t>
      </w:r>
      <w:r>
        <w:rPr>
          <w:spacing w:val="-14"/>
        </w:rPr>
        <w:t> </w:t>
      </w:r>
      <w:r>
        <w:rPr/>
        <w:t>ambient</w:t>
      </w:r>
      <w:r>
        <w:rPr>
          <w:spacing w:val="-14"/>
        </w:rPr>
        <w:t> </w:t>
      </w:r>
      <w:r>
        <w:rPr/>
        <w:t>air</w:t>
      </w:r>
      <w:r>
        <w:rPr>
          <w:spacing w:val="-14"/>
        </w:rPr>
        <w:t> </w:t>
      </w:r>
      <w:r>
        <w:rPr/>
        <w:t>can</w:t>
      </w:r>
      <w:r>
        <w:rPr>
          <w:spacing w:val="-15"/>
        </w:rPr>
        <w:t> </w:t>
      </w:r>
      <w:r>
        <w:rPr/>
        <w:t>accelerate</w:t>
      </w:r>
    </w:p>
    <w:p>
      <w:pPr>
        <w:pStyle w:val="BodyText"/>
        <w:spacing w:line="192" w:lineRule="exact"/>
        <w:ind w:left="157"/>
        <w:jc w:val="both"/>
      </w:pPr>
      <w:r>
        <w:rPr/>
        <w:t>plant growth, such fertilization will generally be</w:t>
      </w:r>
      <w:r>
        <w:rPr>
          <w:spacing w:val="36"/>
        </w:rPr>
        <w:t> </w:t>
      </w:r>
      <w:r>
        <w:rPr/>
        <w:t>overwhelmed</w:t>
      </w:r>
    </w:p>
    <w:p>
      <w:pPr>
        <w:pStyle w:val="BodyText"/>
        <w:spacing w:line="240" w:lineRule="exact" w:before="4"/>
        <w:ind w:left="157" w:right="530"/>
        <w:jc w:val="both"/>
      </w:pPr>
      <w:r>
        <w:rPr/>
        <w:t>by</w:t>
      </w:r>
      <w:r>
        <w:rPr>
          <w:spacing w:val="-7"/>
        </w:rPr>
        <w:t> </w:t>
      </w:r>
      <w:r>
        <w:rPr/>
        <w:t>the</w:t>
      </w:r>
      <w:r>
        <w:rPr>
          <w:spacing w:val="-6"/>
        </w:rPr>
        <w:t> </w:t>
      </w:r>
      <w:r>
        <w:rPr/>
        <w:t>detrimental</w:t>
      </w:r>
      <w:r>
        <w:rPr>
          <w:spacing w:val="-6"/>
        </w:rPr>
        <w:t> </w:t>
      </w:r>
      <w:r>
        <w:rPr/>
        <w:t>effects</w:t>
      </w:r>
      <w:r>
        <w:rPr>
          <w:spacing w:val="-7"/>
        </w:rPr>
        <w:t> </w:t>
      </w:r>
      <w:r>
        <w:rPr/>
        <w:t>of</w:t>
      </w:r>
      <w:r>
        <w:rPr>
          <w:spacing w:val="-6"/>
        </w:rPr>
        <w:t> </w:t>
      </w:r>
      <w:r>
        <w:rPr/>
        <w:t>elevated</w:t>
      </w:r>
      <w:r>
        <w:rPr>
          <w:spacing w:val="-6"/>
        </w:rPr>
        <w:t> </w:t>
      </w:r>
      <w:r>
        <w:rPr/>
        <w:t>CO</w:t>
      </w:r>
      <w:r>
        <w:rPr>
          <w:position w:val="-6"/>
          <w:sz w:val="11"/>
        </w:rPr>
        <w:t>2</w:t>
      </w:r>
      <w:r>
        <w:rPr>
          <w:spacing w:val="16"/>
          <w:position w:val="-6"/>
          <w:sz w:val="11"/>
        </w:rPr>
        <w:t> </w:t>
      </w:r>
      <w:r>
        <w:rPr/>
        <w:t>in</w:t>
      </w:r>
      <w:r>
        <w:rPr>
          <w:spacing w:val="-7"/>
        </w:rPr>
        <w:t> </w:t>
      </w:r>
      <w:r>
        <w:rPr/>
        <w:t>soils,</w:t>
      </w:r>
      <w:r>
        <w:rPr>
          <w:spacing w:val="-6"/>
        </w:rPr>
        <w:t> </w:t>
      </w:r>
      <w:r>
        <w:rPr/>
        <w:t>because</w:t>
      </w:r>
      <w:r>
        <w:rPr>
          <w:spacing w:val="-6"/>
        </w:rPr>
        <w:t> </w:t>
      </w:r>
      <w:r>
        <w:rPr/>
        <w:t>CO</w:t>
      </w:r>
      <w:r>
        <w:rPr>
          <w:position w:val="-6"/>
          <w:sz w:val="11"/>
        </w:rPr>
        <w:t>2 </w:t>
      </w:r>
      <w:r>
        <w:rPr/>
        <w:t>fluxes large enough to significantly increase concentrations   in the free air will typically be associated with much higher CO</w:t>
      </w:r>
      <w:r>
        <w:rPr>
          <w:position w:val="-6"/>
          <w:sz w:val="11"/>
        </w:rPr>
        <w:t>2 </w:t>
      </w:r>
      <w:r>
        <w:rPr/>
        <w:t>concentrations in soils. The effects of elevated CO</w:t>
      </w:r>
      <w:r>
        <w:rPr>
          <w:position w:val="-6"/>
          <w:sz w:val="11"/>
        </w:rPr>
        <w:t>2 </w:t>
      </w:r>
      <w:r>
        <w:rPr/>
        <w:t>concentrations would be mediated by several factors: the type and density of vegetation; the exposure to other </w:t>
      </w:r>
      <w:r>
        <w:rPr>
          <w:spacing w:val="-2"/>
        </w:rPr>
        <w:t>environmental </w:t>
      </w:r>
      <w:r>
        <w:rPr/>
        <w:t>stresses; the prevailing environmental conditions like wind speed and rainfall; the presence of low-lying areas; and the density of nearby animal populations.</w:t>
      </w:r>
    </w:p>
    <w:p>
      <w:pPr>
        <w:pStyle w:val="BodyText"/>
        <w:spacing w:line="240" w:lineRule="exact"/>
        <w:ind w:left="157" w:right="530" w:firstLine="283"/>
        <w:jc w:val="right"/>
      </w:pPr>
      <w:r>
        <w:rPr/>
        <w:t>The</w:t>
      </w:r>
      <w:r>
        <w:rPr>
          <w:spacing w:val="31"/>
        </w:rPr>
        <w:t> </w:t>
      </w:r>
      <w:r>
        <w:rPr/>
        <w:t>main</w:t>
      </w:r>
      <w:r>
        <w:rPr>
          <w:spacing w:val="32"/>
        </w:rPr>
        <w:t> </w:t>
      </w:r>
      <w:r>
        <w:rPr/>
        <w:t>characteristic</w:t>
      </w:r>
      <w:r>
        <w:rPr>
          <w:spacing w:val="32"/>
        </w:rPr>
        <w:t> </w:t>
      </w:r>
      <w:r>
        <w:rPr/>
        <w:t>of</w:t>
      </w:r>
      <w:r>
        <w:rPr>
          <w:spacing w:val="32"/>
        </w:rPr>
        <w:t> </w:t>
      </w:r>
      <w:r>
        <w:rPr/>
        <w:t>long-term</w:t>
      </w:r>
      <w:r>
        <w:rPr>
          <w:spacing w:val="32"/>
        </w:rPr>
        <w:t> </w:t>
      </w:r>
      <w:r>
        <w:rPr/>
        <w:t>elevated</w:t>
      </w:r>
      <w:r>
        <w:rPr>
          <w:spacing w:val="31"/>
        </w:rPr>
        <w:t> </w:t>
      </w:r>
      <w:r>
        <w:rPr/>
        <w:t>CO</w:t>
      </w:r>
      <w:r>
        <w:rPr>
          <w:position w:val="-6"/>
          <w:sz w:val="11"/>
        </w:rPr>
        <w:t>2</w:t>
      </w:r>
      <w:r>
        <w:rPr>
          <w:spacing w:val="27"/>
          <w:position w:val="-6"/>
          <w:sz w:val="11"/>
        </w:rPr>
        <w:t> </w:t>
      </w:r>
      <w:r>
        <w:rPr>
          <w:spacing w:val="-3"/>
        </w:rPr>
        <w:t>zones</w:t>
      </w:r>
      <w:r>
        <w:rPr/>
        <w:t> at</w:t>
      </w:r>
      <w:r>
        <w:rPr>
          <w:spacing w:val="8"/>
        </w:rPr>
        <w:t> </w:t>
      </w:r>
      <w:r>
        <w:rPr/>
        <w:t>the</w:t>
      </w:r>
      <w:r>
        <w:rPr>
          <w:spacing w:val="9"/>
        </w:rPr>
        <w:t> </w:t>
      </w:r>
      <w:r>
        <w:rPr/>
        <w:t>surface</w:t>
      </w:r>
      <w:r>
        <w:rPr>
          <w:spacing w:val="8"/>
        </w:rPr>
        <w:t> </w:t>
      </w:r>
      <w:r>
        <w:rPr/>
        <w:t>is</w:t>
      </w:r>
      <w:r>
        <w:rPr>
          <w:spacing w:val="9"/>
        </w:rPr>
        <w:t> </w:t>
      </w:r>
      <w:r>
        <w:rPr/>
        <w:t>the</w:t>
      </w:r>
      <w:r>
        <w:rPr>
          <w:spacing w:val="8"/>
        </w:rPr>
        <w:t> </w:t>
      </w:r>
      <w:r>
        <w:rPr/>
        <w:t>lack</w:t>
      </w:r>
      <w:r>
        <w:rPr>
          <w:spacing w:val="9"/>
        </w:rPr>
        <w:t> </w:t>
      </w:r>
      <w:r>
        <w:rPr/>
        <w:t>of</w:t>
      </w:r>
      <w:r>
        <w:rPr>
          <w:spacing w:val="9"/>
        </w:rPr>
        <w:t> </w:t>
      </w:r>
      <w:r>
        <w:rPr/>
        <w:t>vegetation.</w:t>
      </w:r>
      <w:r>
        <w:rPr>
          <w:spacing w:val="8"/>
        </w:rPr>
        <w:t> </w:t>
      </w:r>
      <w:r>
        <w:rPr/>
        <w:t>New</w:t>
      </w:r>
      <w:r>
        <w:rPr>
          <w:spacing w:val="9"/>
        </w:rPr>
        <w:t> </w:t>
      </w:r>
      <w:r>
        <w:rPr/>
        <w:t>CO</w:t>
      </w:r>
      <w:r>
        <w:rPr>
          <w:position w:val="-6"/>
          <w:sz w:val="11"/>
        </w:rPr>
        <w:t>2</w:t>
      </w:r>
      <w:r>
        <w:rPr>
          <w:spacing w:val="3"/>
          <w:position w:val="-6"/>
          <w:sz w:val="11"/>
        </w:rPr>
        <w:t> </w:t>
      </w:r>
      <w:r>
        <w:rPr/>
        <w:t>releases</w:t>
      </w:r>
      <w:r>
        <w:rPr>
          <w:spacing w:val="9"/>
        </w:rPr>
        <w:t> </w:t>
      </w:r>
      <w:r>
        <w:rPr/>
        <w:t>into vegetated</w:t>
      </w:r>
      <w:r>
        <w:rPr>
          <w:spacing w:val="13"/>
        </w:rPr>
        <w:t> </w:t>
      </w:r>
      <w:r>
        <w:rPr/>
        <w:t>areas</w:t>
      </w:r>
      <w:r>
        <w:rPr>
          <w:spacing w:val="14"/>
        </w:rPr>
        <w:t> </w:t>
      </w:r>
      <w:r>
        <w:rPr/>
        <w:t>cause</w:t>
      </w:r>
      <w:r>
        <w:rPr>
          <w:spacing w:val="14"/>
        </w:rPr>
        <w:t> </w:t>
      </w:r>
      <w:r>
        <w:rPr/>
        <w:t>noticeable</w:t>
      </w:r>
      <w:r>
        <w:rPr>
          <w:spacing w:val="14"/>
        </w:rPr>
        <w:t> </w:t>
      </w:r>
      <w:r>
        <w:rPr/>
        <w:t>die-off.</w:t>
      </w:r>
      <w:r>
        <w:rPr>
          <w:spacing w:val="14"/>
        </w:rPr>
        <w:t> </w:t>
      </w:r>
      <w:r>
        <w:rPr/>
        <w:t>In</w:t>
      </w:r>
      <w:r>
        <w:rPr>
          <w:spacing w:val="14"/>
        </w:rPr>
        <w:t> </w:t>
      </w:r>
      <w:r>
        <w:rPr/>
        <w:t>those</w:t>
      </w:r>
      <w:r>
        <w:rPr>
          <w:spacing w:val="14"/>
        </w:rPr>
        <w:t> </w:t>
      </w:r>
      <w:r>
        <w:rPr/>
        <w:t>areas</w:t>
      </w:r>
      <w:r>
        <w:rPr>
          <w:spacing w:val="14"/>
        </w:rPr>
        <w:t> </w:t>
      </w:r>
      <w:r>
        <w:rPr/>
        <w:t>where</w:t>
      </w:r>
      <w:r>
        <w:rPr>
          <w:spacing w:val="-1"/>
        </w:rPr>
        <w:t> </w:t>
      </w:r>
      <w:r>
        <w:rPr/>
        <w:t>significant impacts to vegetation have occurred, CO</w:t>
      </w:r>
      <w:r>
        <w:rPr>
          <w:position w:val="-6"/>
          <w:sz w:val="11"/>
        </w:rPr>
        <w:t>2</w:t>
      </w:r>
      <w:r>
        <w:rPr>
          <w:spacing w:val="27"/>
          <w:position w:val="-6"/>
          <w:sz w:val="11"/>
        </w:rPr>
        <w:t> </w:t>
      </w:r>
      <w:r>
        <w:rPr/>
        <w:t>makes up about 20–95% of the soil gas, whereas normal soil</w:t>
      </w:r>
      <w:r>
        <w:rPr>
          <w:spacing w:val="40"/>
        </w:rPr>
        <w:t> </w:t>
      </w:r>
      <w:r>
        <w:rPr/>
        <w:t>gas</w:t>
      </w:r>
      <w:r>
        <w:rPr>
          <w:spacing w:val="5"/>
        </w:rPr>
        <w:t> </w:t>
      </w:r>
      <w:r>
        <w:rPr/>
        <w:t>usually contains about 0.2–4% CO</w:t>
      </w:r>
      <w:r>
        <w:rPr>
          <w:position w:val="-6"/>
          <w:sz w:val="11"/>
        </w:rPr>
        <w:t>2</w:t>
      </w:r>
      <w:r>
        <w:rPr/>
        <w:t>. Carbon</w:t>
      </w:r>
      <w:r>
        <w:rPr>
          <w:spacing w:val="18"/>
        </w:rPr>
        <w:t> </w:t>
      </w:r>
      <w:r>
        <w:rPr/>
        <w:t>dioxide</w:t>
      </w:r>
      <w:r>
        <w:rPr>
          <w:spacing w:val="43"/>
        </w:rPr>
        <w:t> </w:t>
      </w:r>
      <w:r>
        <w:rPr/>
        <w:t>concentrations above</w:t>
      </w:r>
      <w:r>
        <w:rPr>
          <w:spacing w:val="-12"/>
        </w:rPr>
        <w:t> </w:t>
      </w:r>
      <w:r>
        <w:rPr/>
        <w:t>5%</w:t>
      </w:r>
      <w:r>
        <w:rPr>
          <w:spacing w:val="-12"/>
        </w:rPr>
        <w:t> </w:t>
      </w:r>
      <w:r>
        <w:rPr/>
        <w:t>may</w:t>
      </w:r>
      <w:r>
        <w:rPr>
          <w:spacing w:val="-12"/>
        </w:rPr>
        <w:t> </w:t>
      </w:r>
      <w:r>
        <w:rPr/>
        <w:t>be</w:t>
      </w:r>
      <w:r>
        <w:rPr>
          <w:spacing w:val="-11"/>
        </w:rPr>
        <w:t> </w:t>
      </w:r>
      <w:r>
        <w:rPr/>
        <w:t>dangerous</w:t>
      </w:r>
      <w:r>
        <w:rPr>
          <w:spacing w:val="-12"/>
        </w:rPr>
        <w:t> </w:t>
      </w:r>
      <w:r>
        <w:rPr/>
        <w:t>for</w:t>
      </w:r>
      <w:r>
        <w:rPr>
          <w:spacing w:val="-12"/>
        </w:rPr>
        <w:t> </w:t>
      </w:r>
      <w:r>
        <w:rPr/>
        <w:t>vegetation</w:t>
      </w:r>
      <w:r>
        <w:rPr>
          <w:spacing w:val="-13"/>
        </w:rPr>
        <w:t> </w:t>
      </w:r>
      <w:r>
        <w:rPr/>
        <w:t>and</w:t>
      </w:r>
      <w:r>
        <w:rPr>
          <w:spacing w:val="-11"/>
        </w:rPr>
        <w:t> </w:t>
      </w:r>
      <w:r>
        <w:rPr/>
        <w:t>as</w:t>
      </w:r>
      <w:r>
        <w:rPr>
          <w:spacing w:val="-12"/>
        </w:rPr>
        <w:t> </w:t>
      </w:r>
      <w:r>
        <w:rPr>
          <w:spacing w:val="-2"/>
        </w:rPr>
        <w:t>concentration</w:t>
      </w:r>
      <w:r>
        <w:rPr/>
        <w:t> approach 20%, CO</w:t>
      </w:r>
      <w:r>
        <w:rPr>
          <w:position w:val="-6"/>
          <w:sz w:val="11"/>
        </w:rPr>
        <w:t>2 </w:t>
      </w:r>
      <w:r>
        <w:rPr/>
        <w:t>becomes phytotoxic. Carbon</w:t>
      </w:r>
      <w:r>
        <w:rPr>
          <w:spacing w:val="33"/>
        </w:rPr>
        <w:t> </w:t>
      </w:r>
      <w:r>
        <w:rPr/>
        <w:t>dioxide</w:t>
      </w:r>
      <w:r>
        <w:rPr>
          <w:spacing w:val="19"/>
        </w:rPr>
        <w:t> </w:t>
      </w:r>
      <w:r>
        <w:rPr>
          <w:spacing w:val="-4"/>
        </w:rPr>
        <w:t>can</w:t>
      </w:r>
      <w:r>
        <w:rPr/>
        <w:t> cause</w:t>
      </w:r>
      <w:r>
        <w:rPr>
          <w:spacing w:val="10"/>
        </w:rPr>
        <w:t> </w:t>
      </w:r>
      <w:r>
        <w:rPr/>
        <w:t>death</w:t>
      </w:r>
      <w:r>
        <w:rPr>
          <w:spacing w:val="11"/>
        </w:rPr>
        <w:t> </w:t>
      </w:r>
      <w:r>
        <w:rPr/>
        <w:t>of</w:t>
      </w:r>
      <w:r>
        <w:rPr>
          <w:spacing w:val="11"/>
        </w:rPr>
        <w:t> </w:t>
      </w:r>
      <w:r>
        <w:rPr/>
        <w:t>plants</w:t>
      </w:r>
      <w:r>
        <w:rPr>
          <w:spacing w:val="10"/>
        </w:rPr>
        <w:t> </w:t>
      </w:r>
      <w:r>
        <w:rPr/>
        <w:t>through</w:t>
      </w:r>
      <w:r>
        <w:rPr>
          <w:spacing w:val="11"/>
        </w:rPr>
        <w:t> </w:t>
      </w:r>
      <w:r>
        <w:rPr/>
        <w:t>‘root</w:t>
      </w:r>
      <w:r>
        <w:rPr>
          <w:spacing w:val="11"/>
        </w:rPr>
        <w:t> </w:t>
      </w:r>
      <w:r>
        <w:rPr/>
        <w:t>anoxia’,</w:t>
      </w:r>
      <w:r>
        <w:rPr>
          <w:spacing w:val="11"/>
        </w:rPr>
        <w:t> </w:t>
      </w:r>
      <w:r>
        <w:rPr/>
        <w:t>together</w:t>
      </w:r>
      <w:r>
        <w:rPr>
          <w:spacing w:val="10"/>
        </w:rPr>
        <w:t> </w:t>
      </w:r>
      <w:r>
        <w:rPr/>
        <w:t>with</w:t>
      </w:r>
      <w:r>
        <w:rPr>
          <w:spacing w:val="10"/>
        </w:rPr>
        <w:t> </w:t>
      </w:r>
      <w:r>
        <w:rPr>
          <w:spacing w:val="-4"/>
        </w:rPr>
        <w:t>low</w:t>
      </w:r>
      <w:r>
        <w:rPr/>
        <w:t> oxygen concentration (Leone </w:t>
      </w:r>
      <w:r>
        <w:rPr>
          <w:i/>
        </w:rPr>
        <w:t>et al.</w:t>
      </w:r>
      <w:r>
        <w:rPr/>
        <w:t>, 1977; Flower </w:t>
      </w:r>
      <w:r>
        <w:rPr>
          <w:i/>
        </w:rPr>
        <w:t>et</w:t>
      </w:r>
      <w:r>
        <w:rPr>
          <w:i/>
          <w:spacing w:val="-8"/>
        </w:rPr>
        <w:t> </w:t>
      </w:r>
      <w:r>
        <w:rPr>
          <w:i/>
        </w:rPr>
        <w:t>al.</w:t>
      </w:r>
      <w:r>
        <w:rPr/>
        <w:t>, 1981). One example of plant die-off occurred</w:t>
      </w:r>
      <w:r>
        <w:rPr>
          <w:spacing w:val="10"/>
        </w:rPr>
        <w:t> </w:t>
      </w:r>
      <w:r>
        <w:rPr/>
        <w:t>at</w:t>
      </w:r>
      <w:r>
        <w:rPr>
          <w:spacing w:val="36"/>
        </w:rPr>
        <w:t> </w:t>
      </w:r>
      <w:r>
        <w:rPr/>
        <w:t>Mammoth</w:t>
      </w:r>
      <w:r>
        <w:rPr>
          <w:spacing w:val="-1"/>
        </w:rPr>
        <w:t> </w:t>
      </w:r>
      <w:r>
        <w:rPr/>
        <w:t>Mountain,</w:t>
      </w:r>
      <w:r>
        <w:rPr>
          <w:spacing w:val="35"/>
        </w:rPr>
        <w:t> </w:t>
      </w:r>
      <w:r>
        <w:rPr/>
        <w:t>California,</w:t>
      </w:r>
      <w:r>
        <w:rPr>
          <w:spacing w:val="35"/>
        </w:rPr>
        <w:t> </w:t>
      </w:r>
      <w:r>
        <w:rPr/>
        <w:t>USA,</w:t>
      </w:r>
      <w:r>
        <w:rPr>
          <w:spacing w:val="35"/>
        </w:rPr>
        <w:t> </w:t>
      </w:r>
      <w:r>
        <w:rPr/>
        <w:t>where</w:t>
      </w:r>
      <w:r>
        <w:rPr>
          <w:spacing w:val="36"/>
        </w:rPr>
        <w:t> </w:t>
      </w:r>
      <w:r>
        <w:rPr/>
        <w:t>a</w:t>
      </w:r>
      <w:r>
        <w:rPr>
          <w:spacing w:val="35"/>
        </w:rPr>
        <w:t> </w:t>
      </w:r>
      <w:r>
        <w:rPr/>
        <w:t>resurgence</w:t>
      </w:r>
      <w:r>
        <w:rPr>
          <w:spacing w:val="35"/>
        </w:rPr>
        <w:t> </w:t>
      </w:r>
      <w:r>
        <w:rPr/>
        <w:t>of</w:t>
      </w:r>
      <w:r>
        <w:rPr>
          <w:spacing w:val="36"/>
        </w:rPr>
        <w:t> </w:t>
      </w:r>
      <w:r>
        <w:rPr/>
        <w:t>volcanic activity</w:t>
      </w:r>
      <w:r>
        <w:rPr>
          <w:spacing w:val="8"/>
        </w:rPr>
        <w:t> </w:t>
      </w:r>
      <w:r>
        <w:rPr/>
        <w:t>resulted</w:t>
      </w:r>
      <w:r>
        <w:rPr>
          <w:spacing w:val="9"/>
        </w:rPr>
        <w:t> </w:t>
      </w:r>
      <w:r>
        <w:rPr/>
        <w:t>in</w:t>
      </w:r>
      <w:r>
        <w:rPr>
          <w:spacing w:val="9"/>
        </w:rPr>
        <w:t> </w:t>
      </w:r>
      <w:r>
        <w:rPr/>
        <w:t>high</w:t>
      </w:r>
      <w:r>
        <w:rPr>
          <w:spacing w:val="9"/>
        </w:rPr>
        <w:t> </w:t>
      </w:r>
      <w:r>
        <w:rPr/>
        <w:t>CO</w:t>
      </w:r>
      <w:r>
        <w:rPr>
          <w:position w:val="-6"/>
          <w:sz w:val="11"/>
        </w:rPr>
        <w:t>2</w:t>
      </w:r>
      <w:r>
        <w:rPr>
          <w:spacing w:val="3"/>
          <w:position w:val="-6"/>
          <w:sz w:val="11"/>
        </w:rPr>
        <w:t> </w:t>
      </w:r>
      <w:r>
        <w:rPr/>
        <w:t>fluxes.</w:t>
      </w:r>
      <w:r>
        <w:rPr>
          <w:spacing w:val="9"/>
        </w:rPr>
        <w:t> </w:t>
      </w:r>
      <w:r>
        <w:rPr/>
        <w:t>In</w:t>
      </w:r>
      <w:r>
        <w:rPr>
          <w:spacing w:val="9"/>
        </w:rPr>
        <w:t> </w:t>
      </w:r>
      <w:r>
        <w:rPr/>
        <w:t>1989,</w:t>
      </w:r>
      <w:r>
        <w:rPr>
          <w:spacing w:val="9"/>
        </w:rPr>
        <w:t> </w:t>
      </w:r>
      <w:r>
        <w:rPr/>
        <w:t>a</w:t>
      </w:r>
      <w:r>
        <w:rPr>
          <w:spacing w:val="8"/>
        </w:rPr>
        <w:t> </w:t>
      </w:r>
      <w:r>
        <w:rPr/>
        <w:t>series</w:t>
      </w:r>
      <w:r>
        <w:rPr>
          <w:spacing w:val="9"/>
        </w:rPr>
        <w:t> </w:t>
      </w:r>
      <w:r>
        <w:rPr/>
        <w:t>of</w:t>
      </w:r>
      <w:r>
        <w:rPr>
          <w:spacing w:val="9"/>
        </w:rPr>
        <w:t> </w:t>
      </w:r>
      <w:r>
        <w:rPr/>
        <w:t>small</w:t>
      </w:r>
      <w:r>
        <w:rPr>
          <w:spacing w:val="-1"/>
        </w:rPr>
        <w:t> </w:t>
      </w:r>
      <w:r>
        <w:rPr/>
        <w:t>earthquakes occurred near Mammoth Mountain. A year</w:t>
      </w:r>
      <w:r>
        <w:rPr>
          <w:spacing w:val="-28"/>
        </w:rPr>
        <w:t> </w:t>
      </w:r>
      <w:r>
        <w:rPr/>
        <w:t>later, 4 ha of pine trees were discovered to be losing their</w:t>
      </w:r>
      <w:r>
        <w:rPr>
          <w:spacing w:val="7"/>
        </w:rPr>
        <w:t> </w:t>
      </w:r>
      <w:r>
        <w:rPr/>
        <w:t>needles</w:t>
      </w:r>
      <w:r>
        <w:rPr>
          <w:spacing w:val="6"/>
        </w:rPr>
        <w:t> </w:t>
      </w:r>
      <w:r>
        <w:rPr/>
        <w:t>and by</w:t>
      </w:r>
      <w:r>
        <w:rPr>
          <w:spacing w:val="11"/>
        </w:rPr>
        <w:t> </w:t>
      </w:r>
      <w:r>
        <w:rPr/>
        <w:t>1997,</w:t>
      </w:r>
      <w:r>
        <w:rPr>
          <w:spacing w:val="11"/>
        </w:rPr>
        <w:t> </w:t>
      </w:r>
      <w:r>
        <w:rPr/>
        <w:t>the</w:t>
      </w:r>
      <w:r>
        <w:rPr>
          <w:spacing w:val="11"/>
        </w:rPr>
        <w:t> </w:t>
      </w:r>
      <w:r>
        <w:rPr/>
        <w:t>area</w:t>
      </w:r>
      <w:r>
        <w:rPr>
          <w:spacing w:val="11"/>
        </w:rPr>
        <w:t> </w:t>
      </w:r>
      <w:r>
        <w:rPr/>
        <w:t>of</w:t>
      </w:r>
      <w:r>
        <w:rPr>
          <w:spacing w:val="11"/>
        </w:rPr>
        <w:t> </w:t>
      </w:r>
      <w:r>
        <w:rPr/>
        <w:t>dead</w:t>
      </w:r>
      <w:r>
        <w:rPr>
          <w:spacing w:val="11"/>
        </w:rPr>
        <w:t> </w:t>
      </w:r>
      <w:r>
        <w:rPr/>
        <w:t>and</w:t>
      </w:r>
      <w:r>
        <w:rPr>
          <w:spacing w:val="11"/>
        </w:rPr>
        <w:t> </w:t>
      </w:r>
      <w:r>
        <w:rPr/>
        <w:t>dying</w:t>
      </w:r>
      <w:r>
        <w:rPr>
          <w:spacing w:val="11"/>
        </w:rPr>
        <w:t> </w:t>
      </w:r>
      <w:r>
        <w:rPr/>
        <w:t>trees</w:t>
      </w:r>
      <w:r>
        <w:rPr>
          <w:spacing w:val="11"/>
        </w:rPr>
        <w:t> </w:t>
      </w:r>
      <w:r>
        <w:rPr/>
        <w:t>had</w:t>
      </w:r>
      <w:r>
        <w:rPr>
          <w:spacing w:val="11"/>
        </w:rPr>
        <w:t> </w:t>
      </w:r>
      <w:r>
        <w:rPr/>
        <w:t>expanded</w:t>
      </w:r>
      <w:r>
        <w:rPr>
          <w:spacing w:val="11"/>
        </w:rPr>
        <w:t> </w:t>
      </w:r>
      <w:r>
        <w:rPr/>
        <w:t>to</w:t>
      </w:r>
      <w:r>
        <w:rPr>
          <w:spacing w:val="11"/>
        </w:rPr>
        <w:t> </w:t>
      </w:r>
      <w:r>
        <w:rPr/>
        <w:t>40 ha (Farrar </w:t>
      </w:r>
      <w:r>
        <w:rPr>
          <w:i/>
        </w:rPr>
        <w:t>et al.</w:t>
      </w:r>
      <w:r>
        <w:rPr/>
        <w:t>, 1999). Soil CO</w:t>
      </w:r>
      <w:r>
        <w:rPr>
          <w:position w:val="-6"/>
          <w:sz w:val="11"/>
        </w:rPr>
        <w:t>2 </w:t>
      </w:r>
      <w:r>
        <w:rPr/>
        <w:t>levels above</w:t>
      </w:r>
      <w:r>
        <w:rPr>
          <w:spacing w:val="15"/>
        </w:rPr>
        <w:t> </w:t>
      </w:r>
      <w:r>
        <w:rPr/>
        <w:t>10–20%</w:t>
      </w:r>
      <w:r>
        <w:rPr>
          <w:spacing w:val="8"/>
        </w:rPr>
        <w:t> </w:t>
      </w:r>
      <w:r>
        <w:rPr/>
        <w:t>inhibit root development and decrease water and nutrient</w:t>
      </w:r>
      <w:r>
        <w:rPr>
          <w:spacing w:val="6"/>
        </w:rPr>
        <w:t> </w:t>
      </w:r>
      <w:r>
        <w:rPr/>
        <w:t>uptake;</w:t>
      </w:r>
      <w:r>
        <w:rPr>
          <w:spacing w:val="8"/>
        </w:rPr>
        <w:t> </w:t>
      </w:r>
      <w:r>
        <w:rPr/>
        <w:t>soil</w:t>
      </w:r>
      <w:r>
        <w:rPr>
          <w:spacing w:val="-1"/>
        </w:rPr>
        <w:t> </w:t>
      </w:r>
      <w:r>
        <w:rPr/>
        <w:t>oil-gas testing at Mammoth Mountain in 1994</w:t>
      </w:r>
      <w:r>
        <w:rPr>
          <w:spacing w:val="19"/>
        </w:rPr>
        <w:t> </w:t>
      </w:r>
      <w:r>
        <w:rPr/>
        <w:t>discovered</w:t>
      </w:r>
      <w:r>
        <w:rPr>
          <w:spacing w:val="10"/>
        </w:rPr>
        <w:t> </w:t>
      </w:r>
      <w:r>
        <w:rPr/>
        <w:t>soil</w:t>
      </w:r>
      <w:r>
        <w:rPr>
          <w:spacing w:val="-1"/>
        </w:rPr>
        <w:t> </w:t>
      </w:r>
      <w:r>
        <w:rPr/>
        <w:t>gas readings of up to 95% CO</w:t>
      </w:r>
      <w:r>
        <w:rPr>
          <w:position w:val="-6"/>
          <w:sz w:val="11"/>
        </w:rPr>
        <w:t>2 </w:t>
      </w:r>
      <w:r>
        <w:rPr/>
        <w:t>by volume. </w:t>
      </w:r>
      <w:r>
        <w:rPr>
          <w:spacing w:val="-3"/>
        </w:rPr>
        <w:t>Total </w:t>
      </w:r>
      <w:r>
        <w:rPr/>
        <w:t>CO</w:t>
      </w:r>
      <w:r>
        <w:rPr>
          <w:position w:val="-6"/>
          <w:sz w:val="11"/>
        </w:rPr>
        <w:t>2 </w:t>
      </w:r>
      <w:r>
        <w:rPr/>
        <w:t>flux</w:t>
      </w:r>
      <w:r>
        <w:rPr>
          <w:spacing w:val="-37"/>
        </w:rPr>
        <w:t> </w:t>
      </w:r>
      <w:r>
        <w:rPr/>
        <w:t>in</w:t>
      </w:r>
      <w:r>
        <w:rPr>
          <w:spacing w:val="-7"/>
        </w:rPr>
        <w:t> </w:t>
      </w:r>
      <w:r>
        <w:rPr/>
        <w:t>the affected</w:t>
      </w:r>
      <w:r>
        <w:rPr>
          <w:spacing w:val="-20"/>
        </w:rPr>
        <w:t> </w:t>
      </w:r>
      <w:r>
        <w:rPr/>
        <w:t>areas</w:t>
      </w:r>
      <w:r>
        <w:rPr>
          <w:spacing w:val="-19"/>
        </w:rPr>
        <w:t> </w:t>
      </w:r>
      <w:r>
        <w:rPr/>
        <w:t>averaged</w:t>
      </w:r>
      <w:r>
        <w:rPr>
          <w:spacing w:val="-19"/>
        </w:rPr>
        <w:t> </w:t>
      </w:r>
      <w:r>
        <w:rPr/>
        <w:t>about</w:t>
      </w:r>
      <w:r>
        <w:rPr>
          <w:spacing w:val="-19"/>
        </w:rPr>
        <w:t> </w:t>
      </w:r>
      <w:r>
        <w:rPr/>
        <w:t>530</w:t>
      </w:r>
      <w:r>
        <w:rPr>
          <w:spacing w:val="-19"/>
        </w:rPr>
        <w:t> </w:t>
      </w:r>
      <w:r>
        <w:rPr/>
        <w:t>t</w:t>
      </w:r>
      <w:r>
        <w:rPr>
          <w:spacing w:val="-19"/>
        </w:rPr>
        <w:t> </w:t>
      </w:r>
      <w:r>
        <w:rPr/>
        <w:t>day</w:t>
      </w:r>
      <w:r>
        <w:rPr>
          <w:position w:val="7"/>
          <w:sz w:val="11"/>
        </w:rPr>
        <w:t>–1</w:t>
      </w:r>
      <w:r>
        <w:rPr>
          <w:spacing w:val="3"/>
          <w:position w:val="7"/>
          <w:sz w:val="11"/>
        </w:rPr>
        <w:t> </w:t>
      </w:r>
      <w:r>
        <w:rPr/>
        <w:t>in</w:t>
      </w:r>
      <w:r>
        <w:rPr>
          <w:spacing w:val="-19"/>
        </w:rPr>
        <w:t> </w:t>
      </w:r>
      <w:r>
        <w:rPr/>
        <w:t>1996.</w:t>
      </w:r>
      <w:r>
        <w:rPr>
          <w:spacing w:val="-19"/>
        </w:rPr>
        <w:t> </w:t>
      </w:r>
      <w:r>
        <w:rPr/>
        <w:t>Measurements</w:t>
      </w:r>
      <w:r>
        <w:rPr>
          <w:spacing w:val="-1"/>
        </w:rPr>
        <w:t> </w:t>
      </w:r>
      <w:r>
        <w:rPr/>
        <w:t>in</w:t>
      </w:r>
      <w:r>
        <w:rPr>
          <w:spacing w:val="12"/>
        </w:rPr>
        <w:t> </w:t>
      </w:r>
      <w:r>
        <w:rPr/>
        <w:t>2001</w:t>
      </w:r>
      <w:r>
        <w:rPr>
          <w:spacing w:val="12"/>
        </w:rPr>
        <w:t> </w:t>
      </w:r>
      <w:r>
        <w:rPr/>
        <w:t>showed</w:t>
      </w:r>
      <w:r>
        <w:rPr>
          <w:spacing w:val="12"/>
        </w:rPr>
        <w:t> </w:t>
      </w:r>
      <w:r>
        <w:rPr/>
        <w:t>soil</w:t>
      </w:r>
      <w:r>
        <w:rPr>
          <w:spacing w:val="12"/>
        </w:rPr>
        <w:t> </w:t>
      </w:r>
      <w:r>
        <w:rPr/>
        <w:t>CO</w:t>
      </w:r>
      <w:r>
        <w:rPr>
          <w:position w:val="-6"/>
          <w:sz w:val="11"/>
        </w:rPr>
        <w:t>2</w:t>
      </w:r>
      <w:r>
        <w:rPr>
          <w:spacing w:val="7"/>
          <w:position w:val="-6"/>
          <w:sz w:val="11"/>
        </w:rPr>
        <w:t> </w:t>
      </w:r>
      <w:r>
        <w:rPr/>
        <w:t>levels</w:t>
      </w:r>
      <w:r>
        <w:rPr>
          <w:spacing w:val="12"/>
        </w:rPr>
        <w:t> </w:t>
      </w:r>
      <w:r>
        <w:rPr/>
        <w:t>of</w:t>
      </w:r>
      <w:r>
        <w:rPr>
          <w:spacing w:val="12"/>
        </w:rPr>
        <w:t> </w:t>
      </w:r>
      <w:r>
        <w:rPr/>
        <w:t>15–90%,</w:t>
      </w:r>
      <w:r>
        <w:rPr>
          <w:spacing w:val="12"/>
        </w:rPr>
        <w:t> </w:t>
      </w:r>
      <w:r>
        <w:rPr/>
        <w:t>with</w:t>
      </w:r>
      <w:r>
        <w:rPr>
          <w:spacing w:val="12"/>
        </w:rPr>
        <w:t> </w:t>
      </w:r>
      <w:r>
        <w:rPr/>
        <w:t>flux</w:t>
      </w:r>
      <w:r>
        <w:rPr>
          <w:spacing w:val="12"/>
        </w:rPr>
        <w:t> </w:t>
      </w:r>
      <w:r>
        <w:rPr/>
        <w:t>rates</w:t>
      </w:r>
      <w:r>
        <w:rPr>
          <w:spacing w:val="12"/>
        </w:rPr>
        <w:t> </w:t>
      </w:r>
      <w:r>
        <w:rPr/>
        <w:t>at the</w:t>
      </w:r>
      <w:r>
        <w:rPr>
          <w:spacing w:val="22"/>
        </w:rPr>
        <w:t> </w:t>
      </w:r>
      <w:r>
        <w:rPr/>
        <w:t>largest</w:t>
      </w:r>
      <w:r>
        <w:rPr>
          <w:spacing w:val="22"/>
        </w:rPr>
        <w:t> </w:t>
      </w:r>
      <w:r>
        <w:rPr/>
        <w:t>affected</w:t>
      </w:r>
      <w:r>
        <w:rPr>
          <w:spacing w:val="23"/>
        </w:rPr>
        <w:t> </w:t>
      </w:r>
      <w:r>
        <w:rPr/>
        <w:t>area</w:t>
      </w:r>
      <w:r>
        <w:rPr>
          <w:spacing w:val="22"/>
        </w:rPr>
        <w:t> </w:t>
      </w:r>
      <w:r>
        <w:rPr/>
        <w:t>(Horseshoe</w:t>
      </w:r>
      <w:r>
        <w:rPr>
          <w:spacing w:val="23"/>
        </w:rPr>
        <w:t> </w:t>
      </w:r>
      <w:r>
        <w:rPr/>
        <w:t>Lake)</w:t>
      </w:r>
      <w:r>
        <w:rPr>
          <w:spacing w:val="22"/>
        </w:rPr>
        <w:t> </w:t>
      </w:r>
      <w:r>
        <w:rPr/>
        <w:t>averaging</w:t>
      </w:r>
      <w:r>
        <w:rPr>
          <w:spacing w:val="22"/>
        </w:rPr>
        <w:t> </w:t>
      </w:r>
      <w:r>
        <w:rPr/>
        <w:t>90–100</w:t>
      </w:r>
    </w:p>
    <w:p>
      <w:pPr>
        <w:spacing w:after="0" w:line="240" w:lineRule="exact"/>
        <w:jc w:val="right"/>
        <w:sectPr>
          <w:type w:val="continuous"/>
          <w:pgSz w:w="12240" w:h="15840"/>
          <w:pgMar w:top="400" w:bottom="280" w:left="580" w:right="600"/>
          <w:cols w:num="2" w:equalWidth="0">
            <w:col w:w="5242" w:space="84"/>
            <w:col w:w="5734"/>
          </w:cols>
        </w:sectPr>
      </w:pPr>
    </w:p>
    <w:p>
      <w:pPr>
        <w:pStyle w:val="BodyText"/>
        <w:spacing w:before="3"/>
        <w:ind w:left="157"/>
      </w:pPr>
      <w:r>
        <w:rPr/>
        <w:t>very low metabolic rates (D’Hondt </w:t>
      </w:r>
      <w:r>
        <w:rPr>
          <w:i/>
        </w:rPr>
        <w:t>et al.</w:t>
      </w:r>
      <w:r>
        <w:rPr/>
        <w:t>, 2002). Recent studies</w:t>
      </w:r>
    </w:p>
    <w:p>
      <w:pPr>
        <w:spacing w:line="277" w:lineRule="exact" w:before="3"/>
        <w:ind w:left="157" w:right="0" w:firstLine="0"/>
        <w:jc w:val="left"/>
        <w:rPr>
          <w:sz w:val="11"/>
        </w:rPr>
      </w:pPr>
      <w:r>
        <w:rPr/>
        <w:br w:type="column"/>
      </w:r>
      <w:r>
        <w:rPr>
          <w:sz w:val="20"/>
        </w:rPr>
        <w:t>tCO</w:t>
      </w:r>
      <w:r>
        <w:rPr>
          <w:position w:val="-6"/>
          <w:sz w:val="11"/>
        </w:rPr>
        <w:t>2</w:t>
      </w:r>
    </w:p>
    <w:p>
      <w:pPr>
        <w:spacing w:before="3"/>
        <w:ind w:left="7" w:right="0" w:firstLine="0"/>
        <w:jc w:val="left"/>
        <w:rPr>
          <w:sz w:val="20"/>
        </w:rPr>
      </w:pPr>
      <w:r>
        <w:rPr/>
        <w:br w:type="column"/>
      </w:r>
      <w:r>
        <w:rPr>
          <w:sz w:val="20"/>
        </w:rPr>
        <w:t>day</w:t>
      </w:r>
      <w:r>
        <w:rPr>
          <w:position w:val="7"/>
          <w:sz w:val="11"/>
        </w:rPr>
        <w:t>–1 </w:t>
      </w:r>
      <w:r>
        <w:rPr>
          <w:sz w:val="20"/>
        </w:rPr>
        <w:t>(Gerlach </w:t>
      </w:r>
      <w:r>
        <w:rPr>
          <w:i/>
          <w:sz w:val="20"/>
        </w:rPr>
        <w:t>et al.</w:t>
      </w:r>
      <w:r>
        <w:rPr>
          <w:sz w:val="20"/>
        </w:rPr>
        <w:t>, 1999; Rogie </w:t>
      </w:r>
      <w:r>
        <w:rPr>
          <w:i/>
          <w:sz w:val="20"/>
        </w:rPr>
        <w:t>et al.</w:t>
      </w:r>
      <w:r>
        <w:rPr>
          <w:sz w:val="20"/>
        </w:rPr>
        <w:t>, 2001). A study of</w:t>
      </w:r>
    </w:p>
    <w:p>
      <w:pPr>
        <w:spacing w:after="0"/>
        <w:jc w:val="left"/>
        <w:rPr>
          <w:sz w:val="20"/>
        </w:rPr>
        <w:sectPr>
          <w:type w:val="continuous"/>
          <w:pgSz w:w="12240" w:h="15840"/>
          <w:pgMar w:top="400" w:bottom="280" w:left="580" w:right="600"/>
          <w:cols w:num="3" w:equalWidth="0">
            <w:col w:w="5240" w:space="87"/>
            <w:col w:w="549" w:space="39"/>
            <w:col w:w="5145"/>
          </w:cols>
        </w:sectPr>
      </w:pPr>
    </w:p>
    <w:p>
      <w:pPr>
        <w:pStyle w:val="BodyText"/>
        <w:spacing w:line="193" w:lineRule="exact"/>
        <w:ind w:left="157"/>
        <w:jc w:val="both"/>
      </w:pPr>
      <w:r>
        <w:rPr/>
        <w:t>have</w:t>
      </w:r>
      <w:r>
        <w:rPr>
          <w:spacing w:val="-13"/>
        </w:rPr>
        <w:t> </w:t>
      </w:r>
      <w:r>
        <w:rPr/>
        <w:t>described</w:t>
      </w:r>
      <w:r>
        <w:rPr>
          <w:spacing w:val="-13"/>
        </w:rPr>
        <w:t> </w:t>
      </w:r>
      <w:r>
        <w:rPr/>
        <w:t>populations</w:t>
      </w:r>
      <w:r>
        <w:rPr>
          <w:spacing w:val="-12"/>
        </w:rPr>
        <w:t> </w:t>
      </w:r>
      <w:r>
        <w:rPr/>
        <w:t>in</w:t>
      </w:r>
      <w:r>
        <w:rPr>
          <w:spacing w:val="-13"/>
        </w:rPr>
        <w:t> </w:t>
      </w:r>
      <w:r>
        <w:rPr/>
        <w:t>deep</w:t>
      </w:r>
      <w:r>
        <w:rPr>
          <w:spacing w:val="-13"/>
        </w:rPr>
        <w:t> </w:t>
      </w:r>
      <w:r>
        <w:rPr/>
        <w:t>saline</w:t>
      </w:r>
      <w:r>
        <w:rPr>
          <w:spacing w:val="-13"/>
        </w:rPr>
        <w:t> </w:t>
      </w:r>
      <w:r>
        <w:rPr/>
        <w:t>formations</w:t>
      </w:r>
      <w:r>
        <w:rPr>
          <w:spacing w:val="-13"/>
        </w:rPr>
        <w:t> </w:t>
      </w:r>
      <w:r>
        <w:rPr/>
        <w:t>(Haveman</w:t>
      </w:r>
    </w:p>
    <w:p>
      <w:pPr>
        <w:pStyle w:val="BodyText"/>
        <w:spacing w:line="240" w:lineRule="exact" w:before="4"/>
        <w:ind w:left="157" w:right="38"/>
        <w:jc w:val="both"/>
      </w:pPr>
      <w:r>
        <w:rPr/>
        <w:t>and</w:t>
      </w:r>
      <w:r>
        <w:rPr>
          <w:spacing w:val="-14"/>
        </w:rPr>
        <w:t> </w:t>
      </w:r>
      <w:r>
        <w:rPr/>
        <w:t>Pedersen,</w:t>
      </w:r>
      <w:r>
        <w:rPr>
          <w:spacing w:val="-14"/>
        </w:rPr>
        <w:t> </w:t>
      </w:r>
      <w:r>
        <w:rPr/>
        <w:t>2001),</w:t>
      </w:r>
      <w:r>
        <w:rPr>
          <w:spacing w:val="-14"/>
        </w:rPr>
        <w:t> </w:t>
      </w:r>
      <w:r>
        <w:rPr/>
        <w:t>oil</w:t>
      </w:r>
      <w:r>
        <w:rPr>
          <w:spacing w:val="-14"/>
        </w:rPr>
        <w:t> </w:t>
      </w:r>
      <w:r>
        <w:rPr/>
        <w:t>and</w:t>
      </w:r>
      <w:r>
        <w:rPr>
          <w:spacing w:val="-13"/>
        </w:rPr>
        <w:t> </w:t>
      </w:r>
      <w:r>
        <w:rPr/>
        <w:t>gas</w:t>
      </w:r>
      <w:r>
        <w:rPr>
          <w:spacing w:val="-14"/>
        </w:rPr>
        <w:t> </w:t>
      </w:r>
      <w:r>
        <w:rPr/>
        <w:t>reservoirs</w:t>
      </w:r>
      <w:r>
        <w:rPr>
          <w:spacing w:val="-14"/>
        </w:rPr>
        <w:t> </w:t>
      </w:r>
      <w:r>
        <w:rPr/>
        <w:t>(Orphan</w:t>
      </w:r>
      <w:r>
        <w:rPr>
          <w:spacing w:val="-14"/>
        </w:rPr>
        <w:t> </w:t>
      </w:r>
      <w:r>
        <w:rPr>
          <w:i/>
        </w:rPr>
        <w:t>et</w:t>
      </w:r>
      <w:r>
        <w:rPr>
          <w:i/>
          <w:spacing w:val="-13"/>
        </w:rPr>
        <w:t> </w:t>
      </w:r>
      <w:r>
        <w:rPr>
          <w:i/>
        </w:rPr>
        <w:t>al.</w:t>
      </w:r>
      <w:r>
        <w:rPr/>
        <w:t>,</w:t>
      </w:r>
      <w:r>
        <w:rPr>
          <w:spacing w:val="-14"/>
        </w:rPr>
        <w:t> </w:t>
      </w:r>
      <w:r>
        <w:rPr/>
        <w:t>2000) and sediments up to 850 m below the sea floor (Parkes </w:t>
      </w:r>
      <w:r>
        <w:rPr>
          <w:i/>
        </w:rPr>
        <w:t>et al.</w:t>
      </w:r>
      <w:r>
        <w:rPr/>
        <w:t>, 2000). The mass of subsurface microbes may well exceed the mass</w:t>
      </w:r>
      <w:r>
        <w:rPr>
          <w:spacing w:val="-11"/>
        </w:rPr>
        <w:t> </w:t>
      </w:r>
      <w:r>
        <w:rPr/>
        <w:t>of</w:t>
      </w:r>
      <w:r>
        <w:rPr>
          <w:spacing w:val="-11"/>
        </w:rPr>
        <w:t> </w:t>
      </w:r>
      <w:r>
        <w:rPr/>
        <w:t>biota</w:t>
      </w:r>
      <w:r>
        <w:rPr>
          <w:spacing w:val="-10"/>
        </w:rPr>
        <w:t> </w:t>
      </w:r>
      <w:r>
        <w:rPr/>
        <w:t>on</w:t>
      </w:r>
      <w:r>
        <w:rPr>
          <w:spacing w:val="-11"/>
        </w:rPr>
        <w:t> </w:t>
      </w:r>
      <w:r>
        <w:rPr/>
        <w:t>the</w:t>
      </w:r>
      <w:r>
        <w:rPr>
          <w:spacing w:val="-10"/>
        </w:rPr>
        <w:t> </w:t>
      </w:r>
      <w:r>
        <w:rPr/>
        <w:t>Earth’s</w:t>
      </w:r>
      <w:r>
        <w:rPr>
          <w:spacing w:val="-11"/>
        </w:rPr>
        <w:t> </w:t>
      </w:r>
      <w:r>
        <w:rPr/>
        <w:t>surface</w:t>
      </w:r>
      <w:r>
        <w:rPr>
          <w:spacing w:val="-11"/>
        </w:rPr>
        <w:t> </w:t>
      </w:r>
      <w:r>
        <w:rPr/>
        <w:t>(Whitman</w:t>
      </w:r>
      <w:r>
        <w:rPr>
          <w:spacing w:val="-10"/>
        </w:rPr>
        <w:t> </w:t>
      </w:r>
      <w:r>
        <w:rPr>
          <w:i/>
        </w:rPr>
        <w:t>et</w:t>
      </w:r>
      <w:r>
        <w:rPr>
          <w:i/>
          <w:spacing w:val="-11"/>
        </w:rPr>
        <w:t> </w:t>
      </w:r>
      <w:r>
        <w:rPr>
          <w:i/>
        </w:rPr>
        <w:t>al.</w:t>
      </w:r>
      <w:r>
        <w:rPr/>
        <w:t>,</w:t>
      </w:r>
      <w:r>
        <w:rPr>
          <w:spacing w:val="-10"/>
        </w:rPr>
        <w:t> </w:t>
      </w:r>
      <w:r>
        <w:rPr/>
        <w:t>2001).</w:t>
      </w:r>
      <w:r>
        <w:rPr>
          <w:spacing w:val="-15"/>
        </w:rPr>
        <w:t> </w:t>
      </w:r>
      <w:r>
        <w:rPr/>
        <w:t>The working assumption may be that unless there are conditions preventing it, microbes can be found everywhere at the </w:t>
      </w:r>
      <w:r>
        <w:rPr>
          <w:spacing w:val="-3"/>
        </w:rPr>
        <w:t>depths </w:t>
      </w:r>
      <w:r>
        <w:rPr/>
        <w:t>being</w:t>
      </w:r>
      <w:r>
        <w:rPr>
          <w:spacing w:val="-11"/>
        </w:rPr>
        <w:t> </w:t>
      </w:r>
      <w:r>
        <w:rPr/>
        <w:t>considered</w:t>
      </w:r>
      <w:r>
        <w:rPr>
          <w:spacing w:val="-11"/>
        </w:rPr>
        <w:t> </w:t>
      </w:r>
      <w:r>
        <w:rPr/>
        <w:t>for</w:t>
      </w:r>
      <w:r>
        <w:rPr>
          <w:spacing w:val="-10"/>
        </w:rPr>
        <w:t> </w:t>
      </w:r>
      <w:r>
        <w:rPr/>
        <w:t>CO</w:t>
      </w:r>
      <w:r>
        <w:rPr>
          <w:position w:val="-6"/>
          <w:sz w:val="11"/>
        </w:rPr>
        <w:t>2</w:t>
      </w:r>
      <w:r>
        <w:rPr>
          <w:spacing w:val="12"/>
          <w:position w:val="-6"/>
          <w:sz w:val="11"/>
        </w:rPr>
        <w:t> </w:t>
      </w:r>
      <w:r>
        <w:rPr/>
        <w:t>storage</w:t>
      </w:r>
      <w:r>
        <w:rPr>
          <w:spacing w:val="-11"/>
        </w:rPr>
        <w:t> </w:t>
      </w:r>
      <w:r>
        <w:rPr/>
        <w:t>and</w:t>
      </w:r>
      <w:r>
        <w:rPr>
          <w:spacing w:val="-10"/>
        </w:rPr>
        <w:t> </w:t>
      </w:r>
      <w:r>
        <w:rPr/>
        <w:t>consequently</w:t>
      </w:r>
      <w:r>
        <w:rPr>
          <w:spacing w:val="-11"/>
        </w:rPr>
        <w:t> </w:t>
      </w:r>
      <w:r>
        <w:rPr/>
        <w:t>CO</w:t>
      </w:r>
      <w:r>
        <w:rPr>
          <w:position w:val="-6"/>
          <w:sz w:val="11"/>
        </w:rPr>
        <w:t>2</w:t>
      </w:r>
      <w:r>
        <w:rPr>
          <w:spacing w:val="12"/>
          <w:position w:val="-6"/>
          <w:sz w:val="11"/>
        </w:rPr>
        <w:t> </w:t>
      </w:r>
      <w:r>
        <w:rPr/>
        <w:t>storage sites may generally contain microbes that could be affected by injected CO</w:t>
      </w:r>
      <w:r>
        <w:rPr>
          <w:position w:val="-6"/>
          <w:sz w:val="11"/>
        </w:rPr>
        <w:t>2</w:t>
      </w:r>
      <w:r>
        <w:rPr/>
        <w:t>.</w:t>
      </w:r>
    </w:p>
    <w:p>
      <w:pPr>
        <w:pStyle w:val="BodyText"/>
        <w:spacing w:line="240" w:lineRule="exact"/>
        <w:ind w:left="157" w:right="38" w:firstLine="283"/>
        <w:jc w:val="both"/>
      </w:pPr>
      <w:r>
        <w:rPr/>
        <w:t>The effect  of  CO</w:t>
      </w:r>
      <w:r>
        <w:rPr>
          <w:position w:val="-6"/>
          <w:sz w:val="11"/>
        </w:rPr>
        <w:t>2  </w:t>
      </w:r>
      <w:r>
        <w:rPr/>
        <w:t>on  subsurface  microbial  populations is not well studied. A low-</w:t>
      </w:r>
      <w:r>
        <w:rPr>
          <w:i/>
        </w:rPr>
        <w:t>p</w:t>
      </w:r>
      <w:r>
        <w:rPr/>
        <w:t>H, high-CO</w:t>
      </w:r>
      <w:r>
        <w:rPr>
          <w:position w:val="-6"/>
          <w:sz w:val="11"/>
        </w:rPr>
        <w:t>2 </w:t>
      </w:r>
      <w:r>
        <w:rPr/>
        <w:t>environment may favour some species and harm others. In strongly reducing environments, the injection of CO</w:t>
      </w:r>
      <w:r>
        <w:rPr>
          <w:position w:val="-6"/>
          <w:sz w:val="11"/>
        </w:rPr>
        <w:t>2 </w:t>
      </w:r>
      <w:r>
        <w:rPr/>
        <w:t>may stimulate microbial communities that would reduce the CO</w:t>
      </w:r>
      <w:r>
        <w:rPr>
          <w:position w:val="-6"/>
          <w:sz w:val="11"/>
        </w:rPr>
        <w:t>2 </w:t>
      </w:r>
      <w:r>
        <w:rPr/>
        <w:t>to CH</w:t>
      </w:r>
      <w:r>
        <w:rPr>
          <w:position w:val="-6"/>
          <w:sz w:val="11"/>
        </w:rPr>
        <w:t>4</w:t>
      </w:r>
      <w:r>
        <w:rPr/>
        <w:t>; while in other reservoirs,</w:t>
      </w:r>
      <w:r>
        <w:rPr>
          <w:spacing w:val="12"/>
        </w:rPr>
        <w:t> </w:t>
      </w:r>
      <w:r>
        <w:rPr/>
        <w:t>CO</w:t>
      </w:r>
      <w:r>
        <w:rPr>
          <w:position w:val="-6"/>
          <w:sz w:val="11"/>
        </w:rPr>
        <w:t>2</w:t>
      </w:r>
      <w:r>
        <w:rPr>
          <w:spacing w:val="8"/>
          <w:position w:val="-6"/>
          <w:sz w:val="11"/>
        </w:rPr>
        <w:t> </w:t>
      </w:r>
      <w:r>
        <w:rPr/>
        <w:t>injection</w:t>
      </w:r>
      <w:r>
        <w:rPr>
          <w:spacing w:val="13"/>
        </w:rPr>
        <w:t> </w:t>
      </w:r>
      <w:r>
        <w:rPr/>
        <w:t>could</w:t>
      </w:r>
      <w:r>
        <w:rPr>
          <w:spacing w:val="13"/>
        </w:rPr>
        <w:t> </w:t>
      </w:r>
      <w:r>
        <w:rPr/>
        <w:t>cause</w:t>
      </w:r>
      <w:r>
        <w:rPr>
          <w:spacing w:val="12"/>
        </w:rPr>
        <w:t> </w:t>
      </w:r>
      <w:r>
        <w:rPr/>
        <w:t>a</w:t>
      </w:r>
      <w:r>
        <w:rPr>
          <w:spacing w:val="13"/>
        </w:rPr>
        <w:t> </w:t>
      </w:r>
      <w:r>
        <w:rPr/>
        <w:t>short-term</w:t>
      </w:r>
      <w:r>
        <w:rPr>
          <w:spacing w:val="13"/>
        </w:rPr>
        <w:t> </w:t>
      </w:r>
      <w:r>
        <w:rPr/>
        <w:t>stimulation</w:t>
      </w:r>
    </w:p>
    <w:p>
      <w:pPr>
        <w:pStyle w:val="BodyText"/>
        <w:spacing w:line="187" w:lineRule="auto"/>
        <w:ind w:left="157"/>
        <w:jc w:val="both"/>
      </w:pPr>
      <w:r>
        <w:rPr/>
        <w:br w:type="column"/>
      </w:r>
      <w:r>
        <w:rPr/>
        <w:t>the impact of elevated CO</w:t>
      </w:r>
      <w:r>
        <w:rPr>
          <w:position w:val="-6"/>
          <w:sz w:val="11"/>
        </w:rPr>
        <w:t>2 </w:t>
      </w:r>
      <w:r>
        <w:rPr/>
        <w:t>on soils found there was a lower</w:t>
      </w:r>
      <w:r>
        <w:rPr>
          <w:spacing w:val="-34"/>
        </w:rPr>
        <w:t> </w:t>
      </w:r>
      <w:r>
        <w:rPr/>
        <w:t>pH</w:t>
      </w:r>
    </w:p>
    <w:p>
      <w:pPr>
        <w:pStyle w:val="BodyText"/>
        <w:spacing w:line="225" w:lineRule="auto"/>
        <w:ind w:left="157" w:right="531"/>
        <w:jc w:val="both"/>
      </w:pPr>
      <w:r>
        <w:rPr/>
        <w:t>and higher moisture content in </w:t>
      </w:r>
      <w:r>
        <w:rPr>
          <w:spacing w:val="-3"/>
        </w:rPr>
        <w:t>summer. </w:t>
      </w:r>
      <w:r>
        <w:rPr>
          <w:spacing w:val="-4"/>
        </w:rPr>
        <w:t>Wells </w:t>
      </w:r>
      <w:r>
        <w:rPr/>
        <w:t>in the high CO</w:t>
      </w:r>
      <w:r>
        <w:rPr>
          <w:position w:val="-6"/>
          <w:sz w:val="11"/>
        </w:rPr>
        <w:t>2 </w:t>
      </w:r>
      <w:r>
        <w:rPr/>
        <w:t>area showed higher levels of silicon, aluminum, magnesium and  iron,  consistent  with  enhanced  weathering  of  the</w:t>
      </w:r>
      <w:r>
        <w:rPr>
          <w:spacing w:val="-16"/>
        </w:rPr>
        <w:t> </w:t>
      </w:r>
      <w:r>
        <w:rPr/>
        <w:t>soils.</w:t>
      </w:r>
    </w:p>
    <w:p>
      <w:pPr>
        <w:pStyle w:val="BodyText"/>
        <w:spacing w:line="225" w:lineRule="auto" w:before="2"/>
        <w:ind w:left="157" w:right="530"/>
        <w:jc w:val="both"/>
      </w:pPr>
      <w:r>
        <w:rPr/>
        <w:t>Tree-ring data show that CO</w:t>
      </w:r>
      <w:r>
        <w:rPr>
          <w:position w:val="-6"/>
          <w:sz w:val="11"/>
        </w:rPr>
        <w:t>2 </w:t>
      </w:r>
      <w:r>
        <w:rPr/>
        <w:t>releases have occurred prior to 1990 (Cook </w:t>
      </w:r>
      <w:r>
        <w:rPr>
          <w:i/>
        </w:rPr>
        <w:t>et al.</w:t>
      </w:r>
      <w:r>
        <w:rPr/>
        <w:t>, 2001). Data from airborne remote sensing are now being used to map tree health and measure anomalous CO</w:t>
      </w:r>
      <w:r>
        <w:rPr>
          <w:position w:val="-6"/>
          <w:sz w:val="11"/>
        </w:rPr>
        <w:t>2 </w:t>
      </w:r>
      <w:r>
        <w:rPr/>
        <w:t>levels, which may help determine how CO</w:t>
      </w:r>
      <w:r>
        <w:rPr>
          <w:position w:val="-6"/>
          <w:sz w:val="11"/>
        </w:rPr>
        <w:t>2 </w:t>
      </w:r>
      <w:r>
        <w:rPr/>
        <w:t>affects forest ecosystems (Martini and Silver, 2002).</w:t>
      </w:r>
    </w:p>
    <w:p>
      <w:pPr>
        <w:pStyle w:val="BodyText"/>
        <w:spacing w:line="240" w:lineRule="exact" w:before="5"/>
        <w:ind w:left="157" w:right="530" w:firstLine="283"/>
        <w:jc w:val="both"/>
      </w:pPr>
      <w:r>
        <w:rPr/>
        <w:t>There is no evidence of any terrestrial impact from current CO</w:t>
      </w:r>
      <w:r>
        <w:rPr>
          <w:position w:val="-6"/>
          <w:sz w:val="11"/>
        </w:rPr>
        <w:t>2 </w:t>
      </w:r>
      <w:r>
        <w:rPr/>
        <w:t>storage projects. Likewise, there is no evidence  from EOR projects that indicate impacts to vegetation such as those described</w:t>
      </w:r>
      <w:r>
        <w:rPr>
          <w:spacing w:val="-12"/>
        </w:rPr>
        <w:t> </w:t>
      </w:r>
      <w:r>
        <w:rPr/>
        <w:t>above.</w:t>
      </w:r>
      <w:r>
        <w:rPr>
          <w:spacing w:val="-12"/>
        </w:rPr>
        <w:t> </w:t>
      </w:r>
      <w:r>
        <w:rPr/>
        <w:t>However,</w:t>
      </w:r>
      <w:r>
        <w:rPr>
          <w:spacing w:val="-12"/>
        </w:rPr>
        <w:t> </w:t>
      </w:r>
      <w:r>
        <w:rPr/>
        <w:t>no</w:t>
      </w:r>
      <w:r>
        <w:rPr>
          <w:spacing w:val="-12"/>
        </w:rPr>
        <w:t> </w:t>
      </w:r>
      <w:r>
        <w:rPr/>
        <w:t>systematic</w:t>
      </w:r>
      <w:r>
        <w:rPr>
          <w:spacing w:val="-12"/>
        </w:rPr>
        <w:t> </w:t>
      </w:r>
      <w:r>
        <w:rPr/>
        <w:t>studies</w:t>
      </w:r>
      <w:r>
        <w:rPr>
          <w:spacing w:val="-12"/>
        </w:rPr>
        <w:t> </w:t>
      </w:r>
      <w:r>
        <w:rPr/>
        <w:t>have</w:t>
      </w:r>
      <w:r>
        <w:rPr>
          <w:spacing w:val="-12"/>
        </w:rPr>
        <w:t> </w:t>
      </w:r>
      <w:r>
        <w:rPr/>
        <w:t>occurred to look for terrestrial impacts from current EOR projects.</w:t>
      </w:r>
    </w:p>
    <w:p>
      <w:pPr>
        <w:pStyle w:val="BodyText"/>
        <w:spacing w:line="206" w:lineRule="auto" w:before="24"/>
        <w:ind w:left="157" w:right="531" w:firstLine="283"/>
        <w:jc w:val="both"/>
      </w:pPr>
      <w:r>
        <w:rPr/>
        <w:t>Natural</w:t>
      </w:r>
      <w:r>
        <w:rPr>
          <w:spacing w:val="-16"/>
        </w:rPr>
        <w:t> </w:t>
      </w:r>
      <w:r>
        <w:rPr/>
        <w:t>CO</w:t>
      </w:r>
      <w:r>
        <w:rPr>
          <w:position w:val="-6"/>
          <w:sz w:val="11"/>
        </w:rPr>
        <w:t>2</w:t>
      </w:r>
      <w:r>
        <w:rPr>
          <w:spacing w:val="8"/>
          <w:position w:val="-6"/>
          <w:sz w:val="11"/>
        </w:rPr>
        <w:t> </w:t>
      </w:r>
      <w:r>
        <w:rPr/>
        <w:t>seepage</w:t>
      </w:r>
      <w:r>
        <w:rPr>
          <w:spacing w:val="-15"/>
        </w:rPr>
        <w:t> </w:t>
      </w:r>
      <w:r>
        <w:rPr/>
        <w:t>in</w:t>
      </w:r>
      <w:r>
        <w:rPr>
          <w:spacing w:val="-15"/>
        </w:rPr>
        <w:t> </w:t>
      </w:r>
      <w:r>
        <w:rPr/>
        <w:t>volcanic</w:t>
      </w:r>
      <w:r>
        <w:rPr>
          <w:spacing w:val="-15"/>
        </w:rPr>
        <w:t> </w:t>
      </w:r>
      <w:r>
        <w:rPr/>
        <w:t>regions,</w:t>
      </w:r>
      <w:r>
        <w:rPr>
          <w:spacing w:val="-15"/>
        </w:rPr>
        <w:t> </w:t>
      </w:r>
      <w:r>
        <w:rPr/>
        <w:t>therefore,</w:t>
      </w:r>
      <w:r>
        <w:rPr>
          <w:spacing w:val="-16"/>
        </w:rPr>
        <w:t> </w:t>
      </w:r>
      <w:r>
        <w:rPr/>
        <w:t>provides examples of possible impacts from leaky CO</w:t>
      </w:r>
      <w:r>
        <w:rPr>
          <w:position w:val="-6"/>
          <w:sz w:val="11"/>
        </w:rPr>
        <w:t>2 </w:t>
      </w:r>
      <w:r>
        <w:rPr/>
        <w:t>storage,</w:t>
      </w:r>
      <w:r>
        <w:rPr>
          <w:spacing w:val="-30"/>
        </w:rPr>
        <w:t> </w:t>
      </w:r>
      <w:r>
        <w:rPr/>
        <w:t>although</w:t>
      </w:r>
    </w:p>
    <w:p>
      <w:pPr>
        <w:spacing w:after="0" w:line="206" w:lineRule="auto"/>
        <w:jc w:val="both"/>
        <w:sectPr>
          <w:type w:val="continuous"/>
          <w:pgSz w:w="12240" w:h="15840"/>
          <w:pgMar w:top="400" w:bottom="280" w:left="580" w:right="600"/>
          <w:cols w:num="2" w:equalWidth="0">
            <w:col w:w="5242" w:space="85"/>
            <w:col w:w="5733"/>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553"/>
        <w:jc w:val="both"/>
      </w:pPr>
      <w:r>
        <w:rPr/>
        <w:pict>
          <v:shape style="position:absolute;margin-left:241.928299pt;margin-top:95.457497pt;width:2.95pt;height:5.85pt;mso-position-horizontal-relative:page;mso-position-vertical-relative:paragraph;z-index:25173196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(as mentioned in Section 5.2.3) seeps in volcanic provinces provide a poor analogue to seepage that would occur from  CO</w:t>
      </w:r>
      <w:r>
        <w:rPr>
          <w:position w:val="-6"/>
          <w:sz w:val="11"/>
        </w:rPr>
        <w:t>2 </w:t>
      </w:r>
      <w:r>
        <w:rPr/>
        <w:t>storage sites in sedimentary basins. As described above, CO</w:t>
      </w:r>
      <w:r>
        <w:rPr>
          <w:position w:val="-6"/>
          <w:sz w:val="11"/>
        </w:rPr>
        <w:t>2 </w:t>
      </w:r>
      <w:r>
        <w:rPr/>
        <w:t>seepage can pose substantial hazards. In the Alban Hills, south of Rome (Italy), for example, 29 cows and 8 sheep were asphyxiated in several separate incidents between September 1999</w:t>
      </w:r>
      <w:r>
        <w:rPr>
          <w:spacing w:val="-5"/>
        </w:rPr>
        <w:t> </w:t>
      </w:r>
      <w:r>
        <w:rPr/>
        <w:t>and</w:t>
      </w:r>
      <w:r>
        <w:rPr>
          <w:spacing w:val="-5"/>
        </w:rPr>
        <w:t> </w:t>
      </w:r>
      <w:r>
        <w:rPr/>
        <w:t>October</w:t>
      </w:r>
      <w:r>
        <w:rPr>
          <w:spacing w:val="-4"/>
        </w:rPr>
        <w:t> </w:t>
      </w:r>
      <w:r>
        <w:rPr/>
        <w:t>2001</w:t>
      </w:r>
      <w:r>
        <w:rPr>
          <w:spacing w:val="-5"/>
        </w:rPr>
        <w:t> </w:t>
      </w:r>
      <w:r>
        <w:rPr/>
        <w:t>(Carapezza</w:t>
      </w:r>
      <w:r>
        <w:rPr>
          <w:spacing w:val="-4"/>
        </w:rPr>
        <w:t> </w:t>
      </w:r>
      <w:r>
        <w:rPr>
          <w:i/>
        </w:rPr>
        <w:t>et</w:t>
      </w:r>
      <w:r>
        <w:rPr>
          <w:i/>
          <w:spacing w:val="-4"/>
        </w:rPr>
        <w:t> </w:t>
      </w:r>
      <w:r>
        <w:rPr>
          <w:i/>
        </w:rPr>
        <w:t>al.</w:t>
      </w:r>
      <w:r>
        <w:rPr/>
        <w:t>,</w:t>
      </w:r>
      <w:r>
        <w:rPr>
          <w:spacing w:val="-5"/>
        </w:rPr>
        <w:t> </w:t>
      </w:r>
      <w:r>
        <w:rPr/>
        <w:t>2003).</w:t>
      </w:r>
      <w:r>
        <w:rPr>
          <w:spacing w:val="-8"/>
        </w:rPr>
        <w:t> </w:t>
      </w:r>
      <w:r>
        <w:rPr/>
        <w:t>The</w:t>
      </w:r>
      <w:r>
        <w:rPr>
          <w:spacing w:val="-4"/>
        </w:rPr>
        <w:t> </w:t>
      </w:r>
      <w:r>
        <w:rPr/>
        <w:t>measured</w:t>
      </w:r>
    </w:p>
    <w:p>
      <w:pPr>
        <w:pStyle w:val="BodyText"/>
        <w:spacing w:line="240" w:lineRule="exact" w:before="58"/>
        <w:ind w:left="242" w:right="134"/>
        <w:jc w:val="both"/>
      </w:pPr>
      <w:r>
        <w:rPr/>
        <w:br w:type="column"/>
      </w:r>
      <w:r>
        <w:rPr/>
        <w:t>such as the drillholes of the German continental deep drilling programme (Shapiro </w:t>
      </w:r>
      <w:r>
        <w:rPr>
          <w:i/>
        </w:rPr>
        <w:t>et al.</w:t>
      </w:r>
      <w:r>
        <w:rPr/>
        <w:t>, 1997; Zoback and Harjes, 1997) or the Cold Lake Oil Field, Alberta, Canada (Talebi </w:t>
      </w:r>
      <w:r>
        <w:rPr>
          <w:i/>
        </w:rPr>
        <w:t>et al.</w:t>
      </w:r>
      <w:r>
        <w:rPr/>
        <w:t>, 1998). Deep-well injection of waste fluids may induce earthquakes with moderate local magnitudes (M</w:t>
      </w:r>
      <w:r>
        <w:rPr>
          <w:i/>
          <w:position w:val="-6"/>
          <w:sz w:val="11"/>
        </w:rPr>
        <w:t>L</w:t>
      </w:r>
      <w:r>
        <w:rPr/>
        <w:t>), as suggested for the 1967 Denver earthquakes (M</w:t>
      </w:r>
      <w:r>
        <w:rPr>
          <w:i/>
          <w:position w:val="-6"/>
          <w:sz w:val="11"/>
        </w:rPr>
        <w:t>L </w:t>
      </w:r>
      <w:r>
        <w:rPr/>
        <w:t>of 5.3; Healy </w:t>
      </w:r>
      <w:r>
        <w:rPr>
          <w:i/>
        </w:rPr>
        <w:t>et al.</w:t>
      </w:r>
      <w:r>
        <w:rPr/>
        <w:t>, 1968; </w:t>
      </w:r>
      <w:r>
        <w:rPr>
          <w:spacing w:val="-3"/>
        </w:rPr>
        <w:t>Wyss </w:t>
      </w:r>
      <w:r>
        <w:rPr/>
        <w:t>and</w:t>
      </w:r>
      <w:r>
        <w:rPr>
          <w:spacing w:val="-9"/>
        </w:rPr>
        <w:t> </w:t>
      </w:r>
      <w:r>
        <w:rPr/>
        <w:t>Molnar,</w:t>
      </w:r>
      <w:r>
        <w:rPr>
          <w:spacing w:val="-9"/>
        </w:rPr>
        <w:t> </w:t>
      </w:r>
      <w:r>
        <w:rPr/>
        <w:t>1972)</w:t>
      </w:r>
      <w:r>
        <w:rPr>
          <w:spacing w:val="-8"/>
        </w:rPr>
        <w:t> </w:t>
      </w:r>
      <w:r>
        <w:rPr/>
        <w:t>and</w:t>
      </w:r>
      <w:r>
        <w:rPr>
          <w:spacing w:val="-9"/>
        </w:rPr>
        <w:t> </w:t>
      </w:r>
      <w:r>
        <w:rPr/>
        <w:t>the</w:t>
      </w:r>
      <w:r>
        <w:rPr>
          <w:spacing w:val="-8"/>
        </w:rPr>
        <w:t> </w:t>
      </w:r>
      <w:r>
        <w:rPr/>
        <w:t>1986–1987</w:t>
      </w:r>
      <w:r>
        <w:rPr>
          <w:spacing w:val="-9"/>
        </w:rPr>
        <w:t> </w:t>
      </w:r>
      <w:r>
        <w:rPr/>
        <w:t>Ohio</w:t>
      </w:r>
      <w:r>
        <w:rPr>
          <w:spacing w:val="-8"/>
        </w:rPr>
        <w:t> </w:t>
      </w:r>
      <w:r>
        <w:rPr/>
        <w:t>earthquakes</w:t>
      </w:r>
      <w:r>
        <w:rPr>
          <w:spacing w:val="-9"/>
        </w:rPr>
        <w:t> </w:t>
      </w:r>
      <w:r>
        <w:rPr/>
        <w:t>(M</w:t>
      </w:r>
      <w:r>
        <w:rPr>
          <w:i/>
          <w:position w:val="-6"/>
          <w:sz w:val="11"/>
        </w:rPr>
        <w:t>L</w:t>
      </w:r>
      <w:r>
        <w:rPr>
          <w:i/>
          <w:spacing w:val="14"/>
          <w:position w:val="-6"/>
          <w:sz w:val="11"/>
        </w:rPr>
        <w:t> </w:t>
      </w:r>
      <w:r>
        <w:rPr/>
        <w:t>of</w:t>
      </w:r>
    </w:p>
    <w:p>
      <w:pPr>
        <w:spacing w:after="0" w:line="240" w:lineRule="exact"/>
        <w:jc w:val="both"/>
        <w:sectPr>
          <w:type w:val="continuous"/>
          <w:pgSz w:w="12240" w:h="15840"/>
          <w:pgMar w:top="400" w:bottom="280" w:left="580" w:right="600"/>
          <w:cols w:num="2" w:equalWidth="0">
            <w:col w:w="5598" w:space="40"/>
            <w:col w:w="5422"/>
          </w:cols>
        </w:sectPr>
      </w:pPr>
    </w:p>
    <w:p>
      <w:pPr>
        <w:spacing w:line="277" w:lineRule="exact" w:before="5"/>
        <w:ind w:left="553" w:right="0" w:firstLine="0"/>
        <w:jc w:val="left"/>
        <w:rPr>
          <w:sz w:val="11"/>
        </w:rPr>
      </w:pPr>
      <w:r>
        <w:rPr>
          <w:sz w:val="20"/>
        </w:rPr>
        <w:t>CO</w:t>
      </w:r>
      <w:r>
        <w:rPr>
          <w:position w:val="-6"/>
          <w:sz w:val="11"/>
        </w:rPr>
        <w:t>2</w:t>
      </w:r>
    </w:p>
    <w:p>
      <w:pPr>
        <w:pStyle w:val="BodyText"/>
        <w:spacing w:before="5"/>
        <w:ind w:left="52"/>
      </w:pPr>
      <w:r>
        <w:rPr/>
        <w:br w:type="column"/>
      </w:r>
      <w:r>
        <w:rPr/>
        <w:t>flux was about 60 t day</w:t>
      </w:r>
      <w:r>
        <w:rPr>
          <w:position w:val="7"/>
          <w:sz w:val="11"/>
        </w:rPr>
        <w:t>–1 </w:t>
      </w:r>
      <w:r>
        <w:rPr/>
        <w:t>of 98% CO</w:t>
      </w:r>
    </w:p>
    <w:p>
      <w:pPr>
        <w:pStyle w:val="BodyText"/>
        <w:spacing w:before="5"/>
        <w:ind w:left="52"/>
      </w:pPr>
      <w:r>
        <w:rPr/>
        <w:br w:type="column"/>
      </w:r>
      <w:r>
        <w:rPr/>
        <w:t>and up to 2%</w:t>
      </w:r>
    </w:p>
    <w:p>
      <w:pPr>
        <w:pStyle w:val="BodyText"/>
        <w:spacing w:before="5"/>
        <w:ind w:left="243"/>
      </w:pPr>
      <w:r>
        <w:rPr/>
        <w:br w:type="column"/>
      </w:r>
      <w:r>
        <w:rPr/>
        <w:t>4.9; Ahmad and Smith, 1988) in the United States. Seismicity</w:t>
      </w:r>
    </w:p>
    <w:p>
      <w:pPr>
        <w:spacing w:after="0"/>
        <w:sectPr>
          <w:type w:val="continuous"/>
          <w:pgSz w:w="12240" w:h="15840"/>
          <w:pgMar w:top="400" w:bottom="280" w:left="580" w:right="600"/>
          <w:cols w:num="4" w:equalWidth="0">
            <w:col w:w="890" w:space="40"/>
            <w:col w:w="3387" w:space="39"/>
            <w:col w:w="1241" w:space="40"/>
            <w:col w:w="5423"/>
          </w:cols>
        </w:sectPr>
      </w:pPr>
    </w:p>
    <w:p>
      <w:pPr>
        <w:pStyle w:val="BodyText"/>
        <w:spacing w:line="187" w:lineRule="auto"/>
        <w:ind w:left="553"/>
        <w:jc w:val="both"/>
      </w:pPr>
      <w:r>
        <w:rPr/>
        <w:t>H</w:t>
      </w:r>
      <w:r>
        <w:rPr>
          <w:position w:val="-6"/>
          <w:sz w:val="11"/>
        </w:rPr>
        <w:t>2</w:t>
      </w:r>
      <w:r>
        <w:rPr/>
        <w:t>S, creating hazardous levels of each gas in localized areas,</w:t>
      </w:r>
    </w:p>
    <w:p>
      <w:pPr>
        <w:pStyle w:val="BodyText"/>
        <w:spacing w:line="225" w:lineRule="auto"/>
        <w:ind w:left="553"/>
        <w:jc w:val="both"/>
      </w:pPr>
      <w:r>
        <w:rPr/>
        <w:t>particularly in low-wind conditions. The high CO</w:t>
      </w:r>
      <w:r>
        <w:rPr>
          <w:position w:val="-6"/>
          <w:sz w:val="11"/>
        </w:rPr>
        <w:t>2 </w:t>
      </w:r>
      <w:r>
        <w:rPr/>
        <w:t>and H</w:t>
      </w:r>
      <w:r>
        <w:rPr>
          <w:position w:val="-6"/>
          <w:sz w:val="11"/>
        </w:rPr>
        <w:t>2</w:t>
      </w:r>
      <w:r>
        <w:rPr/>
        <w:t>S fluxes resulted from a combination of magmatic activity and faulting.</w:t>
      </w:r>
    </w:p>
    <w:p>
      <w:pPr>
        <w:pStyle w:val="BodyText"/>
        <w:spacing w:line="240" w:lineRule="exact"/>
        <w:ind w:left="553" w:firstLine="283"/>
        <w:jc w:val="both"/>
      </w:pPr>
      <w:r>
        <w:rPr/>
        <w:t>Human activities have caused detrimental releases of CO</w:t>
      </w:r>
      <w:r>
        <w:rPr>
          <w:position w:val="-6"/>
          <w:sz w:val="11"/>
        </w:rPr>
        <w:t>2 </w:t>
      </w:r>
      <w:r>
        <w:rPr/>
        <w:t>from the deep subsurface. In the late 1990s, vegetation died off above an approximately 3-km deep geothermal field being exploited</w:t>
      </w:r>
      <w:r>
        <w:rPr>
          <w:spacing w:val="14"/>
        </w:rPr>
        <w:t> </w:t>
      </w:r>
      <w:r>
        <w:rPr/>
        <w:t>for</w:t>
      </w:r>
      <w:r>
        <w:rPr>
          <w:spacing w:val="14"/>
        </w:rPr>
        <w:t> </w:t>
      </w:r>
      <w:r>
        <w:rPr/>
        <w:t>a</w:t>
      </w:r>
      <w:r>
        <w:rPr>
          <w:spacing w:val="14"/>
        </w:rPr>
        <w:t> </w:t>
      </w:r>
      <w:r>
        <w:rPr/>
        <w:t>62</w:t>
      </w:r>
      <w:r>
        <w:rPr>
          <w:spacing w:val="15"/>
        </w:rPr>
        <w:t> </w:t>
      </w:r>
      <w:r>
        <w:rPr/>
        <w:t>MW</w:t>
      </w:r>
      <w:r>
        <w:rPr>
          <w:spacing w:val="11"/>
        </w:rPr>
        <w:t> </w:t>
      </w:r>
      <w:r>
        <w:rPr/>
        <w:t>power</w:t>
      </w:r>
      <w:r>
        <w:rPr>
          <w:spacing w:val="14"/>
        </w:rPr>
        <w:t> </w:t>
      </w:r>
      <w:r>
        <w:rPr/>
        <w:t>plant,</w:t>
      </w:r>
      <w:r>
        <w:rPr>
          <w:spacing w:val="15"/>
        </w:rPr>
        <w:t> </w:t>
      </w:r>
      <w:r>
        <w:rPr/>
        <w:t>in</w:t>
      </w:r>
      <w:r>
        <w:rPr>
          <w:spacing w:val="14"/>
        </w:rPr>
        <w:t> </w:t>
      </w:r>
      <w:r>
        <w:rPr/>
        <w:t>Dixie</w:t>
      </w:r>
      <w:r>
        <w:rPr>
          <w:spacing w:val="11"/>
        </w:rPr>
        <w:t> </w:t>
      </w:r>
      <w:r>
        <w:rPr>
          <w:spacing w:val="-6"/>
        </w:rPr>
        <w:t>Valley,</w:t>
      </w:r>
      <w:r>
        <w:rPr>
          <w:spacing w:val="15"/>
        </w:rPr>
        <w:t> </w:t>
      </w:r>
      <w:r>
        <w:rPr/>
        <w:t>Nevada,</w:t>
      </w:r>
    </w:p>
    <w:p>
      <w:pPr>
        <w:pStyle w:val="BodyText"/>
        <w:spacing w:line="194" w:lineRule="exact"/>
        <w:ind w:left="242"/>
      </w:pPr>
      <w:r>
        <w:rPr/>
        <w:br w:type="column"/>
      </w:r>
      <w:r>
        <w:rPr/>
        <w:t>induced</w:t>
      </w:r>
      <w:r>
        <w:rPr>
          <w:spacing w:val="31"/>
        </w:rPr>
        <w:t> </w:t>
      </w:r>
      <w:r>
        <w:rPr/>
        <w:t>by</w:t>
      </w:r>
      <w:r>
        <w:rPr>
          <w:spacing w:val="31"/>
        </w:rPr>
        <w:t> </w:t>
      </w:r>
      <w:r>
        <w:rPr/>
        <w:t>fluid</w:t>
      </w:r>
      <w:r>
        <w:rPr>
          <w:spacing w:val="32"/>
        </w:rPr>
        <w:t> </w:t>
      </w:r>
      <w:r>
        <w:rPr/>
        <w:t>injection</w:t>
      </w:r>
      <w:r>
        <w:rPr>
          <w:spacing w:val="31"/>
        </w:rPr>
        <w:t> </w:t>
      </w:r>
      <w:r>
        <w:rPr/>
        <w:t>is</w:t>
      </w:r>
      <w:r>
        <w:rPr>
          <w:spacing w:val="31"/>
        </w:rPr>
        <w:t> </w:t>
      </w:r>
      <w:r>
        <w:rPr/>
        <w:t>usually</w:t>
      </w:r>
      <w:r>
        <w:rPr>
          <w:spacing w:val="32"/>
        </w:rPr>
        <w:t> </w:t>
      </w:r>
      <w:r>
        <w:rPr/>
        <w:t>assumed</w:t>
      </w:r>
      <w:r>
        <w:rPr>
          <w:spacing w:val="31"/>
        </w:rPr>
        <w:t> </w:t>
      </w:r>
      <w:r>
        <w:rPr/>
        <w:t>to</w:t>
      </w:r>
      <w:r>
        <w:rPr>
          <w:spacing w:val="31"/>
        </w:rPr>
        <w:t> </w:t>
      </w:r>
      <w:r>
        <w:rPr/>
        <w:t>result</w:t>
      </w:r>
      <w:r>
        <w:rPr>
          <w:spacing w:val="32"/>
        </w:rPr>
        <w:t> </w:t>
      </w:r>
      <w:r>
        <w:rPr/>
        <w:t>from</w:t>
      </w:r>
    </w:p>
    <w:p>
      <w:pPr>
        <w:pStyle w:val="BodyText"/>
        <w:spacing w:before="10"/>
        <w:ind w:left="242"/>
      </w:pPr>
      <w:r>
        <w:rPr/>
        <w:t>increased</w:t>
      </w:r>
      <w:r>
        <w:rPr>
          <w:spacing w:val="18"/>
        </w:rPr>
        <w:t> </w:t>
      </w:r>
      <w:r>
        <w:rPr/>
        <w:t>pore-fluid</w:t>
      </w:r>
      <w:r>
        <w:rPr>
          <w:spacing w:val="19"/>
        </w:rPr>
        <w:t> </w:t>
      </w:r>
      <w:r>
        <w:rPr/>
        <w:t>pressure</w:t>
      </w:r>
      <w:r>
        <w:rPr>
          <w:spacing w:val="18"/>
        </w:rPr>
        <w:t> </w:t>
      </w:r>
      <w:r>
        <w:rPr/>
        <w:t>in</w:t>
      </w:r>
      <w:r>
        <w:rPr>
          <w:spacing w:val="19"/>
        </w:rPr>
        <w:t> </w:t>
      </w:r>
      <w:r>
        <w:rPr/>
        <w:t>the</w:t>
      </w:r>
      <w:r>
        <w:rPr>
          <w:spacing w:val="19"/>
        </w:rPr>
        <w:t> </w:t>
      </w:r>
      <w:r>
        <w:rPr/>
        <w:t>hypocentral</w:t>
      </w:r>
      <w:r>
        <w:rPr>
          <w:spacing w:val="18"/>
        </w:rPr>
        <w:t> </w:t>
      </w:r>
      <w:r>
        <w:rPr/>
        <w:t>region</w:t>
      </w:r>
      <w:r>
        <w:rPr>
          <w:spacing w:val="19"/>
        </w:rPr>
        <w:t> </w:t>
      </w:r>
      <w:r>
        <w:rPr/>
        <w:t>of</w:t>
      </w:r>
      <w:r>
        <w:rPr>
          <w:spacing w:val="19"/>
        </w:rPr>
        <w:t> </w:t>
      </w:r>
      <w:r>
        <w:rPr/>
        <w:t>the</w:t>
      </w:r>
    </w:p>
    <w:p>
      <w:pPr>
        <w:pStyle w:val="BodyText"/>
        <w:spacing w:before="10"/>
        <w:ind w:left="242"/>
      </w:pPr>
      <w:r>
        <w:rPr/>
        <w:t>seismic event (e.g., Healy </w:t>
      </w:r>
      <w:r>
        <w:rPr>
          <w:i/>
        </w:rPr>
        <w:t>et al.</w:t>
      </w:r>
      <w:r>
        <w:rPr/>
        <w:t>, 1968; Talebi </w:t>
      </w:r>
      <w:r>
        <w:rPr>
          <w:i/>
        </w:rPr>
        <w:t>et al.</w:t>
      </w:r>
      <w:r>
        <w:rPr/>
        <w:t>, 1998).</w:t>
      </w:r>
    </w:p>
    <w:p>
      <w:pPr>
        <w:pStyle w:val="BodyText"/>
        <w:spacing w:line="249" w:lineRule="auto" w:before="10"/>
        <w:ind w:left="242" w:right="133" w:firstLine="283"/>
        <w:jc w:val="both"/>
      </w:pPr>
      <w:r>
        <w:rPr/>
        <w:t>Readily applicable methods exist to assess and control induced</w:t>
      </w:r>
      <w:r>
        <w:rPr>
          <w:spacing w:val="-20"/>
        </w:rPr>
        <w:t> </w:t>
      </w:r>
      <w:r>
        <w:rPr/>
        <w:t>fracturing</w:t>
      </w:r>
      <w:r>
        <w:rPr>
          <w:spacing w:val="-19"/>
        </w:rPr>
        <w:t> </w:t>
      </w:r>
      <w:r>
        <w:rPr/>
        <w:t>or</w:t>
      </w:r>
      <w:r>
        <w:rPr>
          <w:spacing w:val="-20"/>
        </w:rPr>
        <w:t> </w:t>
      </w:r>
      <w:r>
        <w:rPr/>
        <w:t>fault</w:t>
      </w:r>
      <w:r>
        <w:rPr>
          <w:spacing w:val="-19"/>
        </w:rPr>
        <w:t> </w:t>
      </w:r>
      <w:r>
        <w:rPr/>
        <w:t>activation</w:t>
      </w:r>
      <w:r>
        <w:rPr>
          <w:spacing w:val="-20"/>
        </w:rPr>
        <w:t> </w:t>
      </w:r>
      <w:r>
        <w:rPr/>
        <w:t>(see</w:t>
      </w:r>
      <w:r>
        <w:rPr>
          <w:spacing w:val="-19"/>
        </w:rPr>
        <w:t> </w:t>
      </w:r>
      <w:r>
        <w:rPr/>
        <w:t>Section</w:t>
      </w:r>
      <w:r>
        <w:rPr>
          <w:spacing w:val="-20"/>
        </w:rPr>
        <w:t> </w:t>
      </w:r>
      <w:r>
        <w:rPr/>
        <w:t>5.5.3).</w:t>
      </w:r>
      <w:r>
        <w:rPr>
          <w:spacing w:val="-19"/>
        </w:rPr>
        <w:t> </w:t>
      </w:r>
      <w:r>
        <w:rPr/>
        <w:t>Several geomechanical methods have been identified for assessing </w:t>
      </w:r>
      <w:r>
        <w:rPr>
          <w:spacing w:val="-4"/>
        </w:rPr>
        <w:t>the </w:t>
      </w:r>
      <w:r>
        <w:rPr/>
        <w:t>stability of faults and estimating maximum sustainable pore- fluid</w:t>
      </w:r>
      <w:r>
        <w:rPr>
          <w:spacing w:val="11"/>
        </w:rPr>
        <w:t> </w:t>
      </w:r>
      <w:r>
        <w:rPr/>
        <w:t>pressures</w:t>
      </w:r>
      <w:r>
        <w:rPr>
          <w:spacing w:val="12"/>
        </w:rPr>
        <w:t> </w:t>
      </w:r>
      <w:r>
        <w:rPr/>
        <w:t>for</w:t>
      </w:r>
      <w:r>
        <w:rPr>
          <w:spacing w:val="12"/>
        </w:rPr>
        <w:t> </w:t>
      </w:r>
      <w:r>
        <w:rPr/>
        <w:t>CO</w:t>
      </w:r>
      <w:r>
        <w:rPr>
          <w:position w:val="-6"/>
          <w:sz w:val="11"/>
        </w:rPr>
        <w:t>2</w:t>
      </w:r>
      <w:r>
        <w:rPr>
          <w:spacing w:val="7"/>
          <w:position w:val="-6"/>
          <w:sz w:val="11"/>
        </w:rPr>
        <w:t> </w:t>
      </w:r>
      <w:r>
        <w:rPr/>
        <w:t>storage</w:t>
      </w:r>
      <w:r>
        <w:rPr>
          <w:spacing w:val="11"/>
        </w:rPr>
        <w:t> </w:t>
      </w:r>
      <w:r>
        <w:rPr/>
        <w:t>(Streit</w:t>
      </w:r>
      <w:r>
        <w:rPr>
          <w:spacing w:val="12"/>
        </w:rPr>
        <w:t> </w:t>
      </w:r>
      <w:r>
        <w:rPr/>
        <w:t>and</w:t>
      </w:r>
      <w:r>
        <w:rPr>
          <w:spacing w:val="12"/>
        </w:rPr>
        <w:t> </w:t>
      </w:r>
      <w:r>
        <w:rPr/>
        <w:t>Hillis,</w:t>
      </w:r>
      <w:r>
        <w:rPr>
          <w:spacing w:val="11"/>
        </w:rPr>
        <w:t> </w:t>
      </w:r>
      <w:r>
        <w:rPr/>
        <w:t>2003).</w:t>
      </w:r>
      <w:r>
        <w:rPr>
          <w:spacing w:val="12"/>
        </w:rPr>
        <w:t> </w:t>
      </w:r>
      <w:r>
        <w:rPr/>
        <w:t>Such</w:t>
      </w:r>
    </w:p>
    <w:p>
      <w:pPr>
        <w:spacing w:after="0" w:line="249" w:lineRule="auto"/>
        <w:jc w:val="both"/>
        <w:sectPr>
          <w:type w:val="continuous"/>
          <w:pgSz w:w="12240" w:h="15840"/>
          <w:pgMar w:top="400" w:bottom="280" w:left="580" w:right="600"/>
          <w:cols w:num="2" w:equalWidth="0">
            <w:col w:w="5599" w:space="40"/>
            <w:col w:w="5421"/>
          </w:cols>
        </w:sectPr>
      </w:pPr>
    </w:p>
    <w:p>
      <w:pPr>
        <w:pStyle w:val="BodyText"/>
        <w:spacing w:line="180" w:lineRule="auto"/>
        <w:ind w:left="553"/>
        <w:rPr>
          <w:sz w:val="11"/>
        </w:rPr>
      </w:pPr>
      <w:r>
        <w:rPr/>
        <w:t>USA</w:t>
      </w:r>
      <w:r>
        <w:rPr>
          <w:spacing w:val="-13"/>
        </w:rPr>
        <w:t> </w:t>
      </w:r>
      <w:r>
        <w:rPr/>
        <w:t>(Bergfeld</w:t>
      </w:r>
      <w:r>
        <w:rPr>
          <w:spacing w:val="-2"/>
        </w:rPr>
        <w:t> </w:t>
      </w:r>
      <w:r>
        <w:rPr>
          <w:i/>
        </w:rPr>
        <w:t>et</w:t>
      </w:r>
      <w:r>
        <w:rPr>
          <w:i/>
          <w:spacing w:val="-2"/>
        </w:rPr>
        <w:t> </w:t>
      </w:r>
      <w:r>
        <w:rPr>
          <w:i/>
        </w:rPr>
        <w:t>al.</w:t>
      </w:r>
      <w:r>
        <w:rPr/>
        <w:t>,</w:t>
      </w:r>
      <w:r>
        <w:rPr>
          <w:spacing w:val="-1"/>
        </w:rPr>
        <w:t> </w:t>
      </w:r>
      <w:r>
        <w:rPr/>
        <w:t>2001).</w:t>
      </w:r>
      <w:r>
        <w:rPr>
          <w:spacing w:val="-13"/>
        </w:rPr>
        <w:t> </w:t>
      </w:r>
      <w:r>
        <w:rPr/>
        <w:t>A</w:t>
      </w:r>
      <w:r>
        <w:rPr>
          <w:spacing w:val="-12"/>
        </w:rPr>
        <w:t> </w:t>
      </w:r>
      <w:r>
        <w:rPr/>
        <w:t>maximum</w:t>
      </w:r>
      <w:r>
        <w:rPr>
          <w:spacing w:val="-2"/>
        </w:rPr>
        <w:t> </w:t>
      </w:r>
      <w:r>
        <w:rPr/>
        <w:t>flux</w:t>
      </w:r>
      <w:r>
        <w:rPr>
          <w:spacing w:val="-2"/>
        </w:rPr>
        <w:t> </w:t>
      </w:r>
      <w:r>
        <w:rPr/>
        <w:t>of</w:t>
      </w:r>
      <w:r>
        <w:rPr>
          <w:spacing w:val="-2"/>
        </w:rPr>
        <w:t> </w:t>
      </w:r>
      <w:r>
        <w:rPr/>
        <w:t>570</w:t>
      </w:r>
      <w:r>
        <w:rPr>
          <w:spacing w:val="-2"/>
        </w:rPr>
        <w:t> </w:t>
      </w:r>
      <w:r>
        <w:rPr/>
        <w:t>gCO</w:t>
      </w:r>
      <w:r>
        <w:rPr>
          <w:position w:val="-6"/>
          <w:sz w:val="11"/>
        </w:rPr>
        <w:t>2</w:t>
      </w:r>
    </w:p>
    <w:p>
      <w:pPr>
        <w:spacing w:line="187" w:lineRule="exact" w:before="0"/>
        <w:ind w:left="10" w:right="0" w:firstLine="0"/>
        <w:jc w:val="left"/>
        <w:rPr>
          <w:sz w:val="11"/>
        </w:rPr>
      </w:pPr>
      <w:r>
        <w:rPr/>
        <w:br w:type="column"/>
      </w:r>
      <w:r>
        <w:rPr>
          <w:position w:val="-6"/>
          <w:sz w:val="20"/>
        </w:rPr>
        <w:t>m</w:t>
      </w:r>
      <w:r>
        <w:rPr>
          <w:sz w:val="11"/>
        </w:rPr>
        <w:t>–2</w:t>
      </w:r>
    </w:p>
    <w:p>
      <w:pPr>
        <w:pStyle w:val="BodyText"/>
        <w:spacing w:line="184" w:lineRule="exact"/>
        <w:ind w:left="243"/>
      </w:pPr>
      <w:r>
        <w:rPr/>
        <w:br w:type="column"/>
      </w:r>
      <w:r>
        <w:rPr/>
        <w:t>methods, which require the determination of </w:t>
      </w:r>
      <w:r>
        <w:rPr>
          <w:i/>
        </w:rPr>
        <w:t>in situ </w:t>
      </w:r>
      <w:r>
        <w:rPr/>
        <w:t>stresses,</w:t>
      </w:r>
    </w:p>
    <w:p>
      <w:pPr>
        <w:spacing w:after="0" w:line="184" w:lineRule="exact"/>
        <w:sectPr>
          <w:type w:val="continuous"/>
          <w:pgSz w:w="12240" w:h="15840"/>
          <w:pgMar w:top="400" w:bottom="280" w:left="580" w:right="600"/>
          <w:cols w:num="3" w:equalWidth="0">
            <w:col w:w="5275" w:space="40"/>
            <w:col w:w="283" w:space="39"/>
            <w:col w:w="5423"/>
          </w:cols>
        </w:sectPr>
      </w:pPr>
    </w:p>
    <w:p>
      <w:pPr>
        <w:pStyle w:val="BodyText"/>
        <w:tabs>
          <w:tab w:pos="5880" w:val="left" w:leader="none"/>
        </w:tabs>
        <w:spacing w:line="201" w:lineRule="exact"/>
        <w:ind w:left="553"/>
      </w:pPr>
      <w:r>
        <w:rPr/>
        <w:pict>
          <v:shape style="position:absolute;margin-left:173.132797pt;margin-top:18.823956pt;width:2.95pt;height:5.85pt;mso-position-horizontal-relative:page;mso-position-vertical-relative:paragraph;z-index:25173299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day</w:t>
      </w:r>
      <w:r>
        <w:rPr>
          <w:position w:val="7"/>
          <w:sz w:val="11"/>
        </w:rPr>
        <w:t>–1 </w:t>
      </w:r>
      <w:r>
        <w:rPr>
          <w:spacing w:val="15"/>
          <w:position w:val="7"/>
          <w:sz w:val="11"/>
        </w:rPr>
        <w:t> </w:t>
      </w:r>
      <w:r>
        <w:rPr/>
        <w:t>was</w:t>
      </w:r>
      <w:r>
        <w:rPr>
          <w:spacing w:val="22"/>
        </w:rPr>
        <w:t> </w:t>
      </w:r>
      <w:r>
        <w:rPr/>
        <w:t>measured,</w:t>
      </w:r>
      <w:r>
        <w:rPr>
          <w:spacing w:val="21"/>
        </w:rPr>
        <w:t> </w:t>
      </w:r>
      <w:r>
        <w:rPr/>
        <w:t>as</w:t>
      </w:r>
      <w:r>
        <w:rPr>
          <w:spacing w:val="22"/>
        </w:rPr>
        <w:t> </w:t>
      </w:r>
      <w:r>
        <w:rPr/>
        <w:t>compared</w:t>
      </w:r>
      <w:r>
        <w:rPr>
          <w:spacing w:val="21"/>
        </w:rPr>
        <w:t> </w:t>
      </w:r>
      <w:r>
        <w:rPr/>
        <w:t>to</w:t>
      </w:r>
      <w:r>
        <w:rPr>
          <w:spacing w:val="21"/>
        </w:rPr>
        <w:t> </w:t>
      </w:r>
      <w:r>
        <w:rPr/>
        <w:t>a</w:t>
      </w:r>
      <w:r>
        <w:rPr>
          <w:spacing w:val="22"/>
        </w:rPr>
        <w:t> </w:t>
      </w:r>
      <w:r>
        <w:rPr/>
        <w:t>background</w:t>
      </w:r>
      <w:r>
        <w:rPr>
          <w:spacing w:val="21"/>
        </w:rPr>
        <w:t> </w:t>
      </w:r>
      <w:r>
        <w:rPr/>
        <w:t>level</w:t>
      </w:r>
      <w:r>
        <w:rPr>
          <w:spacing w:val="22"/>
        </w:rPr>
        <w:t> </w:t>
      </w:r>
      <w:r>
        <w:rPr/>
        <w:t>of</w:t>
      </w:r>
      <w:r>
        <w:rPr>
          <w:spacing w:val="21"/>
        </w:rPr>
        <w:t> </w:t>
      </w:r>
      <w:r>
        <w:rPr/>
        <w:t>7</w:t>
        <w:tab/>
        <w:t>fault</w:t>
      </w:r>
      <w:r>
        <w:rPr>
          <w:spacing w:val="-11"/>
        </w:rPr>
        <w:t> </w:t>
      </w:r>
      <w:r>
        <w:rPr/>
        <w:t>geometries</w:t>
      </w:r>
      <w:r>
        <w:rPr>
          <w:spacing w:val="-10"/>
        </w:rPr>
        <w:t> </w:t>
      </w:r>
      <w:r>
        <w:rPr/>
        <w:t>and</w:t>
      </w:r>
      <w:r>
        <w:rPr>
          <w:spacing w:val="-11"/>
        </w:rPr>
        <w:t> </w:t>
      </w:r>
      <w:r>
        <w:rPr/>
        <w:t>relevant</w:t>
      </w:r>
      <w:r>
        <w:rPr>
          <w:spacing w:val="-11"/>
        </w:rPr>
        <w:t> </w:t>
      </w:r>
      <w:r>
        <w:rPr/>
        <w:t>rock</w:t>
      </w:r>
      <w:r>
        <w:rPr>
          <w:spacing w:val="-11"/>
        </w:rPr>
        <w:t> </w:t>
      </w:r>
      <w:r>
        <w:rPr/>
        <w:t>strengths,</w:t>
      </w:r>
      <w:r>
        <w:rPr>
          <w:spacing w:val="-10"/>
        </w:rPr>
        <w:t> </w:t>
      </w:r>
      <w:r>
        <w:rPr/>
        <w:t>are</w:t>
      </w:r>
      <w:r>
        <w:rPr>
          <w:spacing w:val="-11"/>
        </w:rPr>
        <w:t> </w:t>
      </w:r>
      <w:r>
        <w:rPr/>
        <w:t>based</w:t>
      </w:r>
      <w:r>
        <w:rPr>
          <w:spacing w:val="-11"/>
        </w:rPr>
        <w:t> </w:t>
      </w:r>
      <w:r>
        <w:rPr/>
        <w:t>on</w:t>
      </w:r>
      <w:r>
        <w:rPr>
          <w:spacing w:val="-10"/>
        </w:rPr>
        <w:t> </w:t>
      </w:r>
      <w:r>
        <w:rPr/>
        <w:t>brittle</w:t>
      </w:r>
    </w:p>
    <w:p>
      <w:pPr>
        <w:spacing w:after="0" w:line="201" w:lineRule="exact"/>
        <w:sectPr>
          <w:type w:val="continuous"/>
          <w:pgSz w:w="12240" w:h="15840"/>
          <w:pgMar w:top="400" w:bottom="280" w:left="580" w:right="600"/>
        </w:sectPr>
      </w:pPr>
    </w:p>
    <w:p>
      <w:pPr>
        <w:spacing w:line="277" w:lineRule="exact" w:before="10"/>
        <w:ind w:left="553" w:right="0" w:firstLine="0"/>
        <w:jc w:val="left"/>
        <w:rPr>
          <w:sz w:val="11"/>
        </w:rPr>
      </w:pPr>
      <w:r>
        <w:rPr>
          <w:sz w:val="20"/>
        </w:rPr>
        <w:t>gCO</w:t>
      </w:r>
      <w:r>
        <w:rPr>
          <w:position w:val="-6"/>
          <w:sz w:val="11"/>
        </w:rPr>
        <w:t>2</w:t>
      </w:r>
    </w:p>
    <w:p>
      <w:pPr>
        <w:pStyle w:val="ListParagraph"/>
        <w:numPr>
          <w:ilvl w:val="1"/>
          <w:numId w:val="16"/>
        </w:numPr>
        <w:tabs>
          <w:tab w:pos="302" w:val="left" w:leader="none"/>
        </w:tabs>
        <w:spacing w:line="240" w:lineRule="auto" w:before="10" w:after="0"/>
        <w:ind w:left="301" w:right="0" w:hanging="298"/>
        <w:jc w:val="left"/>
        <w:rPr>
          <w:sz w:val="20"/>
        </w:rPr>
      </w:pPr>
      <w:r>
        <w:rPr>
          <w:sz w:val="20"/>
        </w:rPr>
        <w:br w:type="column"/>
        <w:t>day</w:t>
      </w:r>
      <w:r>
        <w:rPr>
          <w:position w:val="7"/>
          <w:sz w:val="11"/>
        </w:rPr>
        <w:t>–1</w:t>
      </w:r>
      <w:r>
        <w:rPr>
          <w:sz w:val="20"/>
        </w:rPr>
        <w:t>. By 1999,</w:t>
      </w:r>
      <w:r>
        <w:rPr>
          <w:spacing w:val="-14"/>
          <w:sz w:val="20"/>
        </w:rPr>
        <w:t> </w:t>
      </w:r>
      <w:r>
        <w:rPr>
          <w:sz w:val="20"/>
        </w:rPr>
        <w:t>CO</w:t>
      </w:r>
    </w:p>
    <w:p>
      <w:pPr>
        <w:pStyle w:val="BodyText"/>
        <w:spacing w:before="10"/>
        <w:ind w:left="4"/>
      </w:pPr>
      <w:r>
        <w:rPr/>
        <w:br w:type="column"/>
      </w:r>
      <w:r>
        <w:rPr/>
        <w:t>flow</w:t>
      </w:r>
      <w:r>
        <w:rPr>
          <w:spacing w:val="-11"/>
        </w:rPr>
        <w:t> </w:t>
      </w:r>
      <w:r>
        <w:rPr/>
        <w:t>in</w:t>
      </w:r>
      <w:r>
        <w:rPr>
          <w:spacing w:val="-11"/>
        </w:rPr>
        <w:t> </w:t>
      </w:r>
      <w:r>
        <w:rPr/>
        <w:t>the</w:t>
      </w:r>
      <w:r>
        <w:rPr>
          <w:spacing w:val="-11"/>
        </w:rPr>
        <w:t> </w:t>
      </w:r>
      <w:r>
        <w:rPr/>
        <w:t>measured</w:t>
      </w:r>
      <w:r>
        <w:rPr>
          <w:spacing w:val="-10"/>
        </w:rPr>
        <w:t> </w:t>
      </w:r>
      <w:r>
        <w:rPr/>
        <w:t>area</w:t>
      </w:r>
      <w:r>
        <w:rPr>
          <w:spacing w:val="-11"/>
        </w:rPr>
        <w:t> </w:t>
      </w:r>
      <w:r>
        <w:rPr/>
        <w:t>ceased</w:t>
      </w:r>
    </w:p>
    <w:p>
      <w:pPr>
        <w:pStyle w:val="BodyText"/>
        <w:spacing w:before="10"/>
        <w:ind w:left="242"/>
      </w:pPr>
      <w:r>
        <w:rPr/>
        <w:br w:type="column"/>
      </w:r>
      <w:r>
        <w:rPr/>
        <w:t>failure criteria and have been applied to several study sites for</w:t>
      </w:r>
    </w:p>
    <w:p>
      <w:pPr>
        <w:spacing w:after="0"/>
        <w:sectPr>
          <w:type w:val="continuous"/>
          <w:pgSz w:w="12240" w:h="15840"/>
          <w:pgMar w:top="400" w:bottom="280" w:left="580" w:right="600"/>
          <w:cols w:num="4" w:equalWidth="0">
            <w:col w:w="990" w:space="40"/>
            <w:col w:w="1911" w:space="39"/>
            <w:col w:w="2617" w:space="40"/>
            <w:col w:w="5423"/>
          </w:cols>
        </w:sectPr>
      </w:pPr>
    </w:p>
    <w:p>
      <w:pPr>
        <w:pStyle w:val="BodyText"/>
        <w:spacing w:line="193" w:lineRule="exact"/>
        <w:ind w:left="553"/>
        <w:jc w:val="both"/>
      </w:pPr>
      <w:r>
        <w:rPr/>
        <w:t>and vegetation began to return.</w:t>
      </w:r>
    </w:p>
    <w:p>
      <w:pPr>
        <w:pStyle w:val="BodyText"/>
        <w:spacing w:line="225" w:lineRule="auto" w:before="21"/>
        <w:ind w:left="553" w:firstLine="283"/>
        <w:jc w:val="both"/>
      </w:pPr>
      <w:r>
        <w:rPr/>
        <w:t>The relevance of these natural analogues to leakage </w:t>
      </w:r>
      <w:r>
        <w:rPr>
          <w:spacing w:val="-4"/>
        </w:rPr>
        <w:t>from </w:t>
      </w:r>
      <w:r>
        <w:rPr/>
        <w:t>CO</w:t>
      </w:r>
      <w:r>
        <w:rPr>
          <w:position w:val="-6"/>
          <w:sz w:val="11"/>
        </w:rPr>
        <w:t>2</w:t>
      </w:r>
      <w:r>
        <w:rPr>
          <w:spacing w:val="14"/>
          <w:position w:val="-6"/>
          <w:sz w:val="11"/>
        </w:rPr>
        <w:t> </w:t>
      </w:r>
      <w:r>
        <w:rPr/>
        <w:t>storage</w:t>
      </w:r>
      <w:r>
        <w:rPr>
          <w:spacing w:val="-9"/>
        </w:rPr>
        <w:t> </w:t>
      </w:r>
      <w:r>
        <w:rPr/>
        <w:t>varies.</w:t>
      </w:r>
      <w:r>
        <w:rPr>
          <w:spacing w:val="-9"/>
        </w:rPr>
        <w:t> </w:t>
      </w:r>
      <w:r>
        <w:rPr/>
        <w:t>For</w:t>
      </w:r>
      <w:r>
        <w:rPr>
          <w:spacing w:val="-8"/>
        </w:rPr>
        <w:t> </w:t>
      </w:r>
      <w:r>
        <w:rPr/>
        <w:t>examples</w:t>
      </w:r>
      <w:r>
        <w:rPr>
          <w:spacing w:val="-8"/>
        </w:rPr>
        <w:t> </w:t>
      </w:r>
      <w:r>
        <w:rPr/>
        <w:t>presented</w:t>
      </w:r>
      <w:r>
        <w:rPr>
          <w:spacing w:val="-8"/>
        </w:rPr>
        <w:t> </w:t>
      </w:r>
      <w:r>
        <w:rPr/>
        <w:t>here,</w:t>
      </w:r>
      <w:r>
        <w:rPr>
          <w:spacing w:val="-8"/>
        </w:rPr>
        <w:t> </w:t>
      </w:r>
      <w:r>
        <w:rPr/>
        <w:t>the</w:t>
      </w:r>
      <w:r>
        <w:rPr>
          <w:spacing w:val="-9"/>
        </w:rPr>
        <w:t> </w:t>
      </w:r>
      <w:r>
        <w:rPr/>
        <w:t>fluxes</w:t>
      </w:r>
      <w:r>
        <w:rPr>
          <w:spacing w:val="-8"/>
        </w:rPr>
        <w:t> </w:t>
      </w:r>
      <w:r>
        <w:rPr/>
        <w:t>and therefore</w:t>
      </w:r>
      <w:r>
        <w:rPr>
          <w:spacing w:val="-15"/>
        </w:rPr>
        <w:t> </w:t>
      </w:r>
      <w:r>
        <w:rPr/>
        <w:t>the</w:t>
      </w:r>
      <w:r>
        <w:rPr>
          <w:spacing w:val="-15"/>
        </w:rPr>
        <w:t> </w:t>
      </w:r>
      <w:r>
        <w:rPr/>
        <w:t>risks,</w:t>
      </w:r>
      <w:r>
        <w:rPr>
          <w:spacing w:val="-15"/>
        </w:rPr>
        <w:t> </w:t>
      </w:r>
      <w:r>
        <w:rPr/>
        <w:t>are</w:t>
      </w:r>
      <w:r>
        <w:rPr>
          <w:spacing w:val="-15"/>
        </w:rPr>
        <w:t> </w:t>
      </w:r>
      <w:r>
        <w:rPr/>
        <w:t>much</w:t>
      </w:r>
      <w:r>
        <w:rPr>
          <w:spacing w:val="-15"/>
        </w:rPr>
        <w:t> </w:t>
      </w:r>
      <w:r>
        <w:rPr/>
        <w:t>higher</w:t>
      </w:r>
      <w:r>
        <w:rPr>
          <w:spacing w:val="-15"/>
        </w:rPr>
        <w:t> </w:t>
      </w:r>
      <w:r>
        <w:rPr/>
        <w:t>than</w:t>
      </w:r>
      <w:r>
        <w:rPr>
          <w:spacing w:val="-15"/>
        </w:rPr>
        <w:t> </w:t>
      </w:r>
      <w:r>
        <w:rPr/>
        <w:t>might</w:t>
      </w:r>
      <w:r>
        <w:rPr>
          <w:spacing w:val="-15"/>
        </w:rPr>
        <w:t> </w:t>
      </w:r>
      <w:r>
        <w:rPr/>
        <w:t>be</w:t>
      </w:r>
      <w:r>
        <w:rPr>
          <w:spacing w:val="-15"/>
        </w:rPr>
        <w:t> </w:t>
      </w:r>
      <w:r>
        <w:rPr/>
        <w:t>expected</w:t>
      </w:r>
      <w:r>
        <w:rPr>
          <w:spacing w:val="-16"/>
        </w:rPr>
        <w:t> </w:t>
      </w:r>
      <w:r>
        <w:rPr>
          <w:spacing w:val="-4"/>
        </w:rPr>
        <w:t>from </w:t>
      </w:r>
      <w:r>
        <w:rPr/>
        <w:t>a CO</w:t>
      </w:r>
      <w:r>
        <w:rPr>
          <w:position w:val="-6"/>
          <w:sz w:val="11"/>
        </w:rPr>
        <w:t>2 </w:t>
      </w:r>
      <w:r>
        <w:rPr/>
        <w:t>storage facility: the annual flow of CO</w:t>
      </w:r>
      <w:r>
        <w:rPr>
          <w:position w:val="-6"/>
          <w:sz w:val="11"/>
        </w:rPr>
        <w:t>2 </w:t>
      </w:r>
      <w:r>
        <w:rPr/>
        <w:t>at the Mammoth Mountain</w:t>
      </w:r>
      <w:r>
        <w:rPr>
          <w:spacing w:val="24"/>
        </w:rPr>
        <w:t> </w:t>
      </w:r>
      <w:r>
        <w:rPr/>
        <w:t>site</w:t>
      </w:r>
      <w:r>
        <w:rPr>
          <w:spacing w:val="24"/>
        </w:rPr>
        <w:t> </w:t>
      </w:r>
      <w:r>
        <w:rPr/>
        <w:t>is</w:t>
      </w:r>
      <w:r>
        <w:rPr>
          <w:spacing w:val="24"/>
        </w:rPr>
        <w:t> </w:t>
      </w:r>
      <w:r>
        <w:rPr/>
        <w:t>roughly</w:t>
      </w:r>
      <w:r>
        <w:rPr>
          <w:spacing w:val="24"/>
        </w:rPr>
        <w:t> </w:t>
      </w:r>
      <w:r>
        <w:rPr/>
        <w:t>equal</w:t>
      </w:r>
      <w:r>
        <w:rPr>
          <w:spacing w:val="24"/>
        </w:rPr>
        <w:t> </w:t>
      </w:r>
      <w:r>
        <w:rPr/>
        <w:t>to</w:t>
      </w:r>
      <w:r>
        <w:rPr>
          <w:spacing w:val="24"/>
        </w:rPr>
        <w:t> </w:t>
      </w:r>
      <w:r>
        <w:rPr/>
        <w:t>a</w:t>
      </w:r>
      <w:r>
        <w:rPr>
          <w:spacing w:val="24"/>
        </w:rPr>
        <w:t> </w:t>
      </w:r>
      <w:r>
        <w:rPr/>
        <w:t>release</w:t>
      </w:r>
      <w:r>
        <w:rPr>
          <w:spacing w:val="24"/>
        </w:rPr>
        <w:t> </w:t>
      </w:r>
      <w:r>
        <w:rPr/>
        <w:t>rate</w:t>
      </w:r>
      <w:r>
        <w:rPr>
          <w:spacing w:val="25"/>
        </w:rPr>
        <w:t> </w:t>
      </w:r>
      <w:r>
        <w:rPr/>
        <w:t>on</w:t>
      </w:r>
      <w:r>
        <w:rPr>
          <w:spacing w:val="24"/>
        </w:rPr>
        <w:t> </w:t>
      </w:r>
      <w:r>
        <w:rPr/>
        <w:t>the</w:t>
      </w:r>
      <w:r>
        <w:rPr>
          <w:spacing w:val="24"/>
        </w:rPr>
        <w:t> </w:t>
      </w:r>
      <w:r>
        <w:rPr/>
        <w:t>order</w:t>
      </w:r>
    </w:p>
    <w:p>
      <w:pPr>
        <w:spacing w:line="187" w:lineRule="auto" w:before="0"/>
        <w:ind w:left="241" w:right="0" w:firstLine="0"/>
        <w:jc w:val="left"/>
        <w:rPr>
          <w:sz w:val="20"/>
        </w:rPr>
      </w:pPr>
      <w:r>
        <w:rPr/>
        <w:br w:type="column"/>
      </w:r>
      <w:r>
        <w:rPr>
          <w:sz w:val="20"/>
        </w:rPr>
        <w:t>potential CO</w:t>
      </w:r>
      <w:r>
        <w:rPr>
          <w:position w:val="-6"/>
          <w:sz w:val="11"/>
        </w:rPr>
        <w:t>2 </w:t>
      </w:r>
      <w:r>
        <w:rPr>
          <w:sz w:val="20"/>
        </w:rPr>
        <w:t>storage (Rigg </w:t>
      </w:r>
      <w:r>
        <w:rPr>
          <w:i/>
          <w:sz w:val="20"/>
        </w:rPr>
        <w:t>et al.</w:t>
      </w:r>
      <w:r>
        <w:rPr>
          <w:sz w:val="20"/>
        </w:rPr>
        <w:t>, 2001; Gibson-Poole </w:t>
      </w:r>
      <w:r>
        <w:rPr>
          <w:i/>
          <w:sz w:val="20"/>
        </w:rPr>
        <w:t>et al.</w:t>
      </w:r>
      <w:r>
        <w:rPr>
          <w:sz w:val="20"/>
        </w:rPr>
        <w:t>,</w:t>
      </w:r>
    </w:p>
    <w:p>
      <w:pPr>
        <w:pStyle w:val="BodyText"/>
        <w:spacing w:line="210" w:lineRule="exact"/>
        <w:ind w:left="241"/>
      </w:pPr>
      <w:r>
        <w:rPr/>
        <w:t>2002).</w:t>
      </w:r>
    </w:p>
    <w:p>
      <w:pPr>
        <w:pStyle w:val="BodyText"/>
        <w:spacing w:line="249" w:lineRule="auto" w:before="3"/>
        <w:ind w:left="241" w:right="132" w:firstLine="283"/>
        <w:jc w:val="both"/>
      </w:pPr>
      <w:r>
        <w:rPr/>
        <w:t>The monitoring of microseismic events, especially in the vicinity of injection wells, can indicate whether pore fluid pressures have locally exceeded the strength of faults,</w:t>
      </w:r>
      <w:r>
        <w:rPr>
          <w:spacing w:val="-26"/>
        </w:rPr>
        <w:t> </w:t>
      </w:r>
      <w:r>
        <w:rPr/>
        <w:t>fractures or intact rock. Acoustic transducers that record</w:t>
      </w:r>
      <w:r>
        <w:rPr>
          <w:spacing w:val="18"/>
        </w:rPr>
        <w:t> </w:t>
      </w:r>
      <w:r>
        <w:rPr/>
        <w:t>microseismic</w:t>
      </w:r>
    </w:p>
    <w:p>
      <w:pPr>
        <w:spacing w:after="0" w:line="249" w:lineRule="auto"/>
        <w:jc w:val="both"/>
        <w:sectPr>
          <w:type w:val="continuous"/>
          <w:pgSz w:w="12240" w:h="15840"/>
          <w:pgMar w:top="400" w:bottom="280" w:left="580" w:right="600"/>
          <w:cols w:num="2" w:equalWidth="0">
            <w:col w:w="5599" w:space="40"/>
            <w:col w:w="5421"/>
          </w:cols>
        </w:sectPr>
      </w:pPr>
    </w:p>
    <w:p>
      <w:pPr>
        <w:pStyle w:val="BodyText"/>
        <w:spacing w:before="3"/>
        <w:ind w:left="553"/>
      </w:pPr>
      <w:r>
        <w:rPr/>
        <w:pict>
          <v:shape style="position:absolute;margin-left:282.061188pt;margin-top:8.443438pt;width:2.95pt;height:5.85pt;mso-position-horizontal-relative:page;mso-position-vertical-relative:paragraph;z-index:-25882828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of 0.2% yr</w:t>
      </w:r>
      <w:r>
        <w:rPr>
          <w:position w:val="7"/>
          <w:sz w:val="11"/>
        </w:rPr>
        <w:t>-1 </w:t>
      </w:r>
      <w:r>
        <w:rPr/>
        <w:t>from a storage site containing 100 MtCO . This</w:t>
      </w:r>
    </w:p>
    <w:p>
      <w:pPr>
        <w:pStyle w:val="BodyText"/>
        <w:spacing w:line="277" w:lineRule="exact" w:before="3"/>
        <w:ind w:left="243"/>
        <w:rPr>
          <w:sz w:val="11"/>
        </w:rPr>
      </w:pPr>
      <w:r>
        <w:rPr/>
        <w:br w:type="column"/>
      </w:r>
      <w:r>
        <w:rPr/>
        <w:t>events in monitoring wells of CO</w:t>
      </w:r>
      <w:r>
        <w:rPr>
          <w:position w:val="-6"/>
          <w:sz w:val="11"/>
        </w:rPr>
        <w:t>2</w:t>
      </w:r>
    </w:p>
    <w:p>
      <w:pPr>
        <w:pStyle w:val="BodyText"/>
        <w:spacing w:before="3"/>
        <w:ind w:left="39"/>
      </w:pPr>
      <w:r>
        <w:rPr/>
        <w:br w:type="column"/>
      </w:r>
      <w:r>
        <w:rPr/>
        <w:t>storage sites can be used</w:t>
      </w:r>
    </w:p>
    <w:p>
      <w:pPr>
        <w:spacing w:after="0"/>
        <w:sectPr>
          <w:type w:val="continuous"/>
          <w:pgSz w:w="12240" w:h="15840"/>
          <w:pgMar w:top="400" w:bottom="280" w:left="580" w:right="600"/>
          <w:cols w:num="3" w:equalWidth="0">
            <w:col w:w="5597" w:space="40"/>
            <w:col w:w="3122" w:space="39"/>
            <w:col w:w="2262"/>
          </w:cols>
        </w:sectPr>
      </w:pPr>
    </w:p>
    <w:p>
      <w:pPr>
        <w:pStyle w:val="BodyText"/>
        <w:spacing w:line="194" w:lineRule="exact"/>
        <w:ind w:left="553"/>
        <w:jc w:val="both"/>
      </w:pPr>
      <w:r>
        <w:rPr/>
        <w:t>corresponds to a fraction retained of 13.5% over 1000 years</w:t>
      </w:r>
    </w:p>
    <w:p>
      <w:pPr>
        <w:pStyle w:val="BodyText"/>
        <w:spacing w:before="10"/>
        <w:ind w:left="553"/>
        <w:jc w:val="both"/>
      </w:pPr>
      <w:r>
        <w:rPr/>
        <w:t>and, thus, is not representative of a typical storage site.</w:t>
      </w:r>
    </w:p>
    <w:p>
      <w:pPr>
        <w:pStyle w:val="BodyText"/>
        <w:spacing w:line="240" w:lineRule="exact" w:before="4"/>
        <w:ind w:left="553" w:firstLine="283"/>
        <w:jc w:val="both"/>
      </w:pPr>
      <w:r>
        <w:rPr/>
        <w:t>Seepage from  offshore  geological  storage  sites  may pose a hazard to benthic environments and organisms as </w:t>
      </w:r>
      <w:r>
        <w:rPr>
          <w:spacing w:val="-6"/>
        </w:rPr>
        <w:t>the </w:t>
      </w:r>
      <w:r>
        <w:rPr/>
        <w:t>CO</w:t>
      </w:r>
      <w:r>
        <w:rPr>
          <w:position w:val="-6"/>
          <w:sz w:val="11"/>
        </w:rPr>
        <w:t>2 </w:t>
      </w:r>
      <w:r>
        <w:rPr/>
        <w:t>moves from deep geological structures through benthic sediments to the ocean. While leaking CO</w:t>
      </w:r>
      <w:r>
        <w:rPr>
          <w:position w:val="-6"/>
          <w:sz w:val="11"/>
        </w:rPr>
        <w:t>2 </w:t>
      </w:r>
      <w:r>
        <w:rPr/>
        <w:t>might be hazardous to the benthic environment, the seabed and overlying seawater can also provide a barrier, reducing the escape of seeping CO</w:t>
      </w:r>
      <w:r>
        <w:rPr>
          <w:position w:val="-6"/>
          <w:sz w:val="11"/>
        </w:rPr>
        <w:t>2 </w:t>
      </w:r>
      <w:r>
        <w:rPr/>
        <w:t>to the atmosphere. These hazards are distinctly different </w:t>
      </w:r>
      <w:r>
        <w:rPr>
          <w:spacing w:val="-4"/>
        </w:rPr>
        <w:t>from </w:t>
      </w:r>
      <w:r>
        <w:rPr/>
        <w:t>the</w:t>
      </w:r>
      <w:r>
        <w:rPr>
          <w:spacing w:val="-10"/>
        </w:rPr>
        <w:t> </w:t>
      </w:r>
      <w:r>
        <w:rPr/>
        <w:t>environmental</w:t>
      </w:r>
      <w:r>
        <w:rPr>
          <w:spacing w:val="-9"/>
        </w:rPr>
        <w:t> </w:t>
      </w:r>
      <w:r>
        <w:rPr/>
        <w:t>effects</w:t>
      </w:r>
      <w:r>
        <w:rPr>
          <w:spacing w:val="-9"/>
        </w:rPr>
        <w:t> </w:t>
      </w:r>
      <w:r>
        <w:rPr/>
        <w:t>of</w:t>
      </w:r>
      <w:r>
        <w:rPr>
          <w:spacing w:val="-9"/>
        </w:rPr>
        <w:t> </w:t>
      </w:r>
      <w:r>
        <w:rPr/>
        <w:t>the</w:t>
      </w:r>
      <w:r>
        <w:rPr>
          <w:spacing w:val="-9"/>
        </w:rPr>
        <w:t> </w:t>
      </w:r>
      <w:r>
        <w:rPr/>
        <w:t>dissolved</w:t>
      </w:r>
      <w:r>
        <w:rPr>
          <w:spacing w:val="-10"/>
        </w:rPr>
        <w:t> </w:t>
      </w:r>
      <w:r>
        <w:rPr/>
        <w:t>CO</w:t>
      </w:r>
      <w:r>
        <w:rPr>
          <w:position w:val="-6"/>
          <w:sz w:val="11"/>
        </w:rPr>
        <w:t>2</w:t>
      </w:r>
      <w:r>
        <w:rPr>
          <w:spacing w:val="13"/>
          <w:position w:val="-6"/>
          <w:sz w:val="11"/>
        </w:rPr>
        <w:t> </w:t>
      </w:r>
      <w:r>
        <w:rPr/>
        <w:t>on</w:t>
      </w:r>
      <w:r>
        <w:rPr>
          <w:spacing w:val="-9"/>
        </w:rPr>
        <w:t> </w:t>
      </w:r>
      <w:r>
        <w:rPr/>
        <w:t>aquatic</w:t>
      </w:r>
      <w:r>
        <w:rPr>
          <w:spacing w:val="-9"/>
        </w:rPr>
        <w:t> </w:t>
      </w:r>
      <w:r>
        <w:rPr/>
        <w:t>life</w:t>
      </w:r>
      <w:r>
        <w:rPr>
          <w:spacing w:val="-9"/>
        </w:rPr>
        <w:t> </w:t>
      </w:r>
      <w:r>
        <w:rPr>
          <w:spacing w:val="-7"/>
        </w:rPr>
        <w:t>in </w:t>
      </w:r>
      <w:r>
        <w:rPr/>
        <w:t>the</w:t>
      </w:r>
      <w:r>
        <w:rPr>
          <w:spacing w:val="-6"/>
        </w:rPr>
        <w:t> </w:t>
      </w:r>
      <w:r>
        <w:rPr/>
        <w:t>water</w:t>
      </w:r>
      <w:r>
        <w:rPr>
          <w:spacing w:val="-6"/>
        </w:rPr>
        <w:t> </w:t>
      </w:r>
      <w:r>
        <w:rPr/>
        <w:t>column,</w:t>
      </w:r>
      <w:r>
        <w:rPr>
          <w:spacing w:val="-5"/>
        </w:rPr>
        <w:t> </w:t>
      </w:r>
      <w:r>
        <w:rPr/>
        <w:t>which</w:t>
      </w:r>
      <w:r>
        <w:rPr>
          <w:spacing w:val="-6"/>
        </w:rPr>
        <w:t> </w:t>
      </w:r>
      <w:r>
        <w:rPr/>
        <w:t>are</w:t>
      </w:r>
      <w:r>
        <w:rPr>
          <w:spacing w:val="-5"/>
        </w:rPr>
        <w:t> </w:t>
      </w:r>
      <w:r>
        <w:rPr/>
        <w:t>discussed</w:t>
      </w:r>
      <w:r>
        <w:rPr>
          <w:spacing w:val="-6"/>
        </w:rPr>
        <w:t> </w:t>
      </w:r>
      <w:r>
        <w:rPr/>
        <w:t>in</w:t>
      </w:r>
      <w:r>
        <w:rPr>
          <w:spacing w:val="-5"/>
        </w:rPr>
        <w:t> </w:t>
      </w:r>
      <w:r>
        <w:rPr/>
        <w:t>Chapter</w:t>
      </w:r>
      <w:r>
        <w:rPr>
          <w:spacing w:val="-6"/>
        </w:rPr>
        <w:t> </w:t>
      </w:r>
      <w:r>
        <w:rPr/>
        <w:t>6.</w:t>
      </w:r>
      <w:r>
        <w:rPr>
          <w:spacing w:val="-5"/>
        </w:rPr>
        <w:t> </w:t>
      </w:r>
      <w:r>
        <w:rPr/>
        <w:t>No</w:t>
      </w:r>
      <w:r>
        <w:rPr>
          <w:spacing w:val="-6"/>
        </w:rPr>
        <w:t> </w:t>
      </w:r>
      <w:r>
        <w:rPr/>
        <w:t>studies specifically address the environmental effects of seepage from sub-seabed geological storage</w:t>
      </w:r>
      <w:r>
        <w:rPr>
          <w:spacing w:val="-4"/>
        </w:rPr>
        <w:t> </w:t>
      </w:r>
      <w:r>
        <w:rPr/>
        <w:t>sites.</w:t>
      </w:r>
    </w:p>
    <w:p>
      <w:pPr>
        <w:pStyle w:val="BodyText"/>
        <w:spacing w:line="194" w:lineRule="exact"/>
        <w:ind w:left="242"/>
        <w:jc w:val="both"/>
      </w:pPr>
      <w:r>
        <w:rPr/>
        <w:br w:type="column"/>
      </w:r>
      <w:r>
        <w:rPr/>
        <w:t>to provide real-time control to keep injection pressures below</w:t>
      </w:r>
    </w:p>
    <w:p>
      <w:pPr>
        <w:pStyle w:val="BodyText"/>
        <w:spacing w:line="240" w:lineRule="exact" w:before="4"/>
        <w:ind w:left="242" w:right="132"/>
        <w:jc w:val="both"/>
      </w:pPr>
      <w:r>
        <w:rPr/>
        <w:t>the levels that induce </w:t>
      </w:r>
      <w:r>
        <w:rPr>
          <w:spacing w:val="-3"/>
        </w:rPr>
        <w:t>seismicity. </w:t>
      </w:r>
      <w:r>
        <w:rPr/>
        <w:t>Together with the modelling techniques mentioned above, monitoring can reduce the</w:t>
      </w:r>
      <w:r>
        <w:rPr>
          <w:spacing w:val="-31"/>
        </w:rPr>
        <w:t> </w:t>
      </w:r>
      <w:r>
        <w:rPr>
          <w:spacing w:val="-3"/>
        </w:rPr>
        <w:t>chance </w:t>
      </w:r>
      <w:r>
        <w:rPr/>
        <w:t>of damage to top seals and fault seals (at CO</w:t>
      </w:r>
      <w:r>
        <w:rPr>
          <w:position w:val="-6"/>
          <w:sz w:val="11"/>
        </w:rPr>
        <w:t>2 </w:t>
      </w:r>
      <w:r>
        <w:rPr/>
        <w:t>storage sites) caused by injection-related pore-pressure increases.</w:t>
      </w:r>
    </w:p>
    <w:p>
      <w:pPr>
        <w:pStyle w:val="BodyText"/>
        <w:spacing w:line="249" w:lineRule="auto" w:before="6"/>
        <w:ind w:left="242" w:right="133" w:firstLine="283"/>
        <w:jc w:val="both"/>
      </w:pPr>
      <w:r>
        <w:rPr/>
        <w:t>Fault activation is primarily dependent on the extent and magnitude of the pore-fluid-pressure perturbations. It </w:t>
      </w:r>
      <w:r>
        <w:rPr>
          <w:spacing w:val="-6"/>
        </w:rPr>
        <w:t>is </w:t>
      </w:r>
      <w:r>
        <w:rPr/>
        <w:t>therefore determined more by the quantity and rate than </w:t>
      </w:r>
      <w:r>
        <w:rPr>
          <w:spacing w:val="-6"/>
        </w:rPr>
        <w:t>by   </w:t>
      </w:r>
      <w:r>
        <w:rPr/>
        <w:t>the kind of fluid injected. Estimates of the risk of inducing significant earthquakes may therefore be based on the diverse and extensive experience with deep-well injection of various aqueous and gaseous streams for disposal and storage. Perhaps the most pertinent experience is the injection of CO</w:t>
      </w:r>
      <w:r>
        <w:rPr>
          <w:position w:val="-6"/>
          <w:sz w:val="11"/>
        </w:rPr>
        <w:t>2 </w:t>
      </w:r>
      <w:r>
        <w:rPr/>
        <w:t>for</w:t>
      </w:r>
      <w:r>
        <w:rPr>
          <w:spacing w:val="8"/>
        </w:rPr>
        <w:t> </w:t>
      </w:r>
      <w:r>
        <w:rPr>
          <w:spacing w:val="-3"/>
        </w:rPr>
        <w:t>EOR;</w:t>
      </w:r>
    </w:p>
    <w:p>
      <w:pPr>
        <w:spacing w:after="0" w:line="249" w:lineRule="auto"/>
        <w:jc w:val="both"/>
        <w:sectPr>
          <w:type w:val="continuous"/>
          <w:pgSz w:w="12240" w:h="15840"/>
          <w:pgMar w:top="400" w:bottom="280" w:left="580" w:right="600"/>
          <w:cols w:num="2" w:equalWidth="0">
            <w:col w:w="5598" w:space="40"/>
            <w:col w:w="5422"/>
          </w:cols>
        </w:sectPr>
      </w:pPr>
    </w:p>
    <w:p>
      <w:pPr>
        <w:pStyle w:val="BodyText"/>
        <w:spacing w:line="182" w:lineRule="auto"/>
        <w:jc w:val="right"/>
        <w:rPr>
          <w:sz w:val="11"/>
        </w:rPr>
      </w:pPr>
      <w:r>
        <w:rPr/>
        <w:t>about 30 MtCO</w:t>
      </w:r>
      <w:r>
        <w:rPr>
          <w:position w:val="-6"/>
          <w:sz w:val="11"/>
        </w:rPr>
        <w:t>2</w:t>
      </w:r>
    </w:p>
    <w:p>
      <w:pPr>
        <w:pStyle w:val="BodyText"/>
        <w:spacing w:line="186" w:lineRule="exact"/>
        <w:ind w:left="27"/>
      </w:pPr>
      <w:r>
        <w:rPr/>
        <w:br w:type="column"/>
      </w:r>
      <w:r>
        <w:rPr/>
        <w:t>yr</w:t>
      </w:r>
      <w:r>
        <w:rPr>
          <w:position w:val="7"/>
          <w:sz w:val="11"/>
        </w:rPr>
        <w:t>-1 </w:t>
      </w:r>
      <w:r>
        <w:rPr/>
        <w:t>is now injected for EOR worldwide and</w:t>
      </w:r>
    </w:p>
    <w:p>
      <w:pPr>
        <w:spacing w:after="0" w:line="186" w:lineRule="exact"/>
        <w:sectPr>
          <w:type w:val="continuous"/>
          <w:pgSz w:w="12240" w:h="15840"/>
          <w:pgMar w:top="400" w:bottom="280" w:left="580" w:right="600"/>
          <w:cols w:num="2" w:equalWidth="0">
            <w:col w:w="7231" w:space="40"/>
            <w:col w:w="3789"/>
          </w:cols>
        </w:sectPr>
      </w:pPr>
    </w:p>
    <w:p>
      <w:pPr>
        <w:pStyle w:val="ListParagraph"/>
        <w:numPr>
          <w:ilvl w:val="3"/>
          <w:numId w:val="15"/>
        </w:numPr>
        <w:tabs>
          <w:tab w:pos="1374" w:val="left" w:leader="none"/>
        </w:tabs>
        <w:spacing w:line="201" w:lineRule="exact" w:before="0" w:after="0"/>
        <w:ind w:left="1373" w:right="0" w:hanging="821"/>
        <w:jc w:val="both"/>
        <w:rPr>
          <w:i/>
          <w:sz w:val="20"/>
        </w:rPr>
      </w:pPr>
      <w:r>
        <w:rPr>
          <w:i/>
          <w:sz w:val="20"/>
        </w:rPr>
        <w:t>Induced</w:t>
      </w:r>
      <w:r>
        <w:rPr>
          <w:i/>
          <w:spacing w:val="-1"/>
          <w:sz w:val="20"/>
        </w:rPr>
        <w:t> </w:t>
      </w:r>
      <w:r>
        <w:rPr>
          <w:i/>
          <w:sz w:val="20"/>
        </w:rPr>
        <w:t>seismicity</w:t>
      </w:r>
    </w:p>
    <w:p>
      <w:pPr>
        <w:pStyle w:val="BodyText"/>
        <w:spacing w:line="240" w:lineRule="exact" w:before="4"/>
        <w:ind w:left="553"/>
        <w:jc w:val="both"/>
      </w:pPr>
      <w:r>
        <w:rPr/>
        <w:t>Underground injection of CO</w:t>
      </w:r>
      <w:r>
        <w:rPr>
          <w:position w:val="-6"/>
          <w:sz w:val="11"/>
        </w:rPr>
        <w:t>2 </w:t>
      </w:r>
      <w:r>
        <w:rPr/>
        <w:t>or other fluids into porous rock at pressures substantially higher than formation pressures can induce fracturing and movement along faults (see Section</w:t>
      </w:r>
      <w:r>
        <w:rPr>
          <w:spacing w:val="-30"/>
        </w:rPr>
        <w:t> </w:t>
      </w:r>
      <w:r>
        <w:rPr/>
        <w:t>5.5.4 and Healy </w:t>
      </w:r>
      <w:r>
        <w:rPr>
          <w:i/>
        </w:rPr>
        <w:t>et al.</w:t>
      </w:r>
      <w:r>
        <w:rPr/>
        <w:t>, 1968; Gibbs </w:t>
      </w:r>
      <w:r>
        <w:rPr>
          <w:i/>
        </w:rPr>
        <w:t>et al.</w:t>
      </w:r>
      <w:r>
        <w:rPr/>
        <w:t>, 1973; Raleigh </w:t>
      </w:r>
      <w:r>
        <w:rPr>
          <w:i/>
        </w:rPr>
        <w:t>et al.</w:t>
      </w:r>
      <w:r>
        <w:rPr/>
        <w:t>, 1976; Sminchak </w:t>
      </w:r>
      <w:r>
        <w:rPr>
          <w:i/>
        </w:rPr>
        <w:t>et al.</w:t>
      </w:r>
      <w:r>
        <w:rPr/>
        <w:t>, 2002; Streit </w:t>
      </w:r>
      <w:r>
        <w:rPr>
          <w:i/>
        </w:rPr>
        <w:t>et al.</w:t>
      </w:r>
      <w:r>
        <w:rPr/>
        <w:t>, 2005; </w:t>
      </w:r>
      <w:r>
        <w:rPr>
          <w:spacing w:val="-8"/>
        </w:rPr>
        <w:t>Wo </w:t>
      </w:r>
      <w:r>
        <w:rPr>
          <w:i/>
        </w:rPr>
        <w:t>et al.</w:t>
      </w:r>
      <w:r>
        <w:rPr/>
        <w:t>, 2005). Induced fracturing and fault activation may pose two </w:t>
      </w:r>
      <w:r>
        <w:rPr>
          <w:spacing w:val="-4"/>
        </w:rPr>
        <w:t>kinds  </w:t>
      </w:r>
      <w:r>
        <w:rPr>
          <w:spacing w:val="42"/>
        </w:rPr>
        <w:t> </w:t>
      </w:r>
      <w:r>
        <w:rPr/>
        <w:t>of risks. First, brittle failure and associated microseismicity induced by overpressuring can create or enhance fracture permeability, thus providing pathways for unwanted </w:t>
      </w:r>
      <w:r>
        <w:rPr>
          <w:spacing w:val="-5"/>
        </w:rPr>
        <w:t>CO</w:t>
      </w:r>
      <w:r>
        <w:rPr>
          <w:spacing w:val="-5"/>
          <w:position w:val="-6"/>
          <w:sz w:val="11"/>
        </w:rPr>
        <w:t>2 </w:t>
      </w:r>
      <w:r>
        <w:rPr/>
        <w:t>migration</w:t>
      </w:r>
      <w:r>
        <w:rPr>
          <w:spacing w:val="-10"/>
        </w:rPr>
        <w:t> </w:t>
      </w:r>
      <w:r>
        <w:rPr/>
        <w:t>(Streit</w:t>
      </w:r>
      <w:r>
        <w:rPr>
          <w:spacing w:val="-9"/>
        </w:rPr>
        <w:t> </w:t>
      </w:r>
      <w:r>
        <w:rPr/>
        <w:t>and</w:t>
      </w:r>
      <w:r>
        <w:rPr>
          <w:spacing w:val="-9"/>
        </w:rPr>
        <w:t> </w:t>
      </w:r>
      <w:r>
        <w:rPr/>
        <w:t>Hillis,</w:t>
      </w:r>
      <w:r>
        <w:rPr>
          <w:spacing w:val="-9"/>
        </w:rPr>
        <w:t> </w:t>
      </w:r>
      <w:r>
        <w:rPr/>
        <w:t>2003).</w:t>
      </w:r>
      <w:r>
        <w:rPr>
          <w:spacing w:val="-9"/>
        </w:rPr>
        <w:t> </w:t>
      </w:r>
      <w:r>
        <w:rPr/>
        <w:t>Second,</w:t>
      </w:r>
      <w:r>
        <w:rPr>
          <w:spacing w:val="-9"/>
        </w:rPr>
        <w:t> </w:t>
      </w:r>
      <w:r>
        <w:rPr/>
        <w:t>fault</w:t>
      </w:r>
      <w:r>
        <w:rPr>
          <w:spacing w:val="-9"/>
        </w:rPr>
        <w:t> </w:t>
      </w:r>
      <w:r>
        <w:rPr/>
        <w:t>activation</w:t>
      </w:r>
      <w:r>
        <w:rPr>
          <w:spacing w:val="-10"/>
        </w:rPr>
        <w:t> </w:t>
      </w:r>
      <w:r>
        <w:rPr/>
        <w:t>can, in principle, induce earthquakes large enough to cause </w:t>
      </w:r>
      <w:r>
        <w:rPr>
          <w:spacing w:val="-3"/>
        </w:rPr>
        <w:t>damage </w:t>
      </w:r>
      <w:r>
        <w:rPr/>
        <w:t>(e.g., Healy </w:t>
      </w:r>
      <w:r>
        <w:rPr>
          <w:i/>
        </w:rPr>
        <w:t>et al.</w:t>
      </w:r>
      <w:r>
        <w:rPr/>
        <w:t>,</w:t>
      </w:r>
      <w:r>
        <w:rPr>
          <w:spacing w:val="-1"/>
        </w:rPr>
        <w:t> </w:t>
      </w:r>
      <w:r>
        <w:rPr/>
        <w:t>1968).</w:t>
      </w:r>
    </w:p>
    <w:p>
      <w:pPr>
        <w:pStyle w:val="BodyText"/>
        <w:spacing w:line="249" w:lineRule="auto" w:before="6"/>
        <w:ind w:left="553" w:firstLine="283"/>
        <w:jc w:val="both"/>
      </w:pPr>
      <w:r>
        <w:rPr/>
        <w:t>Fluid injection into boreholes can induce microseismic activity, as for example at the Rangely Oil Field in Colorado, USA (Gibbs </w:t>
      </w:r>
      <w:r>
        <w:rPr>
          <w:i/>
        </w:rPr>
        <w:t>et al.</w:t>
      </w:r>
      <w:r>
        <w:rPr/>
        <w:t>, 1973; Raleigh </w:t>
      </w:r>
      <w:r>
        <w:rPr>
          <w:i/>
        </w:rPr>
        <w:t>et al.</w:t>
      </w:r>
      <w:r>
        <w:rPr/>
        <w:t>, 1976), in test sites</w:t>
      </w:r>
    </w:p>
    <w:p>
      <w:pPr>
        <w:pStyle w:val="BodyText"/>
        <w:spacing w:line="206" w:lineRule="auto"/>
        <w:ind w:left="241" w:right="134"/>
        <w:jc w:val="both"/>
      </w:pPr>
      <w:r>
        <w:rPr/>
        <w:br w:type="column"/>
      </w:r>
      <w:r>
        <w:rPr/>
        <w:t>the cumulative total injected exceeds 0.5 GtCO</w:t>
      </w:r>
      <w:r>
        <w:rPr>
          <w:position w:val="-6"/>
          <w:sz w:val="11"/>
        </w:rPr>
        <w:t>2</w:t>
      </w:r>
      <w:r>
        <w:rPr/>
        <w:t>, yet there</w:t>
      </w:r>
      <w:r>
        <w:rPr>
          <w:spacing w:val="-29"/>
        </w:rPr>
        <w:t> </w:t>
      </w:r>
      <w:r>
        <w:rPr/>
        <w:t>have been no significant seismic effects attributed to CO</w:t>
      </w:r>
      <w:r>
        <w:rPr>
          <w:position w:val="-6"/>
          <w:sz w:val="11"/>
        </w:rPr>
        <w:t>2</w:t>
      </w:r>
      <w:r>
        <w:rPr/>
        <w:t>-EOR. In addition to CO</w:t>
      </w:r>
      <w:r>
        <w:rPr>
          <w:position w:val="-6"/>
          <w:sz w:val="11"/>
        </w:rPr>
        <w:t>2</w:t>
      </w:r>
      <w:r>
        <w:rPr/>
        <w:t>, injected fluids include brines associated with oil</w:t>
      </w:r>
      <w:r>
        <w:rPr>
          <w:spacing w:val="-10"/>
        </w:rPr>
        <w:t> </w:t>
      </w:r>
      <w:r>
        <w:rPr/>
        <w:t>and</w:t>
      </w:r>
      <w:r>
        <w:rPr>
          <w:spacing w:val="-9"/>
        </w:rPr>
        <w:t> </w:t>
      </w:r>
      <w:r>
        <w:rPr/>
        <w:t>gas</w:t>
      </w:r>
      <w:r>
        <w:rPr>
          <w:spacing w:val="-9"/>
        </w:rPr>
        <w:t> </w:t>
      </w:r>
      <w:r>
        <w:rPr/>
        <w:t>production</w:t>
      </w:r>
      <w:r>
        <w:rPr>
          <w:spacing w:val="-10"/>
        </w:rPr>
        <w:t> </w:t>
      </w:r>
      <w:r>
        <w:rPr/>
        <w:t>(&gt;2</w:t>
      </w:r>
      <w:r>
        <w:rPr>
          <w:spacing w:val="-9"/>
        </w:rPr>
        <w:t> </w:t>
      </w:r>
      <w:r>
        <w:rPr/>
        <w:t>Gt</w:t>
      </w:r>
      <w:r>
        <w:rPr>
          <w:spacing w:val="-9"/>
        </w:rPr>
        <w:t> </w:t>
      </w:r>
      <w:r>
        <w:rPr/>
        <w:t>yr</w:t>
      </w:r>
      <w:r>
        <w:rPr>
          <w:position w:val="7"/>
          <w:sz w:val="11"/>
        </w:rPr>
        <w:t>–1</w:t>
      </w:r>
      <w:r>
        <w:rPr/>
        <w:t>);</w:t>
      </w:r>
      <w:r>
        <w:rPr>
          <w:spacing w:val="-9"/>
        </w:rPr>
        <w:t> </w:t>
      </w:r>
      <w:r>
        <w:rPr/>
        <w:t>Floridan</w:t>
      </w:r>
      <w:r>
        <w:rPr>
          <w:spacing w:val="-10"/>
        </w:rPr>
        <w:t> </w:t>
      </w:r>
      <w:r>
        <w:rPr/>
        <w:t>aquifer</w:t>
      </w:r>
      <w:r>
        <w:rPr>
          <w:spacing w:val="-9"/>
        </w:rPr>
        <w:t> </w:t>
      </w:r>
      <w:r>
        <w:rPr/>
        <w:t>wastewater</w:t>
      </w:r>
    </w:p>
    <w:p>
      <w:pPr>
        <w:pStyle w:val="BodyText"/>
        <w:spacing w:line="228" w:lineRule="exact"/>
        <w:ind w:left="241"/>
        <w:jc w:val="both"/>
      </w:pPr>
      <w:r>
        <w:rPr/>
        <w:t>(&gt;0.5 Gt yr</w:t>
      </w:r>
      <w:r>
        <w:rPr>
          <w:position w:val="7"/>
          <w:sz w:val="11"/>
        </w:rPr>
        <w:t>–1</w:t>
      </w:r>
      <w:r>
        <w:rPr/>
        <w:t>); hazardous wastes (&gt;30 Mt yr</w:t>
      </w:r>
      <w:r>
        <w:rPr>
          <w:position w:val="7"/>
          <w:sz w:val="11"/>
        </w:rPr>
        <w:t>–1</w:t>
      </w:r>
      <w:r>
        <w:rPr/>
        <w:t>); and natural</w:t>
      </w:r>
      <w:r>
        <w:rPr>
          <w:spacing w:val="36"/>
        </w:rPr>
        <w:t> </w:t>
      </w:r>
      <w:r>
        <w:rPr/>
        <w:t>gas</w:t>
      </w:r>
    </w:p>
    <w:p>
      <w:pPr>
        <w:spacing w:before="0"/>
        <w:ind w:left="241" w:right="0" w:firstLine="0"/>
        <w:jc w:val="both"/>
        <w:rPr>
          <w:sz w:val="20"/>
        </w:rPr>
      </w:pPr>
      <w:r>
        <w:rPr>
          <w:sz w:val="20"/>
        </w:rPr>
        <w:t>(&gt;100 Mt yr</w:t>
      </w:r>
      <w:r>
        <w:rPr>
          <w:position w:val="7"/>
          <w:sz w:val="11"/>
        </w:rPr>
        <w:t>–1</w:t>
      </w:r>
      <w:r>
        <w:rPr>
          <w:sz w:val="20"/>
        </w:rPr>
        <w:t>) (Wilson </w:t>
      </w:r>
      <w:r>
        <w:rPr>
          <w:i/>
          <w:sz w:val="20"/>
        </w:rPr>
        <w:t>et al.</w:t>
      </w:r>
      <w:r>
        <w:rPr>
          <w:sz w:val="20"/>
        </w:rPr>
        <w:t>, 2003).</w:t>
      </w:r>
    </w:p>
    <w:p>
      <w:pPr>
        <w:pStyle w:val="BodyText"/>
        <w:spacing w:line="240" w:lineRule="exact" w:before="4"/>
        <w:ind w:left="241" w:right="133" w:firstLine="283"/>
        <w:jc w:val="both"/>
      </w:pPr>
      <w:r>
        <w:rPr/>
        <w:t>While few of these cases may precisely mirror the conditions under which CO</w:t>
      </w:r>
      <w:r>
        <w:rPr>
          <w:position w:val="-6"/>
          <w:sz w:val="11"/>
        </w:rPr>
        <w:t>2 </w:t>
      </w:r>
      <w:r>
        <w:rPr/>
        <w:t>would be injected for storage (the peak pressures in CO</w:t>
      </w:r>
      <w:r>
        <w:rPr>
          <w:position w:val="-6"/>
          <w:sz w:val="11"/>
        </w:rPr>
        <w:t>2</w:t>
      </w:r>
      <w:r>
        <w:rPr/>
        <w:t>-EOR </w:t>
      </w:r>
      <w:r>
        <w:rPr>
          <w:spacing w:val="-4"/>
        </w:rPr>
        <w:t>may, </w:t>
      </w:r>
      <w:r>
        <w:rPr/>
        <w:t>for example, be lower </w:t>
      </w:r>
      <w:r>
        <w:rPr>
          <w:spacing w:val="-4"/>
        </w:rPr>
        <w:t>than </w:t>
      </w:r>
      <w:r>
        <w:rPr/>
        <w:t>would be used in formation storage), these quantities compare to or exceed, plausible flows of CO</w:t>
      </w:r>
      <w:r>
        <w:rPr>
          <w:position w:val="-6"/>
          <w:sz w:val="11"/>
        </w:rPr>
        <w:t>2 </w:t>
      </w:r>
      <w:r>
        <w:rPr/>
        <w:t>into storage. For example, in some cases such as the Rangely Oil Field, USA, current reservoir pressures even exceed the original formation</w:t>
      </w:r>
      <w:r>
        <w:rPr>
          <w:spacing w:val="-31"/>
        </w:rPr>
        <w:t> </w:t>
      </w:r>
      <w:r>
        <w:rPr/>
        <w:t>pressure (Raleigh </w:t>
      </w:r>
      <w:r>
        <w:rPr>
          <w:i/>
        </w:rPr>
        <w:t>et al.</w:t>
      </w:r>
      <w:r>
        <w:rPr/>
        <w:t>, 1976). Thus, they provide a substantial body of empirical data upon which to assess the likelihood of induced seismicity</w:t>
      </w:r>
      <w:r>
        <w:rPr>
          <w:spacing w:val="-16"/>
        </w:rPr>
        <w:t> </w:t>
      </w:r>
      <w:r>
        <w:rPr/>
        <w:t>resulting</w:t>
      </w:r>
      <w:r>
        <w:rPr>
          <w:spacing w:val="-15"/>
        </w:rPr>
        <w:t> </w:t>
      </w:r>
      <w:r>
        <w:rPr/>
        <w:t>from</w:t>
      </w:r>
      <w:r>
        <w:rPr>
          <w:spacing w:val="-15"/>
        </w:rPr>
        <w:t> </w:t>
      </w:r>
      <w:r>
        <w:rPr/>
        <w:t>fluid</w:t>
      </w:r>
      <w:r>
        <w:rPr>
          <w:spacing w:val="-16"/>
        </w:rPr>
        <w:t> </w:t>
      </w:r>
      <w:r>
        <w:rPr/>
        <w:t>injection.</w:t>
      </w:r>
      <w:r>
        <w:rPr>
          <w:spacing w:val="-19"/>
        </w:rPr>
        <w:t> </w:t>
      </w:r>
      <w:r>
        <w:rPr/>
        <w:t>The</w:t>
      </w:r>
      <w:r>
        <w:rPr>
          <w:spacing w:val="-15"/>
        </w:rPr>
        <w:t> </w:t>
      </w:r>
      <w:r>
        <w:rPr/>
        <w:t>fact</w:t>
      </w:r>
      <w:r>
        <w:rPr>
          <w:spacing w:val="-15"/>
        </w:rPr>
        <w:t> </w:t>
      </w:r>
      <w:r>
        <w:rPr/>
        <w:t>that</w:t>
      </w:r>
      <w:r>
        <w:rPr>
          <w:spacing w:val="-15"/>
        </w:rPr>
        <w:t> </w:t>
      </w:r>
      <w:r>
        <w:rPr/>
        <w:t>only</w:t>
      </w:r>
      <w:r>
        <w:rPr>
          <w:spacing w:val="-16"/>
        </w:rPr>
        <w:t> </w:t>
      </w:r>
      <w:r>
        <w:rPr/>
        <w:t>a</w:t>
      </w:r>
      <w:r>
        <w:rPr>
          <w:spacing w:val="-15"/>
        </w:rPr>
        <w:t> </w:t>
      </w:r>
      <w:r>
        <w:rPr/>
        <w:t>few</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jc w:val="both"/>
      </w:pPr>
      <w:bookmarkStart w:name="5.7.5 Risk assessment methodology" w:id="95"/>
      <w:bookmarkEnd w:id="95"/>
      <w:r>
        <w:rPr/>
      </w:r>
      <w:r>
        <w:rPr/>
        <w:t>individual seismic events associated with deep-well injection have</w:t>
      </w:r>
      <w:r>
        <w:rPr>
          <w:spacing w:val="-15"/>
        </w:rPr>
        <w:t> </w:t>
      </w:r>
      <w:r>
        <w:rPr/>
        <w:t>been</w:t>
      </w:r>
      <w:r>
        <w:rPr>
          <w:spacing w:val="-15"/>
        </w:rPr>
        <w:t> </w:t>
      </w:r>
      <w:r>
        <w:rPr/>
        <w:t>recorded</w:t>
      </w:r>
      <w:r>
        <w:rPr>
          <w:spacing w:val="-15"/>
        </w:rPr>
        <w:t> </w:t>
      </w:r>
      <w:r>
        <w:rPr/>
        <w:t>suggests</w:t>
      </w:r>
      <w:r>
        <w:rPr>
          <w:spacing w:val="-15"/>
        </w:rPr>
        <w:t> </w:t>
      </w:r>
      <w:r>
        <w:rPr/>
        <w:t>that</w:t>
      </w:r>
      <w:r>
        <w:rPr>
          <w:spacing w:val="-15"/>
        </w:rPr>
        <w:t> </w:t>
      </w:r>
      <w:r>
        <w:rPr/>
        <w:t>the</w:t>
      </w:r>
      <w:r>
        <w:rPr>
          <w:spacing w:val="-15"/>
        </w:rPr>
        <w:t> </w:t>
      </w:r>
      <w:r>
        <w:rPr/>
        <w:t>risks</w:t>
      </w:r>
      <w:r>
        <w:rPr>
          <w:spacing w:val="-15"/>
        </w:rPr>
        <w:t> </w:t>
      </w:r>
      <w:r>
        <w:rPr/>
        <w:t>are</w:t>
      </w:r>
      <w:r>
        <w:rPr>
          <w:spacing w:val="-15"/>
        </w:rPr>
        <w:t> </w:t>
      </w:r>
      <w:r>
        <w:rPr>
          <w:spacing w:val="-4"/>
        </w:rPr>
        <w:t>low.</w:t>
      </w:r>
      <w:r>
        <w:rPr>
          <w:spacing w:val="-15"/>
        </w:rPr>
        <w:t> </w:t>
      </w:r>
      <w:r>
        <w:rPr/>
        <w:t>Perhaps</w:t>
      </w:r>
      <w:r>
        <w:rPr>
          <w:spacing w:val="-15"/>
        </w:rPr>
        <w:t> </w:t>
      </w:r>
      <w:r>
        <w:rPr/>
        <w:t>more importantly, these experiences demonstrate that the regulatory limits imposed on injection pressures are sufficient to avoid significant injection-induced </w:t>
      </w:r>
      <w:r>
        <w:rPr>
          <w:spacing w:val="-3"/>
        </w:rPr>
        <w:t>seismicity. </w:t>
      </w:r>
      <w:r>
        <w:rPr/>
        <w:t>Designing CO</w:t>
      </w:r>
      <w:r>
        <w:rPr>
          <w:position w:val="-6"/>
          <w:sz w:val="11"/>
        </w:rPr>
        <w:t>2 </w:t>
      </w:r>
      <w:r>
        <w:rPr/>
        <w:t>storage projects to operate within these parameters should be possible. Nevertheless, because formation pressures in CO</w:t>
      </w:r>
      <w:r>
        <w:rPr>
          <w:position w:val="-6"/>
          <w:sz w:val="11"/>
        </w:rPr>
        <w:t>2 </w:t>
      </w:r>
      <w:r>
        <w:rPr/>
        <w:t>storage formations</w:t>
      </w:r>
      <w:r>
        <w:rPr>
          <w:spacing w:val="-9"/>
        </w:rPr>
        <w:t> </w:t>
      </w:r>
      <w:r>
        <w:rPr/>
        <w:t>may</w:t>
      </w:r>
      <w:r>
        <w:rPr>
          <w:spacing w:val="-7"/>
        </w:rPr>
        <w:t> </w:t>
      </w:r>
      <w:r>
        <w:rPr/>
        <w:t>exceed</w:t>
      </w:r>
      <w:r>
        <w:rPr>
          <w:spacing w:val="-8"/>
        </w:rPr>
        <w:t> </w:t>
      </w:r>
      <w:r>
        <w:rPr/>
        <w:t>those</w:t>
      </w:r>
      <w:r>
        <w:rPr>
          <w:spacing w:val="-8"/>
        </w:rPr>
        <w:t> </w:t>
      </w:r>
      <w:r>
        <w:rPr/>
        <w:t>found</w:t>
      </w:r>
      <w:r>
        <w:rPr>
          <w:spacing w:val="-7"/>
        </w:rPr>
        <w:t> </w:t>
      </w:r>
      <w:r>
        <w:rPr/>
        <w:t>in</w:t>
      </w:r>
      <w:r>
        <w:rPr>
          <w:spacing w:val="-7"/>
        </w:rPr>
        <w:t> </w:t>
      </w:r>
      <w:r>
        <w:rPr/>
        <w:t>CO</w:t>
      </w:r>
      <w:r>
        <w:rPr>
          <w:position w:val="-6"/>
          <w:sz w:val="11"/>
        </w:rPr>
        <w:t>2</w:t>
      </w:r>
      <w:r>
        <w:rPr/>
        <w:t>-EOR</w:t>
      </w:r>
      <w:r>
        <w:rPr>
          <w:spacing w:val="-7"/>
        </w:rPr>
        <w:t> </w:t>
      </w:r>
      <w:r>
        <w:rPr/>
        <w:t>projects,</w:t>
      </w:r>
      <w:r>
        <w:rPr>
          <w:spacing w:val="-9"/>
        </w:rPr>
        <w:t> </w:t>
      </w:r>
      <w:r>
        <w:rPr>
          <w:spacing w:val="-4"/>
        </w:rPr>
        <w:t>more </w:t>
      </w:r>
      <w:r>
        <w:rPr/>
        <w:t>experience with industrial-scale CO</w:t>
      </w:r>
      <w:r>
        <w:rPr>
          <w:position w:val="-6"/>
          <w:sz w:val="11"/>
        </w:rPr>
        <w:t>2 </w:t>
      </w:r>
      <w:r>
        <w:rPr/>
        <w:t>storage projects will be needed to fully assess risks of</w:t>
      </w:r>
      <w:r>
        <w:rPr>
          <w:spacing w:val="-3"/>
        </w:rPr>
        <w:t> </w:t>
      </w:r>
      <w:r>
        <w:rPr/>
        <w:t>microseismicity.</w:t>
      </w:r>
    </w:p>
    <w:p>
      <w:pPr>
        <w:pStyle w:val="BodyText"/>
        <w:spacing w:before="3"/>
        <w:rPr>
          <w:sz w:val="21"/>
        </w:rPr>
      </w:pPr>
    </w:p>
    <w:p>
      <w:pPr>
        <w:pStyle w:val="ListParagraph"/>
        <w:numPr>
          <w:ilvl w:val="3"/>
          <w:numId w:val="15"/>
        </w:numPr>
        <w:tabs>
          <w:tab w:pos="977" w:val="left" w:leader="none"/>
        </w:tabs>
        <w:spacing w:line="240" w:lineRule="auto" w:before="1" w:after="0"/>
        <w:ind w:left="977" w:right="0" w:hanging="820"/>
        <w:jc w:val="both"/>
        <w:rPr>
          <w:i/>
          <w:sz w:val="20"/>
        </w:rPr>
      </w:pPr>
      <w:r>
        <w:rPr>
          <w:i/>
          <w:sz w:val="20"/>
        </w:rPr>
        <w:t>Implications of gas impurity</w:t>
      </w:r>
    </w:p>
    <w:p>
      <w:pPr>
        <w:pStyle w:val="BodyText"/>
        <w:spacing w:line="240" w:lineRule="exact" w:before="4"/>
        <w:ind w:left="157" w:right="38"/>
        <w:jc w:val="both"/>
      </w:pPr>
      <w:r>
        <w:rPr/>
        <w:t>Under some circumstances, H</w:t>
      </w:r>
      <w:r>
        <w:rPr>
          <w:position w:val="-6"/>
          <w:sz w:val="11"/>
        </w:rPr>
        <w:t>2</w:t>
      </w:r>
      <w:r>
        <w:rPr/>
        <w:t>S, SO</w:t>
      </w:r>
      <w:r>
        <w:rPr>
          <w:position w:val="-6"/>
          <w:sz w:val="11"/>
        </w:rPr>
        <w:t>2</w:t>
      </w:r>
      <w:r>
        <w:rPr/>
        <w:t>, NO</w:t>
      </w:r>
      <w:r>
        <w:rPr>
          <w:position w:val="-6"/>
          <w:sz w:val="11"/>
        </w:rPr>
        <w:t>2 </w:t>
      </w:r>
      <w:r>
        <w:rPr/>
        <w:t>and other trace gases may be stored along with CO</w:t>
      </w:r>
      <w:r>
        <w:rPr>
          <w:position w:val="-6"/>
          <w:sz w:val="11"/>
        </w:rPr>
        <w:t>2 </w:t>
      </w:r>
      <w:r>
        <w:rPr/>
        <w:t>(Bryant and Lake, 2005; Knauss </w:t>
      </w:r>
      <w:r>
        <w:rPr>
          <w:i/>
        </w:rPr>
        <w:t>et al.</w:t>
      </w:r>
      <w:r>
        <w:rPr/>
        <w:t>, 2005) and this may affect the level of risk. For example, H</w:t>
      </w:r>
      <w:r>
        <w:rPr>
          <w:position w:val="-6"/>
          <w:sz w:val="11"/>
        </w:rPr>
        <w:t>2</w:t>
      </w:r>
      <w:r>
        <w:rPr/>
        <w:t>S is considerably more toxic than CO</w:t>
      </w:r>
      <w:r>
        <w:rPr>
          <w:position w:val="-6"/>
          <w:sz w:val="11"/>
        </w:rPr>
        <w:t>2 </w:t>
      </w:r>
      <w:r>
        <w:rPr/>
        <w:t>and well blow-outs containing H</w:t>
      </w:r>
      <w:r>
        <w:rPr>
          <w:position w:val="-6"/>
          <w:sz w:val="11"/>
        </w:rPr>
        <w:t>2</w:t>
      </w:r>
      <w:r>
        <w:rPr/>
        <w:t>S may present higher risks than well blow-outs from storage sites that contain only CO</w:t>
      </w:r>
      <w:r>
        <w:rPr>
          <w:position w:val="-6"/>
          <w:sz w:val="11"/>
        </w:rPr>
        <w:t>2</w:t>
      </w:r>
      <w:r>
        <w:rPr/>
        <w:t>. </w:t>
      </w:r>
      <w:r>
        <w:rPr>
          <w:spacing w:val="-3"/>
        </w:rPr>
        <w:t>Similarly, </w:t>
      </w:r>
      <w:r>
        <w:rPr/>
        <w:t>dissolution of SO</w:t>
      </w:r>
      <w:r>
        <w:rPr>
          <w:position w:val="-6"/>
          <w:sz w:val="11"/>
        </w:rPr>
        <w:t>2 </w:t>
      </w:r>
      <w:r>
        <w:rPr/>
        <w:t>in groundwater creates a far stronger acid than does dissolution of CO</w:t>
      </w:r>
      <w:r>
        <w:rPr>
          <w:position w:val="-6"/>
          <w:sz w:val="11"/>
        </w:rPr>
        <w:t>2</w:t>
      </w:r>
      <w:r>
        <w:rPr/>
        <w:t>; hence, the mobilization of</w:t>
      </w:r>
      <w:r>
        <w:rPr>
          <w:spacing w:val="-27"/>
        </w:rPr>
        <w:t> </w:t>
      </w:r>
      <w:r>
        <w:rPr/>
        <w:t>metals in groundwater and soils may be higher, leading to greater risk of</w:t>
      </w:r>
      <w:r>
        <w:rPr>
          <w:spacing w:val="-6"/>
        </w:rPr>
        <w:t> </w:t>
      </w:r>
      <w:r>
        <w:rPr/>
        <w:t>exposure</w:t>
      </w:r>
      <w:r>
        <w:rPr>
          <w:spacing w:val="-6"/>
        </w:rPr>
        <w:t> </w:t>
      </w:r>
      <w:r>
        <w:rPr/>
        <w:t>to</w:t>
      </w:r>
      <w:r>
        <w:rPr>
          <w:spacing w:val="-6"/>
        </w:rPr>
        <w:t> </w:t>
      </w:r>
      <w:r>
        <w:rPr/>
        <w:t>hazardous</w:t>
      </w:r>
      <w:r>
        <w:rPr>
          <w:spacing w:val="-6"/>
        </w:rPr>
        <w:t> </w:t>
      </w:r>
      <w:r>
        <w:rPr/>
        <w:t>levels</w:t>
      </w:r>
      <w:r>
        <w:rPr>
          <w:spacing w:val="-5"/>
        </w:rPr>
        <w:t> </w:t>
      </w:r>
      <w:r>
        <w:rPr/>
        <w:t>of</w:t>
      </w:r>
      <w:r>
        <w:rPr>
          <w:spacing w:val="-6"/>
        </w:rPr>
        <w:t> </w:t>
      </w:r>
      <w:r>
        <w:rPr/>
        <w:t>trace</w:t>
      </w:r>
      <w:r>
        <w:rPr>
          <w:spacing w:val="-6"/>
        </w:rPr>
        <w:t> </w:t>
      </w:r>
      <w:r>
        <w:rPr/>
        <w:t>metals.</w:t>
      </w:r>
      <w:r>
        <w:rPr>
          <w:spacing w:val="-10"/>
        </w:rPr>
        <w:t> </w:t>
      </w:r>
      <w:r>
        <w:rPr/>
        <w:t>While</w:t>
      </w:r>
      <w:r>
        <w:rPr>
          <w:spacing w:val="-5"/>
        </w:rPr>
        <w:t> </w:t>
      </w:r>
      <w:r>
        <w:rPr/>
        <w:t>there</w:t>
      </w:r>
      <w:r>
        <w:rPr>
          <w:spacing w:val="-6"/>
        </w:rPr>
        <w:t> </w:t>
      </w:r>
      <w:r>
        <w:rPr>
          <w:spacing w:val="-5"/>
        </w:rPr>
        <w:t>has </w:t>
      </w:r>
      <w:r>
        <w:rPr/>
        <w:t>not been a systematic and comprehensive assessment of how these additional constituents would affect the risks associated with CO</w:t>
      </w:r>
      <w:r>
        <w:rPr>
          <w:position w:val="-6"/>
          <w:sz w:val="11"/>
        </w:rPr>
        <w:t>2 </w:t>
      </w:r>
      <w:r>
        <w:rPr/>
        <w:t>storage, it is worth noting that at Weyburn, one of the most carefully monitored CO</w:t>
      </w:r>
      <w:r>
        <w:rPr>
          <w:position w:val="-6"/>
          <w:sz w:val="11"/>
        </w:rPr>
        <w:t>2 </w:t>
      </w:r>
      <w:r>
        <w:rPr/>
        <w:t>injection projects and one</w:t>
      </w:r>
      <w:r>
        <w:rPr>
          <w:spacing w:val="-29"/>
        </w:rPr>
        <w:t> </w:t>
      </w:r>
      <w:r>
        <w:rPr>
          <w:spacing w:val="-5"/>
        </w:rPr>
        <w:t>for </w:t>
      </w:r>
      <w:r>
        <w:rPr/>
        <w:t>which</w:t>
      </w:r>
      <w:r>
        <w:rPr>
          <w:spacing w:val="-14"/>
        </w:rPr>
        <w:t> </w:t>
      </w:r>
      <w:r>
        <w:rPr/>
        <w:t>a</w:t>
      </w:r>
      <w:r>
        <w:rPr>
          <w:spacing w:val="-13"/>
        </w:rPr>
        <w:t> </w:t>
      </w:r>
      <w:r>
        <w:rPr/>
        <w:t>considerable</w:t>
      </w:r>
      <w:r>
        <w:rPr>
          <w:spacing w:val="-14"/>
        </w:rPr>
        <w:t> </w:t>
      </w:r>
      <w:r>
        <w:rPr/>
        <w:t>effort</w:t>
      </w:r>
      <w:r>
        <w:rPr>
          <w:spacing w:val="-13"/>
        </w:rPr>
        <w:t> </w:t>
      </w:r>
      <w:r>
        <w:rPr/>
        <w:t>has</w:t>
      </w:r>
      <w:r>
        <w:rPr>
          <w:spacing w:val="-13"/>
        </w:rPr>
        <w:t> </w:t>
      </w:r>
      <w:r>
        <w:rPr/>
        <w:t>been</w:t>
      </w:r>
      <w:r>
        <w:rPr>
          <w:spacing w:val="-13"/>
        </w:rPr>
        <w:t> </w:t>
      </w:r>
      <w:r>
        <w:rPr/>
        <w:t>devoted</w:t>
      </w:r>
      <w:r>
        <w:rPr>
          <w:spacing w:val="-13"/>
        </w:rPr>
        <w:t> </w:t>
      </w:r>
      <w:r>
        <w:rPr/>
        <w:t>to</w:t>
      </w:r>
      <w:r>
        <w:rPr>
          <w:spacing w:val="-12"/>
        </w:rPr>
        <w:t> </w:t>
      </w:r>
      <w:r>
        <w:rPr/>
        <w:t>risk</w:t>
      </w:r>
      <w:r>
        <w:rPr>
          <w:spacing w:val="-13"/>
        </w:rPr>
        <w:t> </w:t>
      </w:r>
      <w:r>
        <w:rPr/>
        <w:t>assessment, the injected gas contains approximately  2%  H</w:t>
      </w:r>
      <w:r>
        <w:rPr>
          <w:position w:val="-6"/>
          <w:sz w:val="11"/>
        </w:rPr>
        <w:t>2</w:t>
      </w:r>
      <w:r>
        <w:rPr/>
        <w:t>S  (Wilson  and Monea, 2005). </w:t>
      </w:r>
      <w:r>
        <w:rPr>
          <w:spacing w:val="-7"/>
        </w:rPr>
        <w:t>To </w:t>
      </w:r>
      <w:r>
        <w:rPr/>
        <w:t>date, most risk assessment</w:t>
      </w:r>
      <w:r>
        <w:rPr>
          <w:spacing w:val="50"/>
        </w:rPr>
        <w:t> </w:t>
      </w:r>
      <w:r>
        <w:rPr/>
        <w:t>studies</w:t>
      </w:r>
      <w:r>
        <w:rPr>
          <w:spacing w:val="50"/>
        </w:rPr>
        <w:t> </w:t>
      </w:r>
      <w:r>
        <w:rPr/>
        <w:t>have assumed that only CO</w:t>
      </w:r>
      <w:r>
        <w:rPr>
          <w:position w:val="-6"/>
          <w:sz w:val="11"/>
        </w:rPr>
        <w:t>2 </w:t>
      </w:r>
      <w:r>
        <w:rPr/>
        <w:t>is stored; therefore, insufficient information is available to assess the risks associated with </w:t>
      </w:r>
      <w:r>
        <w:rPr>
          <w:spacing w:val="-4"/>
        </w:rPr>
        <w:t>gas </w:t>
      </w:r>
      <w:r>
        <w:rPr/>
        <w:t>impurities at the present time.</w:t>
      </w:r>
    </w:p>
    <w:p>
      <w:pPr>
        <w:pStyle w:val="BodyText"/>
        <w:spacing w:before="4"/>
        <w:rPr>
          <w:sz w:val="21"/>
        </w:rPr>
      </w:pPr>
    </w:p>
    <w:p>
      <w:pPr>
        <w:pStyle w:val="Heading2"/>
        <w:numPr>
          <w:ilvl w:val="2"/>
          <w:numId w:val="15"/>
        </w:numPr>
        <w:tabs>
          <w:tab w:pos="977" w:val="left" w:leader="none"/>
        </w:tabs>
        <w:spacing w:line="240" w:lineRule="auto" w:before="0" w:after="0"/>
        <w:ind w:left="977" w:right="0" w:hanging="820"/>
        <w:jc w:val="both"/>
        <w:rPr>
          <w:i/>
        </w:rPr>
      </w:pPr>
      <w:r>
        <w:rPr>
          <w:i/>
        </w:rPr>
        <w:t>Risk assessment methodology</w:t>
      </w:r>
    </w:p>
    <w:p>
      <w:pPr>
        <w:pStyle w:val="BodyText"/>
        <w:spacing w:before="3"/>
        <w:rPr>
          <w:b/>
          <w:i/>
          <w:sz w:val="21"/>
        </w:rPr>
      </w:pPr>
    </w:p>
    <w:p>
      <w:pPr>
        <w:pStyle w:val="BodyText"/>
        <w:spacing w:line="240" w:lineRule="exact"/>
        <w:ind w:left="157" w:right="38"/>
        <w:jc w:val="both"/>
      </w:pPr>
      <w:r>
        <w:rPr/>
        <w:t>Risk assessment aims to identify and quantify potential risks caused by the subsurface injection of CO</w:t>
      </w:r>
      <w:r>
        <w:rPr>
          <w:position w:val="-6"/>
          <w:sz w:val="11"/>
        </w:rPr>
        <w:t>2</w:t>
      </w:r>
      <w:r>
        <w:rPr/>
        <w:t>, where risk denotes a combination (often the product) of the probability of an</w:t>
      </w:r>
      <w:r>
        <w:rPr>
          <w:spacing w:val="-30"/>
        </w:rPr>
        <w:t> </w:t>
      </w:r>
      <w:r>
        <w:rPr/>
        <w:t>event happening and the consequences of the event. Risk assessment should be an integral element of risk-management activities, spanning site selection, site characterization, storage system design, monitoring and, if necessary,</w:t>
      </w:r>
      <w:r>
        <w:rPr>
          <w:spacing w:val="-3"/>
        </w:rPr>
        <w:t> </w:t>
      </w:r>
      <w:r>
        <w:rPr/>
        <w:t>remediation.</w:t>
      </w:r>
    </w:p>
    <w:p>
      <w:pPr>
        <w:pStyle w:val="BodyText"/>
        <w:spacing w:line="240" w:lineRule="exact"/>
        <w:ind w:left="157" w:right="38" w:firstLine="283"/>
        <w:jc w:val="both"/>
      </w:pPr>
      <w:r>
        <w:rPr/>
        <w:t>The operation of a CO</w:t>
      </w:r>
      <w:r>
        <w:rPr>
          <w:position w:val="-6"/>
          <w:sz w:val="11"/>
        </w:rPr>
        <w:t>2 </w:t>
      </w:r>
      <w:r>
        <w:rPr/>
        <w:t>storage facility will necessarily involve risks arising from the operation of surface facilities such as pipelines, compressors and wellheads. The assessment of such risks is routine practice in the oil and gas industry and available assessment methods like hazard and operability </w:t>
      </w:r>
      <w:r>
        <w:rPr>
          <w:spacing w:val="-5"/>
        </w:rPr>
        <w:t>and </w:t>
      </w:r>
      <w:r>
        <w:rPr/>
        <w:t>quantitative</w:t>
      </w:r>
      <w:r>
        <w:rPr>
          <w:spacing w:val="-11"/>
        </w:rPr>
        <w:t> </w:t>
      </w:r>
      <w:r>
        <w:rPr/>
        <w:t>risk</w:t>
      </w:r>
      <w:r>
        <w:rPr>
          <w:spacing w:val="-11"/>
        </w:rPr>
        <w:t> </w:t>
      </w:r>
      <w:r>
        <w:rPr/>
        <w:t>assessment</w:t>
      </w:r>
      <w:r>
        <w:rPr>
          <w:spacing w:val="-10"/>
        </w:rPr>
        <w:t> </w:t>
      </w:r>
      <w:r>
        <w:rPr/>
        <w:t>are</w:t>
      </w:r>
      <w:r>
        <w:rPr>
          <w:spacing w:val="-11"/>
        </w:rPr>
        <w:t> </w:t>
      </w:r>
      <w:r>
        <w:rPr/>
        <w:t>directly</w:t>
      </w:r>
      <w:r>
        <w:rPr>
          <w:spacing w:val="-11"/>
        </w:rPr>
        <w:t> </w:t>
      </w:r>
      <w:r>
        <w:rPr/>
        <w:t>applicable.</w:t>
      </w:r>
      <w:r>
        <w:rPr>
          <w:spacing w:val="-21"/>
        </w:rPr>
        <w:t> </w:t>
      </w:r>
      <w:r>
        <w:rPr/>
        <w:t>Assessment of such risks can be made with considerable confidence, because estimates of failure probabilities and the </w:t>
      </w:r>
      <w:r>
        <w:rPr>
          <w:spacing w:val="-2"/>
        </w:rPr>
        <w:t>consequences </w:t>
      </w:r>
      <w:r>
        <w:rPr/>
        <w:t>of failure can be based directly on experience.  </w:t>
      </w:r>
      <w:r>
        <w:rPr>
          <w:spacing w:val="-4"/>
        </w:rPr>
        <w:t>Techniques </w:t>
      </w:r>
      <w:r>
        <w:rPr/>
        <w:t>used for assessment of operational risks will not, in general, </w:t>
      </w:r>
      <w:r>
        <w:rPr>
          <w:spacing w:val="-6"/>
        </w:rPr>
        <w:t>be </w:t>
      </w:r>
      <w:r>
        <w:rPr/>
        <w:t>readily</w:t>
      </w:r>
      <w:r>
        <w:rPr>
          <w:spacing w:val="-8"/>
        </w:rPr>
        <w:t> </w:t>
      </w:r>
      <w:r>
        <w:rPr/>
        <w:t>applicable</w:t>
      </w:r>
      <w:r>
        <w:rPr>
          <w:spacing w:val="-8"/>
        </w:rPr>
        <w:t> </w:t>
      </w:r>
      <w:r>
        <w:rPr/>
        <w:t>to</w:t>
      </w:r>
      <w:r>
        <w:rPr>
          <w:spacing w:val="-7"/>
        </w:rPr>
        <w:t> </w:t>
      </w:r>
      <w:r>
        <w:rPr/>
        <w:t>assessment</w:t>
      </w:r>
      <w:r>
        <w:rPr>
          <w:spacing w:val="-8"/>
        </w:rPr>
        <w:t> </w:t>
      </w:r>
      <w:r>
        <w:rPr/>
        <w:t>of</w:t>
      </w:r>
      <w:r>
        <w:rPr>
          <w:spacing w:val="-7"/>
        </w:rPr>
        <w:t> </w:t>
      </w:r>
      <w:r>
        <w:rPr/>
        <w:t>risks</w:t>
      </w:r>
      <w:r>
        <w:rPr>
          <w:spacing w:val="-8"/>
        </w:rPr>
        <w:t> </w:t>
      </w:r>
      <w:r>
        <w:rPr/>
        <w:t>arising</w:t>
      </w:r>
      <w:r>
        <w:rPr>
          <w:spacing w:val="-7"/>
        </w:rPr>
        <w:t> </w:t>
      </w:r>
      <w:r>
        <w:rPr/>
        <w:t>from</w:t>
      </w:r>
      <w:r>
        <w:rPr>
          <w:spacing w:val="-8"/>
        </w:rPr>
        <w:t> </w:t>
      </w:r>
      <w:r>
        <w:rPr/>
        <w:t>long-term storage of CO</w:t>
      </w:r>
      <w:r>
        <w:rPr>
          <w:position w:val="-6"/>
          <w:sz w:val="11"/>
        </w:rPr>
        <w:t>2 </w:t>
      </w:r>
      <w:r>
        <w:rPr/>
        <w:t>underground. However, they are applicable to the operating phase of a storage project. The remainder of this subsection addresses the long-term</w:t>
      </w:r>
      <w:r>
        <w:rPr>
          <w:spacing w:val="-2"/>
        </w:rPr>
        <w:t> </w:t>
      </w:r>
      <w:r>
        <w:rPr/>
        <w:t>risks.</w:t>
      </w:r>
    </w:p>
    <w:p>
      <w:pPr>
        <w:pStyle w:val="BodyText"/>
        <w:spacing w:line="240" w:lineRule="exact" w:before="58"/>
        <w:ind w:left="157" w:right="530" w:firstLine="283"/>
        <w:jc w:val="both"/>
      </w:pPr>
      <w:r>
        <w:rPr/>
        <w:br w:type="column"/>
      </w:r>
      <w:r>
        <w:rPr/>
        <w:t>Risk assessment methodologies are diverse; </w:t>
      </w:r>
      <w:r>
        <w:rPr>
          <w:spacing w:val="-5"/>
        </w:rPr>
        <w:t>new </w:t>
      </w:r>
      <w:r>
        <w:rPr/>
        <w:t>methodologies arise in response to new classes of problems. Because analysis of the  risks  posed  by  geological  storage  of CO</w:t>
      </w:r>
      <w:r>
        <w:rPr>
          <w:position w:val="-6"/>
          <w:sz w:val="11"/>
        </w:rPr>
        <w:t>2 </w:t>
      </w:r>
      <w:r>
        <w:rPr/>
        <w:t>is a new field, no well-established methodology for assessing</w:t>
      </w:r>
      <w:r>
        <w:rPr>
          <w:spacing w:val="-6"/>
        </w:rPr>
        <w:t> </w:t>
      </w:r>
      <w:r>
        <w:rPr/>
        <w:t>such</w:t>
      </w:r>
      <w:r>
        <w:rPr>
          <w:spacing w:val="-5"/>
        </w:rPr>
        <w:t> </w:t>
      </w:r>
      <w:r>
        <w:rPr/>
        <w:t>risks</w:t>
      </w:r>
      <w:r>
        <w:rPr>
          <w:spacing w:val="-6"/>
        </w:rPr>
        <w:t> </w:t>
      </w:r>
      <w:r>
        <w:rPr/>
        <w:t>exists.</w:t>
      </w:r>
      <w:r>
        <w:rPr>
          <w:spacing w:val="-5"/>
        </w:rPr>
        <w:t> </w:t>
      </w:r>
      <w:r>
        <w:rPr/>
        <w:t>Methods</w:t>
      </w:r>
      <w:r>
        <w:rPr>
          <w:spacing w:val="-6"/>
        </w:rPr>
        <w:t> </w:t>
      </w:r>
      <w:r>
        <w:rPr/>
        <w:t>dealing</w:t>
      </w:r>
      <w:r>
        <w:rPr>
          <w:spacing w:val="-5"/>
        </w:rPr>
        <w:t> </w:t>
      </w:r>
      <w:r>
        <w:rPr/>
        <w:t>with</w:t>
      </w:r>
      <w:r>
        <w:rPr>
          <w:spacing w:val="-5"/>
        </w:rPr>
        <w:t> </w:t>
      </w:r>
      <w:r>
        <w:rPr/>
        <w:t>the</w:t>
      </w:r>
      <w:r>
        <w:rPr>
          <w:spacing w:val="-6"/>
        </w:rPr>
        <w:t> </w:t>
      </w:r>
      <w:r>
        <w:rPr/>
        <w:t>long-term risks</w:t>
      </w:r>
      <w:r>
        <w:rPr>
          <w:spacing w:val="-6"/>
        </w:rPr>
        <w:t> </w:t>
      </w:r>
      <w:r>
        <w:rPr/>
        <w:t>posed</w:t>
      </w:r>
      <w:r>
        <w:rPr>
          <w:spacing w:val="-5"/>
        </w:rPr>
        <w:t> </w:t>
      </w:r>
      <w:r>
        <w:rPr/>
        <w:t>by</w:t>
      </w:r>
      <w:r>
        <w:rPr>
          <w:spacing w:val="-5"/>
        </w:rPr>
        <w:t> </w:t>
      </w:r>
      <w:r>
        <w:rPr/>
        <w:t>the</w:t>
      </w:r>
      <w:r>
        <w:rPr>
          <w:spacing w:val="-5"/>
        </w:rPr>
        <w:t> </w:t>
      </w:r>
      <w:r>
        <w:rPr/>
        <w:t>transport</w:t>
      </w:r>
      <w:r>
        <w:rPr>
          <w:spacing w:val="-5"/>
        </w:rPr>
        <w:t> </w:t>
      </w:r>
      <w:r>
        <w:rPr/>
        <w:t>of</w:t>
      </w:r>
      <w:r>
        <w:rPr>
          <w:spacing w:val="-5"/>
        </w:rPr>
        <w:t> </w:t>
      </w:r>
      <w:r>
        <w:rPr/>
        <w:t>materials</w:t>
      </w:r>
      <w:r>
        <w:rPr>
          <w:spacing w:val="-5"/>
        </w:rPr>
        <w:t> </w:t>
      </w:r>
      <w:r>
        <w:rPr/>
        <w:t>through</w:t>
      </w:r>
      <w:r>
        <w:rPr>
          <w:spacing w:val="-5"/>
        </w:rPr>
        <w:t> </w:t>
      </w:r>
      <w:r>
        <w:rPr/>
        <w:t>the</w:t>
      </w:r>
      <w:r>
        <w:rPr>
          <w:spacing w:val="-5"/>
        </w:rPr>
        <w:t> </w:t>
      </w:r>
      <w:r>
        <w:rPr/>
        <w:t>subsurface have</w:t>
      </w:r>
      <w:r>
        <w:rPr>
          <w:spacing w:val="-9"/>
        </w:rPr>
        <w:t> </w:t>
      </w:r>
      <w:r>
        <w:rPr/>
        <w:t>been</w:t>
      </w:r>
      <w:r>
        <w:rPr>
          <w:spacing w:val="-8"/>
        </w:rPr>
        <w:t> </w:t>
      </w:r>
      <w:r>
        <w:rPr/>
        <w:t>developed</w:t>
      </w:r>
      <w:r>
        <w:rPr>
          <w:spacing w:val="-9"/>
        </w:rPr>
        <w:t> </w:t>
      </w:r>
      <w:r>
        <w:rPr/>
        <w:t>in</w:t>
      </w:r>
      <w:r>
        <w:rPr>
          <w:spacing w:val="-8"/>
        </w:rPr>
        <w:t> </w:t>
      </w:r>
      <w:r>
        <w:rPr/>
        <w:t>the</w:t>
      </w:r>
      <w:r>
        <w:rPr>
          <w:spacing w:val="-9"/>
        </w:rPr>
        <w:t> </w:t>
      </w:r>
      <w:r>
        <w:rPr/>
        <w:t>area</w:t>
      </w:r>
      <w:r>
        <w:rPr>
          <w:spacing w:val="-8"/>
        </w:rPr>
        <w:t> </w:t>
      </w:r>
      <w:r>
        <w:rPr/>
        <w:t>of</w:t>
      </w:r>
      <w:r>
        <w:rPr>
          <w:spacing w:val="-9"/>
        </w:rPr>
        <w:t> </w:t>
      </w:r>
      <w:r>
        <w:rPr/>
        <w:t>hazardous</w:t>
      </w:r>
      <w:r>
        <w:rPr>
          <w:spacing w:val="-8"/>
        </w:rPr>
        <w:t> </w:t>
      </w:r>
      <w:r>
        <w:rPr/>
        <w:t>and</w:t>
      </w:r>
      <w:r>
        <w:rPr>
          <w:spacing w:val="-9"/>
        </w:rPr>
        <w:t> </w:t>
      </w:r>
      <w:r>
        <w:rPr/>
        <w:t>nuclear</w:t>
      </w:r>
      <w:r>
        <w:rPr>
          <w:spacing w:val="-8"/>
        </w:rPr>
        <w:t> </w:t>
      </w:r>
      <w:r>
        <w:rPr/>
        <w:t>waste management (Hodgkinson and Sumerling, 1990; North, 1999). These techniques provide a useful basis for assessing the </w:t>
      </w:r>
      <w:r>
        <w:rPr>
          <w:spacing w:val="-3"/>
        </w:rPr>
        <w:t>risks </w:t>
      </w:r>
      <w:r>
        <w:rPr/>
        <w:t>of CO</w:t>
      </w:r>
      <w:r>
        <w:rPr>
          <w:position w:val="-6"/>
          <w:sz w:val="11"/>
        </w:rPr>
        <w:t>2 </w:t>
      </w:r>
      <w:r>
        <w:rPr/>
        <w:t>storage. Their applicability may be limited, however, because the focus of these techniques has been on assessing the low-volume disposal of hazardous materials, whereas the geological storage of CO</w:t>
      </w:r>
      <w:r>
        <w:rPr>
          <w:position w:val="-6"/>
          <w:sz w:val="11"/>
        </w:rPr>
        <w:t>2 </w:t>
      </w:r>
      <w:r>
        <w:rPr/>
        <w:t>is high-volume disposal of a</w:t>
      </w:r>
      <w:r>
        <w:rPr>
          <w:spacing w:val="-26"/>
        </w:rPr>
        <w:t> </w:t>
      </w:r>
      <w:r>
        <w:rPr/>
        <w:t>material that involves comparatively mild hazards.</w:t>
      </w:r>
    </w:p>
    <w:p>
      <w:pPr>
        <w:pStyle w:val="BodyText"/>
        <w:spacing w:line="249" w:lineRule="auto" w:before="5"/>
        <w:ind w:left="157" w:right="530" w:firstLine="283"/>
        <w:jc w:val="both"/>
      </w:pPr>
      <w:r>
        <w:rPr/>
        <w:t>Several substantial efforts are under way to assess  the risks posed by particular storage sites (Gale, 2003). These risk assessment activities cover a wide range of reservoirs, use a diversity of methods and consider a very wide class of risks. The description of a representative selection of these risk assessment efforts is summarized in </w:t>
      </w:r>
      <w:hyperlink w:history="true" w:anchor="_bookmark46">
        <w:r>
          <w:rPr>
            <w:spacing w:val="-3"/>
          </w:rPr>
          <w:t>Table</w:t>
        </w:r>
        <w:r>
          <w:rPr>
            <w:spacing w:val="-8"/>
          </w:rPr>
          <w:t> </w:t>
        </w:r>
        <w:r>
          <w:rPr/>
          <w:t>5.6.</w:t>
        </w:r>
      </w:hyperlink>
    </w:p>
    <w:p>
      <w:pPr>
        <w:pStyle w:val="BodyText"/>
        <w:spacing w:line="249" w:lineRule="auto" w:before="5"/>
        <w:ind w:left="157" w:right="530" w:firstLine="283"/>
        <w:jc w:val="both"/>
      </w:pPr>
      <w:r>
        <w:rPr/>
        <w:t>The development of a comprehensive catalogue of </w:t>
      </w:r>
      <w:r>
        <w:rPr>
          <w:spacing w:val="-5"/>
        </w:rPr>
        <w:t>the  </w:t>
      </w:r>
      <w:r>
        <w:rPr/>
        <w:t>risks and of the mechanisms that underlie them, provides </w:t>
      </w:r>
      <w:r>
        <w:rPr>
          <w:spacing w:val="-15"/>
        </w:rPr>
        <w:t>a </w:t>
      </w:r>
      <w:r>
        <w:rPr/>
        <w:t>good foundation for systematic risk  assessment.  Many  of  the ongoing risk assessment efforts are now cooperating </w:t>
      </w:r>
      <w:r>
        <w:rPr>
          <w:spacing w:val="-7"/>
        </w:rPr>
        <w:t>to </w:t>
      </w:r>
      <w:r>
        <w:rPr/>
        <w:t>identify, classify and screen all factors that may influence the safety of storage facilities, by using the features, events and processes</w:t>
      </w:r>
      <w:r>
        <w:rPr>
          <w:spacing w:val="-11"/>
        </w:rPr>
        <w:t> </w:t>
      </w:r>
      <w:r>
        <w:rPr/>
        <w:t>(FEP)</w:t>
      </w:r>
      <w:r>
        <w:rPr>
          <w:spacing w:val="-11"/>
        </w:rPr>
        <w:t> </w:t>
      </w:r>
      <w:r>
        <w:rPr/>
        <w:t>methodology.</w:t>
      </w:r>
      <w:r>
        <w:rPr>
          <w:spacing w:val="-10"/>
        </w:rPr>
        <w:t> </w:t>
      </w:r>
      <w:r>
        <w:rPr/>
        <w:t>In</w:t>
      </w:r>
      <w:r>
        <w:rPr>
          <w:spacing w:val="-11"/>
        </w:rPr>
        <w:t> </w:t>
      </w:r>
      <w:r>
        <w:rPr/>
        <w:t>this</w:t>
      </w:r>
      <w:r>
        <w:rPr>
          <w:spacing w:val="-11"/>
        </w:rPr>
        <w:t> </w:t>
      </w:r>
      <w:r>
        <w:rPr/>
        <w:t>context,</w:t>
      </w:r>
      <w:r>
        <w:rPr>
          <w:spacing w:val="-11"/>
        </w:rPr>
        <w:t> </w:t>
      </w:r>
      <w:r>
        <w:rPr>
          <w:i/>
        </w:rPr>
        <w:t>features</w:t>
      </w:r>
      <w:r>
        <w:rPr>
          <w:i/>
          <w:spacing w:val="-12"/>
        </w:rPr>
        <w:t> </w:t>
      </w:r>
      <w:r>
        <w:rPr/>
        <w:t>includes a list of parameters, such as storage reservoir permeability, caprock thickness and number of injection wells. </w:t>
      </w:r>
      <w:r>
        <w:rPr>
          <w:i/>
        </w:rPr>
        <w:t>Events </w:t>
      </w:r>
      <w:r>
        <w:rPr/>
        <w:t>includes processes such as seismic events, well blow-outs and penetration of the storage site by new wells. </w:t>
      </w:r>
      <w:r>
        <w:rPr>
          <w:i/>
        </w:rPr>
        <w:t>Processes </w:t>
      </w:r>
      <w:r>
        <w:rPr/>
        <w:t>refers to the physical and chemical processes, such as multiphase </w:t>
      </w:r>
      <w:r>
        <w:rPr>
          <w:spacing w:val="-4"/>
        </w:rPr>
        <w:t>flow, </w:t>
      </w:r>
      <w:r>
        <w:rPr/>
        <w:t>chemical reactions and geomechanical stress changes that influence storage capacity and </w:t>
      </w:r>
      <w:r>
        <w:rPr>
          <w:spacing w:val="-3"/>
        </w:rPr>
        <w:t>security. </w:t>
      </w:r>
      <w:r>
        <w:rPr/>
        <w:t>FEP databases tie information on individual FEPs to relevant literature and </w:t>
      </w:r>
      <w:r>
        <w:rPr>
          <w:spacing w:val="-3"/>
        </w:rPr>
        <w:t>allow </w:t>
      </w:r>
      <w:r>
        <w:rPr/>
        <w:t>classification</w:t>
      </w:r>
      <w:r>
        <w:rPr>
          <w:spacing w:val="-13"/>
        </w:rPr>
        <w:t> </w:t>
      </w:r>
      <w:r>
        <w:rPr/>
        <w:t>with</w:t>
      </w:r>
      <w:r>
        <w:rPr>
          <w:spacing w:val="-12"/>
        </w:rPr>
        <w:t> </w:t>
      </w:r>
      <w:r>
        <w:rPr/>
        <w:t>respect</w:t>
      </w:r>
      <w:r>
        <w:rPr>
          <w:spacing w:val="-13"/>
        </w:rPr>
        <w:t> </w:t>
      </w:r>
      <w:r>
        <w:rPr/>
        <w:t>to</w:t>
      </w:r>
      <w:r>
        <w:rPr>
          <w:spacing w:val="-12"/>
        </w:rPr>
        <w:t> </w:t>
      </w:r>
      <w:r>
        <w:rPr/>
        <w:t>likelihood,</w:t>
      </w:r>
      <w:r>
        <w:rPr>
          <w:spacing w:val="-13"/>
        </w:rPr>
        <w:t> </w:t>
      </w:r>
      <w:r>
        <w:rPr/>
        <w:t>spatial</w:t>
      </w:r>
      <w:r>
        <w:rPr>
          <w:spacing w:val="-12"/>
        </w:rPr>
        <w:t> </w:t>
      </w:r>
      <w:r>
        <w:rPr/>
        <w:t>scale,</w:t>
      </w:r>
      <w:r>
        <w:rPr>
          <w:spacing w:val="-13"/>
        </w:rPr>
        <w:t> </w:t>
      </w:r>
      <w:r>
        <w:rPr/>
        <w:t>time</w:t>
      </w:r>
      <w:r>
        <w:rPr>
          <w:spacing w:val="-12"/>
        </w:rPr>
        <w:t> </w:t>
      </w:r>
      <w:r>
        <w:rPr/>
        <w:t>scale and so on. However, there are alternative</w:t>
      </w:r>
      <w:r>
        <w:rPr>
          <w:spacing w:val="-6"/>
        </w:rPr>
        <w:t> </w:t>
      </w:r>
      <w:r>
        <w:rPr/>
        <w:t>approaches.</w:t>
      </w:r>
    </w:p>
    <w:p>
      <w:pPr>
        <w:pStyle w:val="BodyText"/>
        <w:spacing w:line="240" w:lineRule="exact" w:before="9"/>
        <w:ind w:left="157" w:right="530" w:firstLine="283"/>
        <w:jc w:val="both"/>
      </w:pPr>
      <w:r>
        <w:rPr/>
        <w:t>Most risk assessments involve the use of scenarios that describe possible future states of the storage facility and</w:t>
      </w:r>
      <w:r>
        <w:rPr>
          <w:spacing w:val="-20"/>
        </w:rPr>
        <w:t> </w:t>
      </w:r>
      <w:r>
        <w:rPr/>
        <w:t>events that result in leakage of CO</w:t>
      </w:r>
      <w:r>
        <w:rPr>
          <w:position w:val="-6"/>
          <w:sz w:val="11"/>
        </w:rPr>
        <w:t>2 </w:t>
      </w:r>
      <w:r>
        <w:rPr/>
        <w:t>or other risks. Each scenario may be considered as an assemblage of selected FEPs. Some risk assessments</w:t>
      </w:r>
      <w:r>
        <w:rPr>
          <w:spacing w:val="-10"/>
        </w:rPr>
        <w:t> </w:t>
      </w:r>
      <w:r>
        <w:rPr/>
        <w:t>define</w:t>
      </w:r>
      <w:r>
        <w:rPr>
          <w:spacing w:val="-9"/>
        </w:rPr>
        <w:t> </w:t>
      </w:r>
      <w:r>
        <w:rPr/>
        <w:t>a</w:t>
      </w:r>
      <w:r>
        <w:rPr>
          <w:spacing w:val="-9"/>
        </w:rPr>
        <w:t> </w:t>
      </w:r>
      <w:r>
        <w:rPr/>
        <w:t>reference</w:t>
      </w:r>
      <w:r>
        <w:rPr>
          <w:spacing w:val="-9"/>
        </w:rPr>
        <w:t> </w:t>
      </w:r>
      <w:r>
        <w:rPr/>
        <w:t>scenario</w:t>
      </w:r>
      <w:r>
        <w:rPr>
          <w:spacing w:val="-10"/>
        </w:rPr>
        <w:t> </w:t>
      </w:r>
      <w:r>
        <w:rPr/>
        <w:t>that</w:t>
      </w:r>
      <w:r>
        <w:rPr>
          <w:spacing w:val="-9"/>
        </w:rPr>
        <w:t> </w:t>
      </w:r>
      <w:r>
        <w:rPr/>
        <w:t>represents</w:t>
      </w:r>
      <w:r>
        <w:rPr>
          <w:spacing w:val="-10"/>
        </w:rPr>
        <w:t> </w:t>
      </w:r>
      <w:r>
        <w:rPr/>
        <w:t>the</w:t>
      </w:r>
      <w:r>
        <w:rPr>
          <w:spacing w:val="-9"/>
        </w:rPr>
        <w:t> </w:t>
      </w:r>
      <w:r>
        <w:rPr/>
        <w:t>most probable evolution of the system. </w:t>
      </w:r>
      <w:r>
        <w:rPr>
          <w:spacing w:val="-4"/>
        </w:rPr>
        <w:t>Variant </w:t>
      </w:r>
      <w:r>
        <w:rPr/>
        <w:t>scenarios are then constructed with alternative FEPs. </w:t>
      </w:r>
      <w:r>
        <w:rPr>
          <w:spacing w:val="-4"/>
        </w:rPr>
        <w:t>Various </w:t>
      </w:r>
      <w:r>
        <w:rPr/>
        <w:t>methods are used  to structure and rationalize the process of scenario definition in an attempt to reduce the role of subjective judgements in determining the outcomes.</w:t>
      </w:r>
    </w:p>
    <w:p>
      <w:pPr>
        <w:pStyle w:val="BodyText"/>
        <w:spacing w:line="240" w:lineRule="exact"/>
        <w:ind w:left="157" w:right="530" w:firstLine="283"/>
        <w:jc w:val="both"/>
      </w:pPr>
      <w:r>
        <w:rPr/>
        <w:t>Scenarios</w:t>
      </w:r>
      <w:r>
        <w:rPr>
          <w:spacing w:val="-18"/>
        </w:rPr>
        <w:t> </w:t>
      </w:r>
      <w:r>
        <w:rPr/>
        <w:t>are</w:t>
      </w:r>
      <w:r>
        <w:rPr>
          <w:spacing w:val="-18"/>
        </w:rPr>
        <w:t> </w:t>
      </w:r>
      <w:r>
        <w:rPr/>
        <w:t>the</w:t>
      </w:r>
      <w:r>
        <w:rPr>
          <w:spacing w:val="-17"/>
        </w:rPr>
        <w:t> </w:t>
      </w:r>
      <w:r>
        <w:rPr/>
        <w:t>starting</w:t>
      </w:r>
      <w:r>
        <w:rPr>
          <w:spacing w:val="-18"/>
        </w:rPr>
        <w:t> </w:t>
      </w:r>
      <w:r>
        <w:rPr/>
        <w:t>points</w:t>
      </w:r>
      <w:r>
        <w:rPr>
          <w:spacing w:val="-17"/>
        </w:rPr>
        <w:t> </w:t>
      </w:r>
      <w:r>
        <w:rPr/>
        <w:t>for</w:t>
      </w:r>
      <w:r>
        <w:rPr>
          <w:spacing w:val="-18"/>
        </w:rPr>
        <w:t> </w:t>
      </w:r>
      <w:r>
        <w:rPr/>
        <w:t>selecting</w:t>
      </w:r>
      <w:r>
        <w:rPr>
          <w:spacing w:val="-18"/>
        </w:rPr>
        <w:t> </w:t>
      </w:r>
      <w:r>
        <w:rPr/>
        <w:t>and</w:t>
      </w:r>
      <w:r>
        <w:rPr>
          <w:spacing w:val="-17"/>
        </w:rPr>
        <w:t> </w:t>
      </w:r>
      <w:r>
        <w:rPr/>
        <w:t>developing mathematical-physicalmodels(Section5.4.2).Suchperformance assessment models may include representations of all relevant components including the stored CO</w:t>
      </w:r>
      <w:r>
        <w:rPr>
          <w:position w:val="-6"/>
          <w:sz w:val="11"/>
        </w:rPr>
        <w:t>2</w:t>
      </w:r>
      <w:r>
        <w:rPr/>
        <w:t>, the reservoir, the seal, the</w:t>
      </w:r>
      <w:r>
        <w:rPr>
          <w:spacing w:val="-5"/>
        </w:rPr>
        <w:t> </w:t>
      </w:r>
      <w:r>
        <w:rPr/>
        <w:t>overburden,</w:t>
      </w:r>
      <w:r>
        <w:rPr>
          <w:spacing w:val="-4"/>
        </w:rPr>
        <w:t> </w:t>
      </w:r>
      <w:r>
        <w:rPr/>
        <w:t>the</w:t>
      </w:r>
      <w:r>
        <w:rPr>
          <w:spacing w:val="-4"/>
        </w:rPr>
        <w:t> </w:t>
      </w:r>
      <w:r>
        <w:rPr/>
        <w:t>soil</w:t>
      </w:r>
      <w:r>
        <w:rPr>
          <w:spacing w:val="-4"/>
        </w:rPr>
        <w:t> </w:t>
      </w:r>
      <w:r>
        <w:rPr/>
        <w:t>and</w:t>
      </w:r>
      <w:r>
        <w:rPr>
          <w:spacing w:val="-4"/>
        </w:rPr>
        <w:t> </w:t>
      </w:r>
      <w:r>
        <w:rPr/>
        <w:t>the</w:t>
      </w:r>
      <w:r>
        <w:rPr>
          <w:spacing w:val="-5"/>
        </w:rPr>
        <w:t> </w:t>
      </w:r>
      <w:r>
        <w:rPr/>
        <w:t>atmosphere.</w:t>
      </w:r>
      <w:r>
        <w:rPr>
          <w:spacing w:val="-4"/>
        </w:rPr>
        <w:t> </w:t>
      </w:r>
      <w:r>
        <w:rPr/>
        <w:t>Many</w:t>
      </w:r>
      <w:r>
        <w:rPr>
          <w:spacing w:val="-4"/>
        </w:rPr>
        <w:t> </w:t>
      </w:r>
      <w:r>
        <w:rPr/>
        <w:t>of</w:t>
      </w:r>
      <w:r>
        <w:rPr>
          <w:spacing w:val="-4"/>
        </w:rPr>
        <w:t> </w:t>
      </w:r>
      <w:r>
        <w:rPr/>
        <w:t>the</w:t>
      </w:r>
      <w:r>
        <w:rPr>
          <w:spacing w:val="-4"/>
        </w:rPr>
        <w:t> </w:t>
      </w:r>
      <w:r>
        <w:rPr/>
        <w:t>fluid- transport models used for risk assessment are derived from </w:t>
      </w:r>
      <w:r>
        <w:rPr>
          <w:spacing w:val="-4"/>
        </w:rPr>
        <w:t>(or </w:t>
      </w:r>
      <w:r>
        <w:rPr/>
        <w:t>identical to) well-established models used in the oil and gas or groundwater management industries (Section 5.4.2). The </w:t>
      </w:r>
      <w:r>
        <w:rPr>
          <w:spacing w:val="-3"/>
        </w:rPr>
        <w:t>detail </w:t>
      </w:r>
      <w:r>
        <w:rPr/>
        <w:t>or</w:t>
      </w:r>
      <w:r>
        <w:rPr>
          <w:spacing w:val="22"/>
        </w:rPr>
        <w:t> </w:t>
      </w:r>
      <w:r>
        <w:rPr/>
        <w:t>resolution</w:t>
      </w:r>
      <w:r>
        <w:rPr>
          <w:spacing w:val="23"/>
        </w:rPr>
        <w:t> </w:t>
      </w:r>
      <w:r>
        <w:rPr/>
        <w:t>of</w:t>
      </w:r>
      <w:r>
        <w:rPr>
          <w:spacing w:val="23"/>
        </w:rPr>
        <w:t> </w:t>
      </w:r>
      <w:r>
        <w:rPr/>
        <w:t>various</w:t>
      </w:r>
      <w:r>
        <w:rPr>
          <w:spacing w:val="23"/>
        </w:rPr>
        <w:t> </w:t>
      </w:r>
      <w:r>
        <w:rPr/>
        <w:t>components</w:t>
      </w:r>
      <w:r>
        <w:rPr>
          <w:spacing w:val="23"/>
        </w:rPr>
        <w:t> </w:t>
      </w:r>
      <w:r>
        <w:rPr/>
        <w:t>may</w:t>
      </w:r>
      <w:r>
        <w:rPr>
          <w:spacing w:val="22"/>
        </w:rPr>
        <w:t> </w:t>
      </w:r>
      <w:r>
        <w:rPr/>
        <w:t>vary</w:t>
      </w:r>
      <w:r>
        <w:rPr>
          <w:spacing w:val="23"/>
        </w:rPr>
        <w:t> </w:t>
      </w:r>
      <w:r>
        <w:rPr/>
        <w:t>greatly.</w:t>
      </w:r>
      <w:r>
        <w:rPr>
          <w:spacing w:val="23"/>
        </w:rPr>
        <w:t> </w:t>
      </w:r>
      <w:r>
        <w:rPr/>
        <w:t>Some</w:t>
      </w:r>
    </w:p>
    <w:p>
      <w:pPr>
        <w:spacing w:after="0" w:line="240" w:lineRule="exact"/>
        <w:jc w:val="both"/>
        <w:sectPr>
          <w:type w:val="continuous"/>
          <w:pgSz w:w="12240" w:h="15840"/>
          <w:pgMar w:top="400" w:bottom="280" w:left="580" w:right="600"/>
          <w:cols w:num="2" w:equalWidth="0">
            <w:col w:w="5242" w:space="84"/>
            <w:col w:w="5734"/>
          </w:cols>
        </w:sectPr>
      </w:pPr>
    </w:p>
    <w:p>
      <w:pPr>
        <w:pStyle w:val="BodyText"/>
      </w:pPr>
    </w:p>
    <w:p>
      <w:pPr>
        <w:pStyle w:val="BodyText"/>
        <w:spacing w:before="9"/>
      </w:pPr>
    </w:p>
    <w:p>
      <w:pPr>
        <w:spacing w:before="1" w:after="41"/>
        <w:ind w:left="553" w:right="0" w:firstLine="0"/>
        <w:jc w:val="left"/>
        <w:rPr>
          <w:sz w:val="18"/>
        </w:rPr>
      </w:pPr>
      <w:bookmarkStart w:name="5.7.6 Risk management" w:id="96"/>
      <w:bookmarkEnd w:id="96"/>
      <w:r>
        <w:rPr/>
      </w:r>
      <w:bookmarkStart w:name="_bookmark46" w:id="97"/>
      <w:bookmarkEnd w:id="97"/>
      <w:r>
        <w:rPr/>
      </w:r>
      <w:r>
        <w:rPr>
          <w:b/>
          <w:spacing w:val="-17"/>
          <w:w w:val="200"/>
          <w:sz w:val="18"/>
        </w:rPr>
        <w:t>t</w:t>
      </w:r>
      <w:r>
        <w:rPr>
          <w:b/>
          <w:sz w:val="18"/>
        </w:rPr>
        <w:t>able 5.6 </w:t>
      </w:r>
      <w:r>
        <w:rPr>
          <w:sz w:val="18"/>
        </w:rPr>
        <w:t>Representative </w:t>
      </w:r>
      <w:r>
        <w:rPr>
          <w:spacing w:val="-1"/>
          <w:sz w:val="18"/>
        </w:rPr>
        <w:t>selectio</w:t>
      </w:r>
      <w:r>
        <w:rPr>
          <w:sz w:val="18"/>
        </w:rPr>
        <w:t>n</w:t>
      </w:r>
      <w:r>
        <w:rPr>
          <w:spacing w:val="-1"/>
          <w:sz w:val="18"/>
        </w:rPr>
        <w:t> </w:t>
      </w:r>
      <w:r>
        <w:rPr>
          <w:sz w:val="18"/>
        </w:rPr>
        <w:t>of risk assessment models and e</w:t>
      </w:r>
      <w:r>
        <w:rPr>
          <w:spacing w:val="-4"/>
          <w:sz w:val="18"/>
        </w:rPr>
        <w:t>f</w:t>
      </w:r>
      <w:r>
        <w:rPr>
          <w:sz w:val="18"/>
        </w:rPr>
        <w:t>forts.</w:t>
      </w: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8117"/>
      </w:tblGrid>
      <w:tr>
        <w:trPr>
          <w:trHeight w:val="285" w:hRule="atLeast"/>
        </w:trPr>
        <w:tc>
          <w:tcPr>
            <w:tcW w:w="2246" w:type="dxa"/>
            <w:shd w:val="clear" w:color="auto" w:fill="E0EEE0"/>
          </w:tcPr>
          <w:p>
            <w:pPr>
              <w:pStyle w:val="TableParagraph"/>
              <w:spacing w:before="42"/>
              <w:ind w:left="78"/>
              <w:rPr>
                <w:b/>
                <w:sz w:val="18"/>
              </w:rPr>
            </w:pPr>
            <w:r>
              <w:rPr>
                <w:b/>
                <w:sz w:val="18"/>
              </w:rPr>
              <w:t>Project title</w:t>
            </w:r>
          </w:p>
        </w:tc>
        <w:tc>
          <w:tcPr>
            <w:tcW w:w="8117" w:type="dxa"/>
            <w:shd w:val="clear" w:color="auto" w:fill="E0EEE0"/>
          </w:tcPr>
          <w:p>
            <w:pPr>
              <w:pStyle w:val="TableParagraph"/>
              <w:spacing w:before="42"/>
              <w:ind w:left="78"/>
              <w:rPr>
                <w:b/>
                <w:sz w:val="18"/>
              </w:rPr>
            </w:pPr>
            <w:r>
              <w:rPr>
                <w:b/>
                <w:sz w:val="18"/>
              </w:rPr>
              <w:t>Description and status</w:t>
            </w:r>
          </w:p>
        </w:tc>
      </w:tr>
      <w:tr>
        <w:trPr>
          <w:trHeight w:val="500" w:hRule="atLeast"/>
        </w:trPr>
        <w:tc>
          <w:tcPr>
            <w:tcW w:w="2246" w:type="dxa"/>
            <w:shd w:val="clear" w:color="auto" w:fill="F9FCF9"/>
          </w:tcPr>
          <w:p>
            <w:pPr>
              <w:pStyle w:val="TableParagraph"/>
              <w:spacing w:before="42"/>
              <w:ind w:left="78"/>
              <w:rPr>
                <w:sz w:val="18"/>
              </w:rPr>
            </w:pPr>
            <w:r>
              <w:rPr>
                <w:sz w:val="18"/>
              </w:rPr>
              <w:t>Weyburn/ECOMatters</w:t>
            </w:r>
          </w:p>
        </w:tc>
        <w:tc>
          <w:tcPr>
            <w:tcW w:w="8117" w:type="dxa"/>
            <w:shd w:val="clear" w:color="auto" w:fill="F9FCF9"/>
          </w:tcPr>
          <w:p>
            <w:pPr>
              <w:pStyle w:val="TableParagraph"/>
              <w:spacing w:line="249" w:lineRule="auto" w:before="42"/>
              <w:ind w:left="78" w:right="370"/>
              <w:rPr>
                <w:sz w:val="18"/>
              </w:rPr>
            </w:pPr>
            <w:r>
              <w:rPr>
                <w:sz w:val="18"/>
              </w:rPr>
              <w:t>New model, CQUESTRA, developed to enable probabilistic risk assessment. A simple box model is used with explicit representation of transport between boxes caused by failure of wells.</w:t>
            </w:r>
          </w:p>
        </w:tc>
      </w:tr>
      <w:tr>
        <w:trPr>
          <w:trHeight w:val="717" w:hRule="atLeast"/>
        </w:trPr>
        <w:tc>
          <w:tcPr>
            <w:tcW w:w="2246" w:type="dxa"/>
            <w:shd w:val="clear" w:color="auto" w:fill="F9FCF9"/>
          </w:tcPr>
          <w:p>
            <w:pPr>
              <w:pStyle w:val="TableParagraph"/>
              <w:spacing w:before="42"/>
              <w:ind w:left="78"/>
              <w:rPr>
                <w:sz w:val="18"/>
              </w:rPr>
            </w:pPr>
            <w:r>
              <w:rPr>
                <w:sz w:val="18"/>
              </w:rPr>
              <w:t>Weyburn/Monitor Scientific</w:t>
            </w:r>
          </w:p>
        </w:tc>
        <w:tc>
          <w:tcPr>
            <w:tcW w:w="8117" w:type="dxa"/>
            <w:shd w:val="clear" w:color="auto" w:fill="F9FCF9"/>
          </w:tcPr>
          <w:p>
            <w:pPr>
              <w:pStyle w:val="TableParagraph"/>
              <w:spacing w:line="249" w:lineRule="auto" w:before="42"/>
              <w:ind w:left="78" w:right="370"/>
              <w:rPr>
                <w:sz w:val="18"/>
              </w:rPr>
            </w:pPr>
            <w:r>
              <w:rPr>
                <w:sz w:val="18"/>
              </w:rPr>
              <w:t>Scenario-based modelling that uses an industry standard reservoir simulation tool (Eclipse3000) based on a realistic model of known reservoir conditions. Initial treatment of wells involves assigning a uniform permeability.</w:t>
            </w:r>
          </w:p>
        </w:tc>
      </w:tr>
      <w:tr>
        <w:trPr>
          <w:trHeight w:val="932" w:hRule="atLeast"/>
        </w:trPr>
        <w:tc>
          <w:tcPr>
            <w:tcW w:w="2246" w:type="dxa"/>
            <w:shd w:val="clear" w:color="auto" w:fill="F9FCF9"/>
          </w:tcPr>
          <w:p>
            <w:pPr>
              <w:pStyle w:val="TableParagraph"/>
              <w:spacing w:before="42"/>
              <w:ind w:left="78"/>
              <w:rPr>
                <w:sz w:val="18"/>
              </w:rPr>
            </w:pPr>
            <w:r>
              <w:rPr>
                <w:sz w:val="18"/>
              </w:rPr>
              <w:t>NGCAS/ECL technology</w:t>
            </w:r>
          </w:p>
        </w:tc>
        <w:tc>
          <w:tcPr>
            <w:tcW w:w="8117" w:type="dxa"/>
            <w:shd w:val="clear" w:color="auto" w:fill="F9FCF9"/>
          </w:tcPr>
          <w:p>
            <w:pPr>
              <w:pStyle w:val="TableParagraph"/>
              <w:spacing w:line="249" w:lineRule="auto" w:before="42"/>
              <w:ind w:left="78" w:right="170"/>
              <w:rPr>
                <w:sz w:val="18"/>
              </w:rPr>
            </w:pPr>
            <w:r>
              <w:rPr>
                <w:sz w:val="18"/>
              </w:rPr>
              <w:t>Probabilistic risk assessment using fault tree and FEP (features, events and processes) database. Initial study focused on the Forties oil and gas field located offshore in the North Sea. Concluded that flow through caprock transport by advection in formation waters not important, work on assessing leakage due to well failures ongoing.</w:t>
            </w:r>
          </w:p>
        </w:tc>
      </w:tr>
      <w:tr>
        <w:trPr>
          <w:trHeight w:val="500" w:hRule="atLeast"/>
        </w:trPr>
        <w:tc>
          <w:tcPr>
            <w:tcW w:w="2246" w:type="dxa"/>
            <w:shd w:val="clear" w:color="auto" w:fill="F9FCF9"/>
          </w:tcPr>
          <w:p>
            <w:pPr>
              <w:pStyle w:val="TableParagraph"/>
              <w:spacing w:line="216" w:lineRule="exact" w:before="37"/>
              <w:ind w:left="78" w:right="3"/>
              <w:rPr>
                <w:sz w:val="18"/>
              </w:rPr>
            </w:pPr>
            <w:r>
              <w:rPr>
                <w:sz w:val="18"/>
              </w:rPr>
              <w:t>SAMARCADS (safety aspects of CO</w:t>
            </w:r>
            <w:r>
              <w:rPr>
                <w:position w:val="-5"/>
                <w:sz w:val="10"/>
              </w:rPr>
              <w:t>2 </w:t>
            </w:r>
            <w:r>
              <w:rPr>
                <w:sz w:val="18"/>
              </w:rPr>
              <w:t>storage)</w:t>
            </w:r>
          </w:p>
        </w:tc>
        <w:tc>
          <w:tcPr>
            <w:tcW w:w="8117" w:type="dxa"/>
            <w:shd w:val="clear" w:color="auto" w:fill="F9FCF9"/>
          </w:tcPr>
          <w:p>
            <w:pPr>
              <w:pStyle w:val="TableParagraph"/>
              <w:spacing w:line="249" w:lineRule="auto" w:before="42"/>
              <w:ind w:left="78" w:right="170"/>
              <w:rPr>
                <w:sz w:val="18"/>
              </w:rPr>
            </w:pPr>
            <w:r>
              <w:rPr>
                <w:sz w:val="18"/>
              </w:rPr>
              <w:t>Methods and tools for HSE risk assessment applied to two storage systems an onshore gas storage facility and an offshore formation.</w:t>
            </w:r>
          </w:p>
        </w:tc>
      </w:tr>
      <w:tr>
        <w:trPr>
          <w:trHeight w:val="501" w:hRule="atLeast"/>
        </w:trPr>
        <w:tc>
          <w:tcPr>
            <w:tcW w:w="2246" w:type="dxa"/>
            <w:shd w:val="clear" w:color="auto" w:fill="F9FCF9"/>
          </w:tcPr>
          <w:p>
            <w:pPr>
              <w:pStyle w:val="TableParagraph"/>
              <w:spacing w:before="42"/>
              <w:ind w:left="78"/>
              <w:rPr>
                <w:sz w:val="18"/>
              </w:rPr>
            </w:pPr>
            <w:r>
              <w:rPr>
                <w:sz w:val="18"/>
              </w:rPr>
              <w:t>RITE</w:t>
            </w:r>
          </w:p>
        </w:tc>
        <w:tc>
          <w:tcPr>
            <w:tcW w:w="8117" w:type="dxa"/>
            <w:shd w:val="clear" w:color="auto" w:fill="F9FCF9"/>
          </w:tcPr>
          <w:p>
            <w:pPr>
              <w:pStyle w:val="TableParagraph"/>
              <w:spacing w:line="249" w:lineRule="auto" w:before="42"/>
              <w:ind w:left="78"/>
              <w:rPr>
                <w:sz w:val="18"/>
              </w:rPr>
            </w:pPr>
            <w:r>
              <w:rPr>
                <w:sz w:val="18"/>
              </w:rPr>
              <w:t>Scenario-based analysis of leakage risks in a large offshore formation. Will assess scenarios involving rapid release through faults activated by seismic events.</w:t>
            </w:r>
          </w:p>
        </w:tc>
      </w:tr>
      <w:tr>
        <w:trPr>
          <w:trHeight w:val="500" w:hRule="atLeast"/>
        </w:trPr>
        <w:tc>
          <w:tcPr>
            <w:tcW w:w="2246" w:type="dxa"/>
            <w:shd w:val="clear" w:color="auto" w:fill="F9FCF9"/>
          </w:tcPr>
          <w:p>
            <w:pPr>
              <w:pStyle w:val="TableParagraph"/>
              <w:spacing w:before="42"/>
              <w:ind w:left="78"/>
              <w:rPr>
                <w:sz w:val="18"/>
              </w:rPr>
            </w:pPr>
            <w:r>
              <w:rPr>
                <w:sz w:val="18"/>
              </w:rPr>
              <w:t>Battelle</w:t>
            </w:r>
          </w:p>
        </w:tc>
        <w:tc>
          <w:tcPr>
            <w:tcW w:w="8117" w:type="dxa"/>
            <w:shd w:val="clear" w:color="auto" w:fill="F9FCF9"/>
          </w:tcPr>
          <w:p>
            <w:pPr>
              <w:pStyle w:val="TableParagraph"/>
              <w:spacing w:line="249" w:lineRule="auto" w:before="42"/>
              <w:ind w:left="78" w:right="370"/>
              <w:rPr>
                <w:sz w:val="18"/>
              </w:rPr>
            </w:pPr>
            <w:r>
              <w:rPr>
                <w:sz w:val="18"/>
              </w:rPr>
              <w:t>Probabilistic risk assessment of an onshore formation storage site that is intended to represent the Mountaineer site.</w:t>
            </w:r>
          </w:p>
        </w:tc>
      </w:tr>
      <w:tr>
        <w:trPr>
          <w:trHeight w:val="717" w:hRule="atLeast"/>
        </w:trPr>
        <w:tc>
          <w:tcPr>
            <w:tcW w:w="2246" w:type="dxa"/>
            <w:shd w:val="clear" w:color="auto" w:fill="F9FCF9"/>
          </w:tcPr>
          <w:p>
            <w:pPr>
              <w:pStyle w:val="TableParagraph"/>
              <w:spacing w:before="42"/>
              <w:ind w:left="78"/>
              <w:rPr>
                <w:sz w:val="18"/>
              </w:rPr>
            </w:pPr>
            <w:r>
              <w:rPr>
                <w:sz w:val="18"/>
              </w:rPr>
              <w:t>GEODISC</w:t>
            </w:r>
          </w:p>
        </w:tc>
        <w:tc>
          <w:tcPr>
            <w:tcW w:w="8117" w:type="dxa"/>
            <w:shd w:val="clear" w:color="auto" w:fill="F9FCF9"/>
          </w:tcPr>
          <w:p>
            <w:pPr>
              <w:pStyle w:val="TableParagraph"/>
              <w:spacing w:line="249" w:lineRule="auto" w:before="42"/>
              <w:ind w:left="78" w:right="170"/>
              <w:rPr>
                <w:sz w:val="18"/>
              </w:rPr>
            </w:pPr>
            <w:r>
              <w:rPr>
                <w:sz w:val="18"/>
              </w:rPr>
              <w:t>Completed a quantitative risk assessment for four sites in Australia: the Petrel Sub-basin; the Dongra depleted oil and gas field; the offshore Gippsland Basin; and, offshore Barrow Island. Also produced a risk assessment report that addressed the socio-political needs of stakeholders.</w:t>
            </w:r>
          </w:p>
        </w:tc>
      </w:tr>
      <w:tr>
        <w:trPr>
          <w:trHeight w:val="501" w:hRule="atLeast"/>
        </w:trPr>
        <w:tc>
          <w:tcPr>
            <w:tcW w:w="2246" w:type="dxa"/>
            <w:shd w:val="clear" w:color="auto" w:fill="F9FCF9"/>
          </w:tcPr>
          <w:p>
            <w:pPr>
              <w:pStyle w:val="TableParagraph"/>
              <w:spacing w:before="42"/>
              <w:ind w:left="78"/>
              <w:rPr>
                <w:sz w:val="18"/>
              </w:rPr>
            </w:pPr>
            <w:r>
              <w:rPr>
                <w:sz w:val="18"/>
              </w:rPr>
              <w:t>UK-DTI</w:t>
            </w:r>
          </w:p>
        </w:tc>
        <w:tc>
          <w:tcPr>
            <w:tcW w:w="8117" w:type="dxa"/>
            <w:shd w:val="clear" w:color="auto" w:fill="F9FCF9"/>
          </w:tcPr>
          <w:p>
            <w:pPr>
              <w:pStyle w:val="TableParagraph"/>
              <w:spacing w:line="249" w:lineRule="auto" w:before="42"/>
              <w:ind w:left="78" w:right="370"/>
              <w:rPr>
                <w:sz w:val="18"/>
              </w:rPr>
            </w:pPr>
            <w:r>
              <w:rPr>
                <w:sz w:val="18"/>
              </w:rPr>
              <w:t>Probabilistic risk assessment of failures in surface facilities that uses models and operational data. Assessment of risk of release from geological storage that uses an expert-based Delphi process.</w:t>
            </w:r>
          </w:p>
        </w:tc>
      </w:tr>
    </w:tbl>
    <w:p>
      <w:pPr>
        <w:pStyle w:val="BodyText"/>
      </w:pPr>
    </w:p>
    <w:p>
      <w:pPr>
        <w:pStyle w:val="BodyText"/>
        <w:spacing w:before="2"/>
        <w:rPr>
          <w:sz w:val="19"/>
        </w:rPr>
      </w:pPr>
    </w:p>
    <w:p>
      <w:pPr>
        <w:spacing w:after="0"/>
        <w:rPr>
          <w:sz w:val="19"/>
        </w:rPr>
        <w:sectPr>
          <w:pgSz w:w="12240" w:h="15840"/>
          <w:pgMar w:header="567" w:footer="0" w:top="760" w:bottom="280" w:left="580" w:right="600"/>
        </w:sectPr>
      </w:pPr>
    </w:p>
    <w:p>
      <w:pPr>
        <w:pStyle w:val="BodyText"/>
        <w:spacing w:line="249" w:lineRule="auto" w:before="64"/>
        <w:ind w:left="553"/>
        <w:jc w:val="both"/>
      </w:pPr>
      <w:r>
        <w:rPr/>
        <w:t>models are designed to allow explicit treatment of uncertainty in input parameters (Saripalli </w:t>
      </w:r>
      <w:r>
        <w:rPr>
          <w:i/>
        </w:rPr>
        <w:t>et al.</w:t>
      </w:r>
      <w:r>
        <w:rPr/>
        <w:t>, 2003; Stenhouse </w:t>
      </w:r>
      <w:r>
        <w:rPr>
          <w:i/>
        </w:rPr>
        <w:t>et al.</w:t>
      </w:r>
      <w:r>
        <w:rPr/>
        <w:t>, 2005; Wildenborg </w:t>
      </w:r>
      <w:r>
        <w:rPr>
          <w:i/>
        </w:rPr>
        <w:t>et al.</w:t>
      </w:r>
      <w:r>
        <w:rPr/>
        <w:t>, 2005a).</w:t>
      </w:r>
    </w:p>
    <w:p>
      <w:pPr>
        <w:pStyle w:val="BodyText"/>
        <w:spacing w:line="249" w:lineRule="auto" w:before="2"/>
        <w:ind w:left="553" w:firstLine="283"/>
        <w:jc w:val="both"/>
      </w:pPr>
      <w:r>
        <w:rPr/>
        <w:t>Our understanding of abandoned-well behaviour over </w:t>
      </w:r>
      <w:r>
        <w:rPr>
          <w:spacing w:val="-4"/>
        </w:rPr>
        <w:t>long </w:t>
      </w:r>
      <w:r>
        <w:rPr/>
        <w:t>time scales is at present relatively </w:t>
      </w:r>
      <w:r>
        <w:rPr>
          <w:spacing w:val="-3"/>
        </w:rPr>
        <w:t>poor. </w:t>
      </w:r>
      <w:r>
        <w:rPr/>
        <w:t>Several groups are now collecting data on the performance of well construction materials  in  high-CO</w:t>
      </w:r>
      <w:r>
        <w:rPr>
          <w:position w:val="-6"/>
          <w:sz w:val="11"/>
        </w:rPr>
        <w:t>2    </w:t>
      </w:r>
      <w:r>
        <w:rPr/>
        <w:t>environments  and  building </w:t>
      </w:r>
      <w:r>
        <w:rPr>
          <w:spacing w:val="32"/>
        </w:rPr>
        <w:t> </w:t>
      </w:r>
      <w:r>
        <w:rPr/>
        <w:t>wellbore</w:t>
      </w:r>
    </w:p>
    <w:p>
      <w:pPr>
        <w:pStyle w:val="BodyText"/>
        <w:spacing w:line="183" w:lineRule="exact"/>
        <w:ind w:left="553"/>
        <w:jc w:val="both"/>
      </w:pPr>
      <w:r>
        <w:rPr/>
        <w:t>simulation</w:t>
      </w:r>
      <w:r>
        <w:rPr>
          <w:spacing w:val="-17"/>
        </w:rPr>
        <w:t> </w:t>
      </w:r>
      <w:r>
        <w:rPr/>
        <w:t>models</w:t>
      </w:r>
      <w:r>
        <w:rPr>
          <w:spacing w:val="-16"/>
        </w:rPr>
        <w:t> </w:t>
      </w:r>
      <w:r>
        <w:rPr/>
        <w:t>that</w:t>
      </w:r>
      <w:r>
        <w:rPr>
          <w:spacing w:val="-17"/>
        </w:rPr>
        <w:t> </w:t>
      </w:r>
      <w:r>
        <w:rPr/>
        <w:t>will</w:t>
      </w:r>
      <w:r>
        <w:rPr>
          <w:spacing w:val="-16"/>
        </w:rPr>
        <w:t> </w:t>
      </w:r>
      <w:r>
        <w:rPr/>
        <w:t>couple</w:t>
      </w:r>
      <w:r>
        <w:rPr>
          <w:spacing w:val="-17"/>
        </w:rPr>
        <w:t> </w:t>
      </w:r>
      <w:r>
        <w:rPr/>
        <w:t>geomechanics,</w:t>
      </w:r>
      <w:r>
        <w:rPr>
          <w:spacing w:val="-16"/>
        </w:rPr>
        <w:t> </w:t>
      </w:r>
      <w:r>
        <w:rPr/>
        <w:t>geochemistry</w:t>
      </w:r>
    </w:p>
    <w:p>
      <w:pPr>
        <w:pStyle w:val="BodyText"/>
        <w:spacing w:line="249" w:lineRule="auto" w:before="10"/>
        <w:ind w:left="553"/>
        <w:jc w:val="both"/>
      </w:pPr>
      <w:r>
        <w:rPr/>
        <w:t>and fluid transport (Scherer </w:t>
      </w:r>
      <w:r>
        <w:rPr>
          <w:i/>
        </w:rPr>
        <w:t>et al.</w:t>
      </w:r>
      <w:r>
        <w:rPr/>
        <w:t>, 2005; Wilson and Monea, 2005). The combination of better models and new data should enable the integration of physically based predictive </w:t>
      </w:r>
      <w:r>
        <w:rPr>
          <w:spacing w:val="-3"/>
        </w:rPr>
        <w:t>models  </w:t>
      </w:r>
      <w:r>
        <w:rPr/>
        <w:t>of wellbore performance into larger performance-assessment models, enabling more systematic assessment of leakage from wells.</w:t>
      </w:r>
    </w:p>
    <w:p>
      <w:pPr>
        <w:pStyle w:val="BodyText"/>
        <w:spacing w:line="249" w:lineRule="auto" w:before="5"/>
        <w:ind w:left="553" w:firstLine="283"/>
        <w:jc w:val="both"/>
      </w:pPr>
      <w:r>
        <w:rPr/>
        <w:t>The parameter values (e.g., permeability of a  caprock)  and the structure of the performance assessment models (e.g., the processes included or excluded) will both be, in general, uncertain. Risk analysis may or may not treat this uncertainty explicitly. When risks are assessed deterministically, fixed parameter values are chosen to represent the (often unknown) probability distributions. Often the parameter values </w:t>
      </w:r>
      <w:r>
        <w:rPr>
          <w:spacing w:val="-4"/>
        </w:rPr>
        <w:t>are </w:t>
      </w:r>
      <w:r>
        <w:rPr/>
        <w:t>selected ‘conservatively’; that is, they are selected so that risks are overestimated, although in practice such selections are problematic because the relationship between the parameter value and the risk may itself be uncertain.</w:t>
      </w:r>
    </w:p>
    <w:p>
      <w:pPr>
        <w:pStyle w:val="BodyText"/>
        <w:spacing w:line="249" w:lineRule="auto" w:before="9"/>
        <w:ind w:left="553" w:firstLine="283"/>
        <w:jc w:val="both"/>
      </w:pPr>
      <w:r>
        <w:rPr/>
        <w:t>Wherever possible, it is preferable to treat uncertainty explicitly.</w:t>
      </w:r>
      <w:r>
        <w:rPr>
          <w:spacing w:val="-7"/>
        </w:rPr>
        <w:t> </w:t>
      </w:r>
      <w:r>
        <w:rPr/>
        <w:t>In</w:t>
      </w:r>
      <w:r>
        <w:rPr>
          <w:spacing w:val="-6"/>
        </w:rPr>
        <w:t> </w:t>
      </w:r>
      <w:r>
        <w:rPr/>
        <w:t>probabilistic</w:t>
      </w:r>
      <w:r>
        <w:rPr>
          <w:spacing w:val="-7"/>
        </w:rPr>
        <w:t> </w:t>
      </w:r>
      <w:r>
        <w:rPr/>
        <w:t>risk</w:t>
      </w:r>
      <w:r>
        <w:rPr>
          <w:spacing w:val="-6"/>
        </w:rPr>
        <w:t> </w:t>
      </w:r>
      <w:r>
        <w:rPr/>
        <w:t>assessments,</w:t>
      </w:r>
      <w:r>
        <w:rPr>
          <w:spacing w:val="-7"/>
        </w:rPr>
        <w:t> </w:t>
      </w:r>
      <w:r>
        <w:rPr/>
        <w:t>explicit</w:t>
      </w:r>
      <w:r>
        <w:rPr>
          <w:spacing w:val="-6"/>
        </w:rPr>
        <w:t> </w:t>
      </w:r>
      <w:r>
        <w:rPr/>
        <w:t>probability distributions</w:t>
      </w:r>
      <w:r>
        <w:rPr>
          <w:spacing w:val="-21"/>
        </w:rPr>
        <w:t> </w:t>
      </w:r>
      <w:r>
        <w:rPr/>
        <w:t>are</w:t>
      </w:r>
      <w:r>
        <w:rPr>
          <w:spacing w:val="-20"/>
        </w:rPr>
        <w:t> </w:t>
      </w:r>
      <w:r>
        <w:rPr/>
        <w:t>used</w:t>
      </w:r>
      <w:r>
        <w:rPr>
          <w:spacing w:val="-21"/>
        </w:rPr>
        <w:t> </w:t>
      </w:r>
      <w:r>
        <w:rPr/>
        <w:t>for</w:t>
      </w:r>
      <w:r>
        <w:rPr>
          <w:spacing w:val="-20"/>
        </w:rPr>
        <w:t> </w:t>
      </w:r>
      <w:r>
        <w:rPr/>
        <w:t>some</w:t>
      </w:r>
      <w:r>
        <w:rPr>
          <w:spacing w:val="-20"/>
        </w:rPr>
        <w:t> </w:t>
      </w:r>
      <w:r>
        <w:rPr/>
        <w:t>(or</w:t>
      </w:r>
      <w:r>
        <w:rPr>
          <w:spacing w:val="-21"/>
        </w:rPr>
        <w:t> </w:t>
      </w:r>
      <w:r>
        <w:rPr/>
        <w:t>all)</w:t>
      </w:r>
      <w:r>
        <w:rPr>
          <w:spacing w:val="-20"/>
        </w:rPr>
        <w:t> </w:t>
      </w:r>
      <w:r>
        <w:rPr/>
        <w:t>parameters.</w:t>
      </w:r>
      <w:r>
        <w:rPr>
          <w:spacing w:val="-20"/>
        </w:rPr>
        <w:t> </w:t>
      </w:r>
      <w:r>
        <w:rPr/>
        <w:t>Methods</w:t>
      </w:r>
      <w:r>
        <w:rPr>
          <w:spacing w:val="-21"/>
        </w:rPr>
        <w:t> </w:t>
      </w:r>
      <w:r>
        <w:rPr/>
        <w:t>such as Monte Carlo analysis are then used to produce probability distributions for various risks. The required probability distributions may be derived directly from data or may</w:t>
      </w:r>
      <w:r>
        <w:rPr>
          <w:spacing w:val="-2"/>
        </w:rPr>
        <w:t> </w:t>
      </w:r>
      <w:r>
        <w:rPr/>
        <w:t>involve</w:t>
      </w:r>
    </w:p>
    <w:p>
      <w:pPr>
        <w:pStyle w:val="BodyText"/>
        <w:spacing w:line="249" w:lineRule="auto" w:before="64"/>
        <w:ind w:left="242" w:right="134"/>
        <w:jc w:val="both"/>
      </w:pPr>
      <w:r>
        <w:rPr/>
        <w:br w:type="column"/>
      </w:r>
      <w:r>
        <w:rPr/>
        <w:t>formal quantification of expert judgements (Morgan </w:t>
      </w:r>
      <w:r>
        <w:rPr>
          <w:spacing w:val="-5"/>
        </w:rPr>
        <w:t>and </w:t>
      </w:r>
      <w:r>
        <w:rPr/>
        <w:t>Henrion, 1999). In some cases, probabilistic risk assessment may</w:t>
      </w:r>
      <w:r>
        <w:rPr>
          <w:spacing w:val="-13"/>
        </w:rPr>
        <w:t> </w:t>
      </w:r>
      <w:r>
        <w:rPr/>
        <w:t>require</w:t>
      </w:r>
      <w:r>
        <w:rPr>
          <w:spacing w:val="-12"/>
        </w:rPr>
        <w:t> </w:t>
      </w:r>
      <w:r>
        <w:rPr/>
        <w:t>that</w:t>
      </w:r>
      <w:r>
        <w:rPr>
          <w:spacing w:val="-12"/>
        </w:rPr>
        <w:t> </w:t>
      </w:r>
      <w:r>
        <w:rPr/>
        <w:t>the</w:t>
      </w:r>
      <w:r>
        <w:rPr>
          <w:spacing w:val="-12"/>
        </w:rPr>
        <w:t> </w:t>
      </w:r>
      <w:r>
        <w:rPr/>
        <w:t>models</w:t>
      </w:r>
      <w:r>
        <w:rPr>
          <w:spacing w:val="-12"/>
        </w:rPr>
        <w:t> </w:t>
      </w:r>
      <w:r>
        <w:rPr/>
        <w:t>be</w:t>
      </w:r>
      <w:r>
        <w:rPr>
          <w:spacing w:val="-12"/>
        </w:rPr>
        <w:t> </w:t>
      </w:r>
      <w:r>
        <w:rPr/>
        <w:t>simplified</w:t>
      </w:r>
      <w:r>
        <w:rPr>
          <w:spacing w:val="-12"/>
        </w:rPr>
        <w:t> </w:t>
      </w:r>
      <w:r>
        <w:rPr/>
        <w:t>because</w:t>
      </w:r>
      <w:r>
        <w:rPr>
          <w:spacing w:val="-12"/>
        </w:rPr>
        <w:t> </w:t>
      </w:r>
      <w:r>
        <w:rPr/>
        <w:t>of</w:t>
      </w:r>
      <w:r>
        <w:rPr>
          <w:spacing w:val="-12"/>
        </w:rPr>
        <w:t> </w:t>
      </w:r>
      <w:r>
        <w:rPr/>
        <w:t>limitations on available computing resources.</w:t>
      </w:r>
    </w:p>
    <w:p>
      <w:pPr>
        <w:pStyle w:val="BodyText"/>
        <w:spacing w:line="249" w:lineRule="auto" w:before="3"/>
        <w:ind w:left="242" w:right="134" w:firstLine="283"/>
        <w:jc w:val="both"/>
      </w:pPr>
      <w:r>
        <w:rPr/>
        <w:t>Studies</w:t>
      </w:r>
      <w:r>
        <w:rPr>
          <w:spacing w:val="-17"/>
        </w:rPr>
        <w:t> </w:t>
      </w:r>
      <w:r>
        <w:rPr/>
        <w:t>of</w:t>
      </w:r>
      <w:r>
        <w:rPr>
          <w:spacing w:val="-16"/>
        </w:rPr>
        <w:t> </w:t>
      </w:r>
      <w:r>
        <w:rPr/>
        <w:t>natural</w:t>
      </w:r>
      <w:r>
        <w:rPr>
          <w:spacing w:val="-17"/>
        </w:rPr>
        <w:t> </w:t>
      </w:r>
      <w:r>
        <w:rPr/>
        <w:t>and</w:t>
      </w:r>
      <w:r>
        <w:rPr>
          <w:spacing w:val="-16"/>
        </w:rPr>
        <w:t> </w:t>
      </w:r>
      <w:r>
        <w:rPr/>
        <w:t>engineered</w:t>
      </w:r>
      <w:r>
        <w:rPr>
          <w:spacing w:val="-17"/>
        </w:rPr>
        <w:t> </w:t>
      </w:r>
      <w:r>
        <w:rPr/>
        <w:t>analogues</w:t>
      </w:r>
      <w:r>
        <w:rPr>
          <w:spacing w:val="-16"/>
        </w:rPr>
        <w:t> </w:t>
      </w:r>
      <w:r>
        <w:rPr/>
        <w:t>provide</w:t>
      </w:r>
      <w:r>
        <w:rPr>
          <w:spacing w:val="-16"/>
        </w:rPr>
        <w:t> </w:t>
      </w:r>
      <w:r>
        <w:rPr/>
        <w:t>a</w:t>
      </w:r>
      <w:r>
        <w:rPr>
          <w:spacing w:val="-17"/>
        </w:rPr>
        <w:t> </w:t>
      </w:r>
      <w:r>
        <w:rPr/>
        <w:t>strong basis for understanding and quantifying the health, safety and environmental</w:t>
      </w:r>
      <w:r>
        <w:rPr>
          <w:spacing w:val="31"/>
        </w:rPr>
        <w:t> </w:t>
      </w:r>
      <w:r>
        <w:rPr/>
        <w:t>risks</w:t>
      </w:r>
      <w:r>
        <w:rPr>
          <w:spacing w:val="32"/>
        </w:rPr>
        <w:t> </w:t>
      </w:r>
      <w:r>
        <w:rPr/>
        <w:t>that</w:t>
      </w:r>
      <w:r>
        <w:rPr>
          <w:spacing w:val="32"/>
        </w:rPr>
        <w:t> </w:t>
      </w:r>
      <w:r>
        <w:rPr/>
        <w:t>arise</w:t>
      </w:r>
      <w:r>
        <w:rPr>
          <w:spacing w:val="32"/>
        </w:rPr>
        <w:t> </w:t>
      </w:r>
      <w:r>
        <w:rPr/>
        <w:t>from</w:t>
      </w:r>
      <w:r>
        <w:rPr>
          <w:spacing w:val="32"/>
        </w:rPr>
        <w:t> </w:t>
      </w:r>
      <w:r>
        <w:rPr/>
        <w:t>CO</w:t>
      </w:r>
      <w:r>
        <w:rPr>
          <w:position w:val="-6"/>
          <w:sz w:val="11"/>
        </w:rPr>
        <w:t>2 </w:t>
      </w:r>
      <w:r>
        <w:rPr>
          <w:spacing w:val="26"/>
          <w:position w:val="-6"/>
          <w:sz w:val="11"/>
        </w:rPr>
        <w:t> </w:t>
      </w:r>
      <w:r>
        <w:rPr/>
        <w:t>that</w:t>
      </w:r>
      <w:r>
        <w:rPr>
          <w:spacing w:val="32"/>
        </w:rPr>
        <w:t> </w:t>
      </w:r>
      <w:r>
        <w:rPr/>
        <w:t>seeps</w:t>
      </w:r>
      <w:r>
        <w:rPr>
          <w:spacing w:val="31"/>
        </w:rPr>
        <w:t> </w:t>
      </w:r>
      <w:r>
        <w:rPr/>
        <w:t>from</w:t>
      </w:r>
      <w:r>
        <w:rPr>
          <w:spacing w:val="32"/>
        </w:rPr>
        <w:t> </w:t>
      </w:r>
      <w:r>
        <w:rPr/>
        <w:t>the</w:t>
      </w:r>
    </w:p>
    <w:p>
      <w:pPr>
        <w:pStyle w:val="BodyText"/>
        <w:spacing w:line="182" w:lineRule="exact"/>
        <w:ind w:left="242"/>
        <w:jc w:val="both"/>
      </w:pPr>
      <w:r>
        <w:rPr/>
        <w:t>shallow</w:t>
      </w:r>
      <w:r>
        <w:rPr>
          <w:spacing w:val="25"/>
        </w:rPr>
        <w:t> </w:t>
      </w:r>
      <w:r>
        <w:rPr/>
        <w:t>subsurface</w:t>
      </w:r>
      <w:r>
        <w:rPr>
          <w:spacing w:val="25"/>
        </w:rPr>
        <w:t> </w:t>
      </w:r>
      <w:r>
        <w:rPr/>
        <w:t>to</w:t>
      </w:r>
      <w:r>
        <w:rPr>
          <w:spacing w:val="25"/>
        </w:rPr>
        <w:t> </w:t>
      </w:r>
      <w:r>
        <w:rPr/>
        <w:t>the</w:t>
      </w:r>
      <w:r>
        <w:rPr>
          <w:spacing w:val="25"/>
        </w:rPr>
        <w:t> </w:t>
      </w:r>
      <w:r>
        <w:rPr/>
        <w:t>atmosphere.</w:t>
      </w:r>
      <w:r>
        <w:rPr>
          <w:spacing w:val="25"/>
        </w:rPr>
        <w:t> </w:t>
      </w:r>
      <w:r>
        <w:rPr/>
        <w:t>Natural</w:t>
      </w:r>
      <w:r>
        <w:rPr>
          <w:spacing w:val="25"/>
        </w:rPr>
        <w:t> </w:t>
      </w:r>
      <w:r>
        <w:rPr/>
        <w:t>analogues</w:t>
      </w:r>
      <w:r>
        <w:rPr>
          <w:spacing w:val="25"/>
        </w:rPr>
        <w:t> </w:t>
      </w:r>
      <w:r>
        <w:rPr/>
        <w:t>are</w:t>
      </w:r>
    </w:p>
    <w:p>
      <w:pPr>
        <w:pStyle w:val="BodyText"/>
        <w:spacing w:line="240" w:lineRule="exact" w:before="5"/>
        <w:ind w:left="242" w:right="133"/>
        <w:jc w:val="both"/>
      </w:pPr>
      <w:r>
        <w:rPr/>
        <w:t>of less utility in assessing the likelihood of various processes that</w:t>
      </w:r>
      <w:r>
        <w:rPr>
          <w:spacing w:val="-8"/>
        </w:rPr>
        <w:t> </w:t>
      </w:r>
      <w:r>
        <w:rPr/>
        <w:t>transport</w:t>
      </w:r>
      <w:r>
        <w:rPr>
          <w:spacing w:val="-8"/>
        </w:rPr>
        <w:t> </w:t>
      </w:r>
      <w:r>
        <w:rPr/>
        <w:t>CO</w:t>
      </w:r>
      <w:r>
        <w:rPr>
          <w:position w:val="-6"/>
          <w:sz w:val="11"/>
        </w:rPr>
        <w:t>2</w:t>
      </w:r>
      <w:r>
        <w:rPr>
          <w:spacing w:val="15"/>
          <w:position w:val="-6"/>
          <w:sz w:val="11"/>
        </w:rPr>
        <w:t> </w:t>
      </w:r>
      <w:r>
        <w:rPr/>
        <w:t>from</w:t>
      </w:r>
      <w:r>
        <w:rPr>
          <w:spacing w:val="-8"/>
        </w:rPr>
        <w:t> </w:t>
      </w:r>
      <w:r>
        <w:rPr/>
        <w:t>the</w:t>
      </w:r>
      <w:r>
        <w:rPr>
          <w:spacing w:val="-8"/>
        </w:rPr>
        <w:t> </w:t>
      </w:r>
      <w:r>
        <w:rPr/>
        <w:t>storage</w:t>
      </w:r>
      <w:r>
        <w:rPr>
          <w:spacing w:val="-8"/>
        </w:rPr>
        <w:t> </w:t>
      </w:r>
      <w:r>
        <w:rPr/>
        <w:t>reservoir</w:t>
      </w:r>
      <w:r>
        <w:rPr>
          <w:spacing w:val="-8"/>
        </w:rPr>
        <w:t> </w:t>
      </w:r>
      <w:r>
        <w:rPr/>
        <w:t>to</w:t>
      </w:r>
      <w:r>
        <w:rPr>
          <w:spacing w:val="-8"/>
        </w:rPr>
        <w:t> </w:t>
      </w:r>
      <w:r>
        <w:rPr/>
        <w:t>the</w:t>
      </w:r>
      <w:r>
        <w:rPr>
          <w:spacing w:val="-7"/>
        </w:rPr>
        <w:t> </w:t>
      </w:r>
      <w:r>
        <w:rPr/>
        <w:t>near-surface environment. This is because the geological character of such analogues (e.g., CO</w:t>
      </w:r>
      <w:r>
        <w:rPr>
          <w:position w:val="-6"/>
          <w:sz w:val="11"/>
        </w:rPr>
        <w:t>2 </w:t>
      </w:r>
      <w:r>
        <w:rPr/>
        <w:t>transport and seepage in highly fractured zones shaped by volcanism) will typically be very different from sites chosen for geological storage. Engineered</w:t>
      </w:r>
      <w:r>
        <w:rPr>
          <w:spacing w:val="-25"/>
        </w:rPr>
        <w:t> </w:t>
      </w:r>
      <w:r>
        <w:rPr/>
        <w:t>analogues such as natural gas storage and CO</w:t>
      </w:r>
      <w:r>
        <w:rPr>
          <w:position w:val="-6"/>
          <w:sz w:val="11"/>
        </w:rPr>
        <w:t>2</w:t>
      </w:r>
      <w:r>
        <w:rPr/>
        <w:t>-EOR can  provide  a  basis for deriving quantitative probabilistic models of well performance.</w:t>
      </w:r>
    </w:p>
    <w:p>
      <w:pPr>
        <w:pStyle w:val="BodyText"/>
        <w:spacing w:line="206" w:lineRule="auto" w:before="24"/>
        <w:ind w:left="242" w:right="135" w:firstLine="283"/>
        <w:jc w:val="both"/>
      </w:pPr>
      <w:r>
        <w:rPr/>
        <w:t>Results from actual risk and assessment for CO</w:t>
      </w:r>
      <w:r>
        <w:rPr>
          <w:position w:val="-6"/>
          <w:sz w:val="11"/>
        </w:rPr>
        <w:t>2 </w:t>
      </w:r>
      <w:r>
        <w:rPr/>
        <w:t>storage are provided in 5.7.3.</w:t>
      </w:r>
    </w:p>
    <w:p>
      <w:pPr>
        <w:pStyle w:val="BodyText"/>
        <w:spacing w:before="2"/>
        <w:rPr>
          <w:sz w:val="22"/>
        </w:rPr>
      </w:pPr>
    </w:p>
    <w:p>
      <w:pPr>
        <w:pStyle w:val="Heading2"/>
        <w:numPr>
          <w:ilvl w:val="2"/>
          <w:numId w:val="15"/>
        </w:numPr>
        <w:tabs>
          <w:tab w:pos="1062" w:val="left" w:leader="none"/>
          <w:tab w:pos="1063" w:val="left" w:leader="none"/>
        </w:tabs>
        <w:spacing w:line="240" w:lineRule="auto" w:before="0" w:after="0"/>
        <w:ind w:left="1062" w:right="0" w:hanging="821"/>
        <w:jc w:val="left"/>
        <w:rPr>
          <w:i/>
        </w:rPr>
      </w:pPr>
      <w:r>
        <w:rPr>
          <w:i/>
        </w:rPr>
        <w:t>Risk management</w:t>
      </w:r>
    </w:p>
    <w:p>
      <w:pPr>
        <w:pStyle w:val="BodyText"/>
        <w:spacing w:before="8"/>
        <w:rPr>
          <w:b/>
          <w:i/>
          <w:sz w:val="21"/>
        </w:rPr>
      </w:pPr>
    </w:p>
    <w:p>
      <w:pPr>
        <w:pStyle w:val="BodyText"/>
        <w:spacing w:line="249" w:lineRule="auto"/>
        <w:ind w:left="242" w:right="132"/>
        <w:jc w:val="both"/>
      </w:pPr>
      <w:r>
        <w:rPr/>
        <w:t>Risk</w:t>
      </w:r>
      <w:r>
        <w:rPr>
          <w:spacing w:val="-9"/>
        </w:rPr>
        <w:t> </w:t>
      </w:r>
      <w:r>
        <w:rPr/>
        <w:t>management</w:t>
      </w:r>
      <w:r>
        <w:rPr>
          <w:spacing w:val="-9"/>
        </w:rPr>
        <w:t> </w:t>
      </w:r>
      <w:r>
        <w:rPr/>
        <w:t>entails</w:t>
      </w:r>
      <w:r>
        <w:rPr>
          <w:spacing w:val="-8"/>
        </w:rPr>
        <w:t> </w:t>
      </w:r>
      <w:r>
        <w:rPr/>
        <w:t>the</w:t>
      </w:r>
      <w:r>
        <w:rPr>
          <w:spacing w:val="-8"/>
        </w:rPr>
        <w:t> </w:t>
      </w:r>
      <w:r>
        <w:rPr/>
        <w:t>application</w:t>
      </w:r>
      <w:r>
        <w:rPr>
          <w:spacing w:val="-9"/>
        </w:rPr>
        <w:t> </w:t>
      </w:r>
      <w:r>
        <w:rPr/>
        <w:t>of</w:t>
      </w:r>
      <w:r>
        <w:rPr>
          <w:spacing w:val="-8"/>
        </w:rPr>
        <w:t> </w:t>
      </w:r>
      <w:r>
        <w:rPr/>
        <w:t>a</w:t>
      </w:r>
      <w:r>
        <w:rPr>
          <w:spacing w:val="-8"/>
        </w:rPr>
        <w:t> </w:t>
      </w:r>
      <w:r>
        <w:rPr/>
        <w:t>structured</w:t>
      </w:r>
      <w:r>
        <w:rPr>
          <w:spacing w:val="-9"/>
        </w:rPr>
        <w:t> </w:t>
      </w:r>
      <w:r>
        <w:rPr/>
        <w:t>process to identify and quantify the risks associated with a given process,</w:t>
      </w:r>
      <w:r>
        <w:rPr>
          <w:spacing w:val="-9"/>
        </w:rPr>
        <w:t> </w:t>
      </w:r>
      <w:r>
        <w:rPr/>
        <w:t>to</w:t>
      </w:r>
      <w:r>
        <w:rPr>
          <w:spacing w:val="-8"/>
        </w:rPr>
        <w:t> </w:t>
      </w:r>
      <w:r>
        <w:rPr/>
        <w:t>evaluate</w:t>
      </w:r>
      <w:r>
        <w:rPr>
          <w:spacing w:val="-9"/>
        </w:rPr>
        <w:t> </w:t>
      </w:r>
      <w:r>
        <w:rPr/>
        <w:t>these,</w:t>
      </w:r>
      <w:r>
        <w:rPr>
          <w:spacing w:val="-8"/>
        </w:rPr>
        <w:t> </w:t>
      </w:r>
      <w:r>
        <w:rPr/>
        <w:t>taking</w:t>
      </w:r>
      <w:r>
        <w:rPr>
          <w:spacing w:val="-8"/>
        </w:rPr>
        <w:t> </w:t>
      </w:r>
      <w:r>
        <w:rPr/>
        <w:t>into</w:t>
      </w:r>
      <w:r>
        <w:rPr>
          <w:spacing w:val="-9"/>
        </w:rPr>
        <w:t> </w:t>
      </w:r>
      <w:r>
        <w:rPr/>
        <w:t>account</w:t>
      </w:r>
      <w:r>
        <w:rPr>
          <w:spacing w:val="-8"/>
        </w:rPr>
        <w:t> </w:t>
      </w:r>
      <w:r>
        <w:rPr/>
        <w:t>stakeholder</w:t>
      </w:r>
      <w:r>
        <w:rPr>
          <w:spacing w:val="-9"/>
        </w:rPr>
        <w:t> </w:t>
      </w:r>
      <w:r>
        <w:rPr/>
        <w:t>input and</w:t>
      </w:r>
      <w:r>
        <w:rPr>
          <w:spacing w:val="-11"/>
        </w:rPr>
        <w:t> </w:t>
      </w:r>
      <w:r>
        <w:rPr/>
        <w:t>context,</w:t>
      </w:r>
      <w:r>
        <w:rPr>
          <w:spacing w:val="-11"/>
        </w:rPr>
        <w:t> </w:t>
      </w:r>
      <w:r>
        <w:rPr/>
        <w:t>to</w:t>
      </w:r>
      <w:r>
        <w:rPr>
          <w:spacing w:val="-11"/>
        </w:rPr>
        <w:t> </w:t>
      </w:r>
      <w:r>
        <w:rPr/>
        <w:t>modify</w:t>
      </w:r>
      <w:r>
        <w:rPr>
          <w:spacing w:val="-11"/>
        </w:rPr>
        <w:t> </w:t>
      </w:r>
      <w:r>
        <w:rPr/>
        <w:t>the</w:t>
      </w:r>
      <w:r>
        <w:rPr>
          <w:spacing w:val="-11"/>
        </w:rPr>
        <w:t> </w:t>
      </w:r>
      <w:r>
        <w:rPr/>
        <w:t>process</w:t>
      </w:r>
      <w:r>
        <w:rPr>
          <w:spacing w:val="-11"/>
        </w:rPr>
        <w:t> </w:t>
      </w:r>
      <w:r>
        <w:rPr/>
        <w:t>to</w:t>
      </w:r>
      <w:r>
        <w:rPr>
          <w:spacing w:val="-11"/>
        </w:rPr>
        <w:t> </w:t>
      </w:r>
      <w:r>
        <w:rPr/>
        <w:t>remove</w:t>
      </w:r>
      <w:r>
        <w:rPr>
          <w:spacing w:val="-11"/>
        </w:rPr>
        <w:t> </w:t>
      </w:r>
      <w:r>
        <w:rPr/>
        <w:t>excess</w:t>
      </w:r>
      <w:r>
        <w:rPr>
          <w:spacing w:val="-11"/>
        </w:rPr>
        <w:t> </w:t>
      </w:r>
      <w:r>
        <w:rPr/>
        <w:t>risks</w:t>
      </w:r>
      <w:r>
        <w:rPr>
          <w:spacing w:val="-11"/>
        </w:rPr>
        <w:t> </w:t>
      </w:r>
      <w:r>
        <w:rPr/>
        <w:t>and</w:t>
      </w:r>
      <w:r>
        <w:rPr>
          <w:spacing w:val="-11"/>
        </w:rPr>
        <w:t> </w:t>
      </w:r>
      <w:r>
        <w:rPr/>
        <w:t>to identify</w:t>
      </w:r>
      <w:r>
        <w:rPr>
          <w:spacing w:val="-16"/>
        </w:rPr>
        <w:t> </w:t>
      </w:r>
      <w:r>
        <w:rPr/>
        <w:t>and</w:t>
      </w:r>
      <w:r>
        <w:rPr>
          <w:spacing w:val="-15"/>
        </w:rPr>
        <w:t> </w:t>
      </w:r>
      <w:r>
        <w:rPr/>
        <w:t>implement</w:t>
      </w:r>
      <w:r>
        <w:rPr>
          <w:spacing w:val="-15"/>
        </w:rPr>
        <w:t> </w:t>
      </w:r>
      <w:r>
        <w:rPr/>
        <w:t>appropriate</w:t>
      </w:r>
      <w:r>
        <w:rPr>
          <w:spacing w:val="-16"/>
        </w:rPr>
        <w:t> </w:t>
      </w:r>
      <w:r>
        <w:rPr/>
        <w:t>monitoring</w:t>
      </w:r>
      <w:r>
        <w:rPr>
          <w:spacing w:val="-16"/>
        </w:rPr>
        <w:t> </w:t>
      </w:r>
      <w:r>
        <w:rPr/>
        <w:t>and</w:t>
      </w:r>
      <w:r>
        <w:rPr>
          <w:spacing w:val="-14"/>
        </w:rPr>
        <w:t> </w:t>
      </w:r>
      <w:r>
        <w:rPr/>
        <w:t>intervention strategies to manage the remaining</w:t>
      </w:r>
      <w:r>
        <w:rPr>
          <w:spacing w:val="-3"/>
        </w:rPr>
        <w:t> </w:t>
      </w:r>
      <w:r>
        <w:rPr/>
        <w:t>risks.</w:t>
      </w:r>
    </w:p>
    <w:p>
      <w:pPr>
        <w:pStyle w:val="BodyText"/>
        <w:spacing w:line="249" w:lineRule="auto" w:before="5"/>
        <w:ind w:left="242" w:right="135" w:firstLine="283"/>
        <w:jc w:val="both"/>
      </w:pPr>
      <w:r>
        <w:rPr/>
        <w:t>For geological storage, effective risk mitigation consists of four interrelated activities:</w:t>
      </w:r>
    </w:p>
    <w:p>
      <w:pPr>
        <w:pStyle w:val="ListParagraph"/>
        <w:numPr>
          <w:ilvl w:val="0"/>
          <w:numId w:val="17"/>
        </w:numPr>
        <w:tabs>
          <w:tab w:pos="526" w:val="left" w:leader="none"/>
        </w:tabs>
        <w:spacing w:line="232" w:lineRule="exact" w:before="0" w:after="0"/>
        <w:ind w:left="525" w:right="0" w:hanging="284"/>
        <w:jc w:val="left"/>
        <w:rPr>
          <w:sz w:val="20"/>
        </w:rPr>
      </w:pPr>
      <w:r>
        <w:rPr>
          <w:sz w:val="20"/>
        </w:rPr>
        <w:t>Careful</w:t>
      </w:r>
      <w:r>
        <w:rPr>
          <w:spacing w:val="25"/>
          <w:sz w:val="20"/>
        </w:rPr>
        <w:t> </w:t>
      </w:r>
      <w:r>
        <w:rPr>
          <w:sz w:val="20"/>
        </w:rPr>
        <w:t>site</w:t>
      </w:r>
      <w:r>
        <w:rPr>
          <w:spacing w:val="25"/>
          <w:sz w:val="20"/>
        </w:rPr>
        <w:t> </w:t>
      </w:r>
      <w:r>
        <w:rPr>
          <w:sz w:val="20"/>
        </w:rPr>
        <w:t>selection,</w:t>
      </w:r>
      <w:r>
        <w:rPr>
          <w:spacing w:val="26"/>
          <w:sz w:val="20"/>
        </w:rPr>
        <w:t> </w:t>
      </w:r>
      <w:r>
        <w:rPr>
          <w:sz w:val="20"/>
        </w:rPr>
        <w:t>including</w:t>
      </w:r>
      <w:r>
        <w:rPr>
          <w:spacing w:val="25"/>
          <w:sz w:val="20"/>
        </w:rPr>
        <w:t> </w:t>
      </w:r>
      <w:r>
        <w:rPr>
          <w:sz w:val="20"/>
        </w:rPr>
        <w:t>performance</w:t>
      </w:r>
      <w:r>
        <w:rPr>
          <w:spacing w:val="25"/>
          <w:sz w:val="20"/>
        </w:rPr>
        <w:t> </w:t>
      </w:r>
      <w:r>
        <w:rPr>
          <w:sz w:val="20"/>
        </w:rPr>
        <w:t>and</w:t>
      </w:r>
      <w:r>
        <w:rPr>
          <w:spacing w:val="26"/>
          <w:sz w:val="20"/>
        </w:rPr>
        <w:t> </w:t>
      </w:r>
      <w:r>
        <w:rPr>
          <w:sz w:val="20"/>
        </w:rPr>
        <w:t>risk</w:t>
      </w:r>
    </w:p>
    <w:p>
      <w:pPr>
        <w:spacing w:after="0" w:line="232" w:lineRule="exact"/>
        <w:jc w:val="left"/>
        <w:rPr>
          <w:sz w:val="20"/>
        </w:rPr>
        <w:sectPr>
          <w:type w:val="continuous"/>
          <w:pgSz w:w="12240" w:h="15840"/>
          <w:pgMar w:top="400" w:bottom="280" w:left="580" w:right="600"/>
          <w:cols w:num="2" w:equalWidth="0">
            <w:col w:w="5598" w:space="40"/>
            <w:col w:w="5422"/>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before="63"/>
        <w:ind w:left="440"/>
        <w:jc w:val="both"/>
      </w:pPr>
      <w:bookmarkStart w:name="5.7.7 Remediation of leaking storage pro" w:id="98"/>
      <w:bookmarkEnd w:id="98"/>
      <w:r>
        <w:rPr/>
      </w:r>
      <w:bookmarkStart w:name="5.8 Legal issues and public acceptance" w:id="99"/>
      <w:bookmarkEnd w:id="99"/>
      <w:r>
        <w:rPr/>
      </w:r>
      <w:bookmarkStart w:name="5.8.1 International law" w:id="100"/>
      <w:bookmarkEnd w:id="100"/>
      <w:r>
        <w:rPr/>
      </w:r>
      <w:r>
        <w:rPr/>
        <w:t>assessment (Section 5.4) and socio-economic and</w:t>
      </w:r>
    </w:p>
    <w:p>
      <w:pPr>
        <w:pStyle w:val="BodyText"/>
        <w:spacing w:line="228" w:lineRule="exact" w:before="10"/>
        <w:ind w:left="440"/>
        <w:jc w:val="both"/>
      </w:pPr>
      <w:r>
        <w:rPr/>
        <w:t>environmental factors;</w:t>
      </w:r>
    </w:p>
    <w:p>
      <w:pPr>
        <w:pStyle w:val="ListParagraph"/>
        <w:numPr>
          <w:ilvl w:val="2"/>
          <w:numId w:val="16"/>
        </w:numPr>
        <w:tabs>
          <w:tab w:pos="441" w:val="left" w:leader="none"/>
        </w:tabs>
        <w:spacing w:line="249" w:lineRule="auto" w:before="0" w:after="0"/>
        <w:ind w:left="440" w:right="40" w:hanging="284"/>
        <w:jc w:val="both"/>
        <w:rPr>
          <w:sz w:val="20"/>
        </w:rPr>
      </w:pPr>
      <w:r>
        <w:rPr>
          <w:sz w:val="20"/>
        </w:rPr>
        <w:t>Monitoring to provide assurance that the storage project is performing as expected and to provide early warning in the event that it begins to leak (Section 5.6);</w:t>
      </w:r>
    </w:p>
    <w:p>
      <w:pPr>
        <w:pStyle w:val="ListParagraph"/>
        <w:numPr>
          <w:ilvl w:val="2"/>
          <w:numId w:val="16"/>
        </w:numPr>
        <w:tabs>
          <w:tab w:pos="441" w:val="left" w:leader="none"/>
        </w:tabs>
        <w:spacing w:line="229" w:lineRule="exact" w:before="0" w:after="0"/>
        <w:ind w:left="440" w:right="0" w:hanging="284"/>
        <w:jc w:val="both"/>
        <w:rPr>
          <w:sz w:val="20"/>
        </w:rPr>
      </w:pPr>
      <w:r>
        <w:rPr>
          <w:sz w:val="20"/>
        </w:rPr>
        <w:t>Effective regulatory oversight (Section</w:t>
      </w:r>
      <w:r>
        <w:rPr>
          <w:spacing w:val="-1"/>
          <w:sz w:val="20"/>
        </w:rPr>
        <w:t> </w:t>
      </w:r>
      <w:r>
        <w:rPr>
          <w:sz w:val="20"/>
        </w:rPr>
        <w:t>5.8);</w:t>
      </w:r>
    </w:p>
    <w:p>
      <w:pPr>
        <w:pStyle w:val="ListParagraph"/>
        <w:numPr>
          <w:ilvl w:val="2"/>
          <w:numId w:val="16"/>
        </w:numPr>
        <w:tabs>
          <w:tab w:pos="441" w:val="left" w:leader="none"/>
        </w:tabs>
        <w:spacing w:line="249" w:lineRule="auto" w:before="0" w:after="0"/>
        <w:ind w:left="440" w:right="40" w:hanging="284"/>
        <w:jc w:val="both"/>
        <w:rPr>
          <w:sz w:val="20"/>
        </w:rPr>
      </w:pPr>
      <w:r>
        <w:rPr>
          <w:sz w:val="20"/>
        </w:rPr>
        <w:t>Implementation of remediation measures to eliminate </w:t>
      </w:r>
      <w:r>
        <w:rPr>
          <w:spacing w:val="-7"/>
          <w:sz w:val="20"/>
        </w:rPr>
        <w:t>or </w:t>
      </w:r>
      <w:r>
        <w:rPr>
          <w:sz w:val="20"/>
        </w:rPr>
        <w:t>limit the causes and impacts of leakage (Section 5.7.7).</w:t>
      </w:r>
    </w:p>
    <w:p>
      <w:pPr>
        <w:pStyle w:val="BodyText"/>
        <w:spacing w:before="6"/>
      </w:pPr>
    </w:p>
    <w:p>
      <w:pPr>
        <w:pStyle w:val="BodyText"/>
        <w:spacing w:line="249" w:lineRule="auto"/>
        <w:ind w:left="157" w:right="38"/>
        <w:jc w:val="both"/>
      </w:pPr>
      <w:r>
        <w:rPr/>
        <w:t>Risk management strategies must use the inputs  from  the  risk assessment process to enable  quantitative  estimates  </w:t>
      </w:r>
      <w:r>
        <w:rPr>
          <w:spacing w:val="-7"/>
        </w:rPr>
        <w:t>of </w:t>
      </w:r>
      <w:r>
        <w:rPr/>
        <w:t>the degree of risk mitigation that can be achieved by various measures and to establish an appropriate level of monitoring, with intervention options available if necessary. Experience from natural gas storage projects and disposal of liquid wastes has demonstrated the effectiveness of this approach to </w:t>
      </w:r>
      <w:r>
        <w:rPr>
          <w:spacing w:val="-4"/>
        </w:rPr>
        <w:t>risk </w:t>
      </w:r>
      <w:r>
        <w:rPr/>
        <w:t>mitigation (Wilson </w:t>
      </w:r>
      <w:r>
        <w:rPr>
          <w:i/>
        </w:rPr>
        <w:t>et al.</w:t>
      </w:r>
      <w:r>
        <w:rPr/>
        <w:t>, 2003; Apps, 2005; </w:t>
      </w:r>
      <w:r>
        <w:rPr>
          <w:spacing w:val="-3"/>
        </w:rPr>
        <w:t>Perry,</w:t>
      </w:r>
      <w:r>
        <w:rPr>
          <w:spacing w:val="-20"/>
        </w:rPr>
        <w:t> </w:t>
      </w:r>
      <w:r>
        <w:rPr/>
        <w:t>2005).</w:t>
      </w:r>
    </w:p>
    <w:p>
      <w:pPr>
        <w:pStyle w:val="BodyText"/>
        <w:spacing w:before="5"/>
        <w:rPr>
          <w:sz w:val="21"/>
        </w:rPr>
      </w:pPr>
    </w:p>
    <w:p>
      <w:pPr>
        <w:pStyle w:val="Heading2"/>
        <w:numPr>
          <w:ilvl w:val="2"/>
          <w:numId w:val="15"/>
        </w:numPr>
        <w:tabs>
          <w:tab w:pos="978" w:val="left" w:leader="none"/>
        </w:tabs>
        <w:spacing w:line="240" w:lineRule="auto" w:before="0" w:after="0"/>
        <w:ind w:left="977" w:right="0" w:hanging="821"/>
        <w:jc w:val="both"/>
        <w:rPr>
          <w:i/>
        </w:rPr>
      </w:pPr>
      <w:r>
        <w:rPr>
          <w:i/>
        </w:rPr>
        <w:t>Remediation of leaking storage</w:t>
      </w:r>
      <w:r>
        <w:rPr>
          <w:i/>
          <w:spacing w:val="-2"/>
        </w:rPr>
        <w:t> </w:t>
      </w:r>
      <w:r>
        <w:rPr>
          <w:i/>
        </w:rPr>
        <w:t>projects</w:t>
      </w:r>
    </w:p>
    <w:p>
      <w:pPr>
        <w:pStyle w:val="BodyText"/>
        <w:spacing w:before="8"/>
        <w:rPr>
          <w:b/>
          <w:i/>
          <w:sz w:val="21"/>
        </w:rPr>
      </w:pPr>
    </w:p>
    <w:p>
      <w:pPr>
        <w:pStyle w:val="BodyText"/>
        <w:spacing w:line="249" w:lineRule="auto"/>
        <w:ind w:left="157" w:right="39"/>
        <w:jc w:val="both"/>
      </w:pPr>
      <w:r>
        <w:rPr/>
        <w:t>Geological storage projects will be selected and operated to avoid leakage. However, in rare cases, leakage may occur and remediation</w:t>
      </w:r>
      <w:r>
        <w:rPr>
          <w:spacing w:val="-17"/>
        </w:rPr>
        <w:t> </w:t>
      </w:r>
      <w:r>
        <w:rPr/>
        <w:t>measures</w:t>
      </w:r>
      <w:r>
        <w:rPr>
          <w:spacing w:val="-17"/>
        </w:rPr>
        <w:t> </w:t>
      </w:r>
      <w:r>
        <w:rPr/>
        <w:t>will</w:t>
      </w:r>
      <w:r>
        <w:rPr>
          <w:spacing w:val="-16"/>
        </w:rPr>
        <w:t> </w:t>
      </w:r>
      <w:r>
        <w:rPr/>
        <w:t>be</w:t>
      </w:r>
      <w:r>
        <w:rPr>
          <w:spacing w:val="-17"/>
        </w:rPr>
        <w:t> </w:t>
      </w:r>
      <w:r>
        <w:rPr/>
        <w:t>needed,</w:t>
      </w:r>
      <w:r>
        <w:rPr>
          <w:spacing w:val="-16"/>
        </w:rPr>
        <w:t> </w:t>
      </w:r>
      <w:r>
        <w:rPr/>
        <w:t>either</w:t>
      </w:r>
      <w:r>
        <w:rPr>
          <w:spacing w:val="-17"/>
        </w:rPr>
        <w:t> </w:t>
      </w:r>
      <w:r>
        <w:rPr/>
        <w:t>to</w:t>
      </w:r>
      <w:r>
        <w:rPr>
          <w:spacing w:val="-16"/>
        </w:rPr>
        <w:t> </w:t>
      </w:r>
      <w:r>
        <w:rPr/>
        <w:t>stop</w:t>
      </w:r>
      <w:r>
        <w:rPr>
          <w:spacing w:val="-17"/>
        </w:rPr>
        <w:t> </w:t>
      </w:r>
      <w:r>
        <w:rPr/>
        <w:t>the</w:t>
      </w:r>
      <w:r>
        <w:rPr>
          <w:spacing w:val="-16"/>
        </w:rPr>
        <w:t> </w:t>
      </w:r>
      <w:r>
        <w:rPr/>
        <w:t>leak</w:t>
      </w:r>
      <w:r>
        <w:rPr>
          <w:spacing w:val="-17"/>
        </w:rPr>
        <w:t> </w:t>
      </w:r>
      <w:r>
        <w:rPr/>
        <w:t>or</w:t>
      </w:r>
      <w:r>
        <w:rPr>
          <w:spacing w:val="-16"/>
        </w:rPr>
        <w:t> </w:t>
      </w:r>
      <w:r>
        <w:rPr/>
        <w:t>to prevent human or ecosystem impact. Moreover, the</w:t>
      </w:r>
      <w:r>
        <w:rPr>
          <w:spacing w:val="-37"/>
        </w:rPr>
        <w:t> </w:t>
      </w:r>
      <w:r>
        <w:rPr/>
        <w:t>availability of remediation options may provide an additional level </w:t>
      </w:r>
      <w:r>
        <w:rPr>
          <w:spacing w:val="-8"/>
        </w:rPr>
        <w:t>of </w:t>
      </w:r>
      <w:r>
        <w:rPr/>
        <w:t>assurance to the public that geological storage can be safe and effective.</w:t>
      </w:r>
      <w:r>
        <w:rPr>
          <w:spacing w:val="-11"/>
        </w:rPr>
        <w:t> </w:t>
      </w:r>
      <w:r>
        <w:rPr/>
        <w:t>While</w:t>
      </w:r>
      <w:r>
        <w:rPr>
          <w:spacing w:val="-6"/>
        </w:rPr>
        <w:t> </w:t>
      </w:r>
      <w:r>
        <w:rPr/>
        <w:t>little</w:t>
      </w:r>
      <w:r>
        <w:rPr>
          <w:spacing w:val="-6"/>
        </w:rPr>
        <w:t> </w:t>
      </w:r>
      <w:r>
        <w:rPr/>
        <w:t>effort</w:t>
      </w:r>
      <w:r>
        <w:rPr>
          <w:spacing w:val="-7"/>
        </w:rPr>
        <w:t> </w:t>
      </w:r>
      <w:r>
        <w:rPr/>
        <w:t>has</w:t>
      </w:r>
      <w:r>
        <w:rPr>
          <w:spacing w:val="-6"/>
        </w:rPr>
        <w:t> </w:t>
      </w:r>
      <w:r>
        <w:rPr/>
        <w:t>focused</w:t>
      </w:r>
      <w:r>
        <w:rPr>
          <w:spacing w:val="-6"/>
        </w:rPr>
        <w:t> </w:t>
      </w:r>
      <w:r>
        <w:rPr/>
        <w:t>on</w:t>
      </w:r>
      <w:r>
        <w:rPr>
          <w:spacing w:val="-6"/>
        </w:rPr>
        <w:t> </w:t>
      </w:r>
      <w:r>
        <w:rPr/>
        <w:t>remediation</w:t>
      </w:r>
      <w:r>
        <w:rPr>
          <w:spacing w:val="-7"/>
        </w:rPr>
        <w:t> </w:t>
      </w:r>
      <w:r>
        <w:rPr/>
        <w:t>options thus far, Benson and Hepple (2005) surveyed the practices used to remediate natural gas storage projects, groundwater and soil contamination, as well as disposal of liquid waste in deep geological formations. On the basis of these</w:t>
      </w:r>
      <w:r>
        <w:rPr>
          <w:spacing w:val="25"/>
        </w:rPr>
        <w:t> </w:t>
      </w:r>
      <w:r>
        <w:rPr/>
        <w:t>surveys, remediation options were identified for most of the leakage scenarios that have been identified,</w:t>
      </w:r>
      <w:r>
        <w:rPr>
          <w:spacing w:val="-4"/>
        </w:rPr>
        <w:t> </w:t>
      </w:r>
      <w:r>
        <w:rPr/>
        <w:t>namely:</w:t>
      </w:r>
    </w:p>
    <w:p>
      <w:pPr>
        <w:pStyle w:val="ListParagraph"/>
        <w:numPr>
          <w:ilvl w:val="2"/>
          <w:numId w:val="16"/>
        </w:numPr>
        <w:tabs>
          <w:tab w:pos="441" w:val="left" w:leader="none"/>
        </w:tabs>
        <w:spacing w:line="239" w:lineRule="exact" w:before="0" w:after="0"/>
        <w:ind w:left="440" w:right="0" w:hanging="284"/>
        <w:jc w:val="both"/>
        <w:rPr>
          <w:sz w:val="20"/>
        </w:rPr>
      </w:pPr>
      <w:r>
        <w:rPr>
          <w:sz w:val="20"/>
        </w:rPr>
        <w:t>Leaks within the storage</w:t>
      </w:r>
      <w:r>
        <w:rPr>
          <w:spacing w:val="-13"/>
          <w:sz w:val="20"/>
        </w:rPr>
        <w:t> </w:t>
      </w:r>
      <w:r>
        <w:rPr>
          <w:sz w:val="20"/>
        </w:rPr>
        <w:t>reservoir;</w:t>
      </w:r>
    </w:p>
    <w:p>
      <w:pPr>
        <w:pStyle w:val="ListParagraph"/>
        <w:numPr>
          <w:ilvl w:val="2"/>
          <w:numId w:val="16"/>
        </w:numPr>
        <w:tabs>
          <w:tab w:pos="441" w:val="left" w:leader="none"/>
        </w:tabs>
        <w:spacing w:line="243" w:lineRule="exact" w:before="0" w:after="0"/>
        <w:ind w:left="440" w:right="0" w:hanging="284"/>
        <w:jc w:val="left"/>
        <w:rPr>
          <w:sz w:val="20"/>
        </w:rPr>
      </w:pPr>
      <w:r>
        <w:rPr>
          <w:sz w:val="20"/>
        </w:rPr>
        <w:t>Leakage out of the storage formation up faults</w:t>
      </w:r>
      <w:r>
        <w:rPr>
          <w:spacing w:val="-3"/>
          <w:sz w:val="20"/>
        </w:rPr>
        <w:t> </w:t>
      </w:r>
      <w:r>
        <w:rPr>
          <w:sz w:val="20"/>
        </w:rPr>
        <w:t>and</w:t>
      </w:r>
    </w:p>
    <w:p>
      <w:pPr>
        <w:pStyle w:val="BodyText"/>
        <w:spacing w:line="228" w:lineRule="exact" w:before="10"/>
        <w:ind w:left="440"/>
      </w:pPr>
      <w:r>
        <w:rPr/>
        <w:t>fractures;</w:t>
      </w:r>
    </w:p>
    <w:p>
      <w:pPr>
        <w:pStyle w:val="ListParagraph"/>
        <w:numPr>
          <w:ilvl w:val="2"/>
          <w:numId w:val="16"/>
        </w:numPr>
        <w:tabs>
          <w:tab w:pos="441" w:val="left" w:leader="none"/>
        </w:tabs>
        <w:spacing w:line="240" w:lineRule="exact" w:before="0" w:after="0"/>
        <w:ind w:left="440" w:right="0" w:hanging="284"/>
        <w:jc w:val="left"/>
        <w:rPr>
          <w:sz w:val="20"/>
        </w:rPr>
      </w:pPr>
      <w:r>
        <w:rPr>
          <w:sz w:val="20"/>
        </w:rPr>
        <w:t>Shallow</w:t>
      </w:r>
      <w:r>
        <w:rPr>
          <w:spacing w:val="-7"/>
          <w:sz w:val="20"/>
        </w:rPr>
        <w:t> </w:t>
      </w:r>
      <w:r>
        <w:rPr>
          <w:sz w:val="20"/>
        </w:rPr>
        <w:t>groundwater;</w:t>
      </w:r>
    </w:p>
    <w:p>
      <w:pPr>
        <w:pStyle w:val="ListParagraph"/>
        <w:numPr>
          <w:ilvl w:val="2"/>
          <w:numId w:val="16"/>
        </w:numPr>
        <w:tabs>
          <w:tab w:pos="441" w:val="left" w:leader="none"/>
        </w:tabs>
        <w:spacing w:line="240" w:lineRule="exact" w:before="0" w:after="0"/>
        <w:ind w:left="440" w:right="0" w:hanging="284"/>
        <w:jc w:val="left"/>
        <w:rPr>
          <w:sz w:val="20"/>
        </w:rPr>
      </w:pPr>
      <w:r>
        <w:rPr>
          <w:spacing w:val="-4"/>
          <w:sz w:val="20"/>
        </w:rPr>
        <w:t>Vadose </w:t>
      </w:r>
      <w:r>
        <w:rPr>
          <w:sz w:val="20"/>
        </w:rPr>
        <w:t>zone and soil;</w:t>
      </w:r>
    </w:p>
    <w:p>
      <w:pPr>
        <w:pStyle w:val="ListParagraph"/>
        <w:numPr>
          <w:ilvl w:val="2"/>
          <w:numId w:val="16"/>
        </w:numPr>
        <w:tabs>
          <w:tab w:pos="441" w:val="left" w:leader="none"/>
        </w:tabs>
        <w:spacing w:line="240" w:lineRule="exact" w:before="0" w:after="0"/>
        <w:ind w:left="440" w:right="0" w:hanging="284"/>
        <w:jc w:val="left"/>
        <w:rPr>
          <w:sz w:val="20"/>
        </w:rPr>
      </w:pPr>
      <w:r>
        <w:rPr>
          <w:sz w:val="20"/>
        </w:rPr>
        <w:t>Surface</w:t>
      </w:r>
      <w:r>
        <w:rPr>
          <w:spacing w:val="-2"/>
          <w:sz w:val="20"/>
        </w:rPr>
        <w:t> </w:t>
      </w:r>
      <w:r>
        <w:rPr>
          <w:sz w:val="20"/>
        </w:rPr>
        <w:t>fluxes;</w:t>
      </w:r>
    </w:p>
    <w:p>
      <w:pPr>
        <w:pStyle w:val="ListParagraph"/>
        <w:numPr>
          <w:ilvl w:val="2"/>
          <w:numId w:val="16"/>
        </w:numPr>
        <w:tabs>
          <w:tab w:pos="441" w:val="left" w:leader="none"/>
        </w:tabs>
        <w:spacing w:line="240" w:lineRule="exact" w:before="0" w:after="0"/>
        <w:ind w:left="440" w:right="0" w:hanging="284"/>
        <w:jc w:val="left"/>
        <w:rPr>
          <w:sz w:val="20"/>
        </w:rPr>
      </w:pPr>
      <w:r>
        <w:rPr/>
        <w:pict>
          <v:shape style="position:absolute;margin-left:64.915199pt;margin-top:8.885723pt;width:2.95pt;height:5.85pt;mso-position-horizontal-relative:page;mso-position-vertical-relative:paragraph;z-index:-25882521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CO in indoor air, especially</w:t>
      </w:r>
      <w:r>
        <w:rPr>
          <w:spacing w:val="6"/>
          <w:sz w:val="20"/>
        </w:rPr>
        <w:t> </w:t>
      </w:r>
      <w:r>
        <w:rPr>
          <w:sz w:val="20"/>
        </w:rPr>
        <w:t>basements;</w:t>
      </w:r>
    </w:p>
    <w:p>
      <w:pPr>
        <w:pStyle w:val="ListParagraph"/>
        <w:numPr>
          <w:ilvl w:val="2"/>
          <w:numId w:val="16"/>
        </w:numPr>
        <w:tabs>
          <w:tab w:pos="441" w:val="left" w:leader="none"/>
        </w:tabs>
        <w:spacing w:line="243" w:lineRule="exact" w:before="0" w:after="0"/>
        <w:ind w:left="440" w:right="0" w:hanging="284"/>
        <w:jc w:val="left"/>
        <w:rPr>
          <w:sz w:val="20"/>
        </w:rPr>
      </w:pPr>
      <w:r>
        <w:rPr>
          <w:sz w:val="20"/>
        </w:rPr>
        <w:t>Surface</w:t>
      </w:r>
      <w:r>
        <w:rPr>
          <w:spacing w:val="-2"/>
          <w:sz w:val="20"/>
        </w:rPr>
        <w:t> </w:t>
      </w:r>
      <w:r>
        <w:rPr>
          <w:spacing w:val="-3"/>
          <w:sz w:val="20"/>
        </w:rPr>
        <w:t>water.</w:t>
      </w:r>
    </w:p>
    <w:p>
      <w:pPr>
        <w:pStyle w:val="BodyText"/>
        <w:spacing w:before="2"/>
        <w:rPr>
          <w:sz w:val="21"/>
        </w:rPr>
      </w:pPr>
    </w:p>
    <w:p>
      <w:pPr>
        <w:pStyle w:val="BodyText"/>
        <w:spacing w:line="240" w:lineRule="exact"/>
        <w:ind w:left="157" w:right="39"/>
        <w:jc w:val="both"/>
      </w:pPr>
      <w:r>
        <w:rPr/>
        <w:t>Identifying options for remediating leakage of CO</w:t>
      </w:r>
      <w:r>
        <w:rPr>
          <w:position w:val="-6"/>
          <w:sz w:val="11"/>
        </w:rPr>
        <w:t>2 </w:t>
      </w:r>
      <w:r>
        <w:rPr/>
        <w:t>from active or abandoned wells is particularly important,  because  they are known vulnerabilities (Gasda </w:t>
      </w:r>
      <w:r>
        <w:rPr>
          <w:i/>
        </w:rPr>
        <w:t>et al.</w:t>
      </w:r>
      <w:r>
        <w:rPr/>
        <w:t>, 2004; </w:t>
      </w:r>
      <w:r>
        <w:rPr>
          <w:spacing w:val="-3"/>
        </w:rPr>
        <w:t>Perry, </w:t>
      </w:r>
      <w:r>
        <w:rPr/>
        <w:t>2005). Stopping blow-outs or leaks from injection or abandoned  wells can be accomplished with standard techniques, such as injecting a heavy mud into the well casing. If the wellhead     is not accessible, a nearby well can be drilled to intercept </w:t>
      </w:r>
      <w:r>
        <w:rPr>
          <w:spacing w:val="-4"/>
        </w:rPr>
        <w:t>the </w:t>
      </w:r>
      <w:r>
        <w:rPr/>
        <w:t>casing</w:t>
      </w:r>
      <w:r>
        <w:rPr>
          <w:spacing w:val="-6"/>
        </w:rPr>
        <w:t> </w:t>
      </w:r>
      <w:r>
        <w:rPr/>
        <w:t>below</w:t>
      </w:r>
      <w:r>
        <w:rPr>
          <w:spacing w:val="-6"/>
        </w:rPr>
        <w:t> </w:t>
      </w:r>
      <w:r>
        <w:rPr/>
        <w:t>the</w:t>
      </w:r>
      <w:r>
        <w:rPr>
          <w:spacing w:val="-5"/>
        </w:rPr>
        <w:t> </w:t>
      </w:r>
      <w:r>
        <w:rPr/>
        <w:t>ground</w:t>
      </w:r>
      <w:r>
        <w:rPr>
          <w:spacing w:val="-6"/>
        </w:rPr>
        <w:t> </w:t>
      </w:r>
      <w:r>
        <w:rPr/>
        <w:t>surface</w:t>
      </w:r>
      <w:r>
        <w:rPr>
          <w:spacing w:val="-5"/>
        </w:rPr>
        <w:t> </w:t>
      </w:r>
      <w:r>
        <w:rPr/>
        <w:t>and</w:t>
      </w:r>
      <w:r>
        <w:rPr>
          <w:spacing w:val="-6"/>
        </w:rPr>
        <w:t> </w:t>
      </w:r>
      <w:r>
        <w:rPr/>
        <w:t>then</w:t>
      </w:r>
      <w:r>
        <w:rPr>
          <w:spacing w:val="-6"/>
        </w:rPr>
        <w:t> </w:t>
      </w:r>
      <w:r>
        <w:rPr/>
        <w:t>pump</w:t>
      </w:r>
      <w:r>
        <w:rPr>
          <w:spacing w:val="-5"/>
        </w:rPr>
        <w:t> </w:t>
      </w:r>
      <w:r>
        <w:rPr/>
        <w:t>mud</w:t>
      </w:r>
      <w:r>
        <w:rPr>
          <w:spacing w:val="-6"/>
        </w:rPr>
        <w:t> </w:t>
      </w:r>
      <w:r>
        <w:rPr/>
        <w:t>down</w:t>
      </w:r>
      <w:r>
        <w:rPr>
          <w:spacing w:val="-5"/>
        </w:rPr>
        <w:t> </w:t>
      </w:r>
      <w:r>
        <w:rPr/>
        <w:t>into the</w:t>
      </w:r>
      <w:r>
        <w:rPr>
          <w:spacing w:val="-6"/>
        </w:rPr>
        <w:t> </w:t>
      </w:r>
      <w:r>
        <w:rPr/>
        <w:t>interception</w:t>
      </w:r>
      <w:r>
        <w:rPr>
          <w:spacing w:val="-5"/>
        </w:rPr>
        <w:t> </w:t>
      </w:r>
      <w:r>
        <w:rPr/>
        <w:t>well.</w:t>
      </w:r>
      <w:r>
        <w:rPr>
          <w:spacing w:val="-16"/>
        </w:rPr>
        <w:t> </w:t>
      </w:r>
      <w:r>
        <w:rPr/>
        <w:t>After</w:t>
      </w:r>
      <w:r>
        <w:rPr>
          <w:spacing w:val="-5"/>
        </w:rPr>
        <w:t> </w:t>
      </w:r>
      <w:r>
        <w:rPr/>
        <w:t>control</w:t>
      </w:r>
      <w:r>
        <w:rPr>
          <w:spacing w:val="-5"/>
        </w:rPr>
        <w:t> </w:t>
      </w:r>
      <w:r>
        <w:rPr/>
        <w:t>of</w:t>
      </w:r>
      <w:r>
        <w:rPr>
          <w:spacing w:val="-5"/>
        </w:rPr>
        <w:t> </w:t>
      </w:r>
      <w:r>
        <w:rPr/>
        <w:t>the</w:t>
      </w:r>
      <w:r>
        <w:rPr>
          <w:spacing w:val="-6"/>
        </w:rPr>
        <w:t> </w:t>
      </w:r>
      <w:r>
        <w:rPr/>
        <w:t>well</w:t>
      </w:r>
      <w:r>
        <w:rPr>
          <w:spacing w:val="-5"/>
        </w:rPr>
        <w:t> </w:t>
      </w:r>
      <w:r>
        <w:rPr/>
        <w:t>is</w:t>
      </w:r>
      <w:r>
        <w:rPr>
          <w:spacing w:val="-5"/>
        </w:rPr>
        <w:t> </w:t>
      </w:r>
      <w:r>
        <w:rPr/>
        <w:t>re-established, the well can be repaired or abandoned. Leaking injection wells can</w:t>
      </w:r>
      <w:r>
        <w:rPr>
          <w:spacing w:val="-7"/>
        </w:rPr>
        <w:t> </w:t>
      </w:r>
      <w:r>
        <w:rPr/>
        <w:t>be</w:t>
      </w:r>
      <w:r>
        <w:rPr>
          <w:spacing w:val="-6"/>
        </w:rPr>
        <w:t> </w:t>
      </w:r>
      <w:r>
        <w:rPr/>
        <w:t>repaired</w:t>
      </w:r>
      <w:r>
        <w:rPr>
          <w:spacing w:val="-7"/>
        </w:rPr>
        <w:t> </w:t>
      </w:r>
      <w:r>
        <w:rPr/>
        <w:t>by</w:t>
      </w:r>
      <w:r>
        <w:rPr>
          <w:spacing w:val="-6"/>
        </w:rPr>
        <w:t> </w:t>
      </w:r>
      <w:r>
        <w:rPr/>
        <w:t>replacing</w:t>
      </w:r>
      <w:r>
        <w:rPr>
          <w:spacing w:val="-7"/>
        </w:rPr>
        <w:t> </w:t>
      </w:r>
      <w:r>
        <w:rPr/>
        <w:t>the</w:t>
      </w:r>
      <w:r>
        <w:rPr>
          <w:spacing w:val="-7"/>
        </w:rPr>
        <w:t> </w:t>
      </w:r>
      <w:r>
        <w:rPr/>
        <w:t>injection</w:t>
      </w:r>
      <w:r>
        <w:rPr>
          <w:spacing w:val="-7"/>
        </w:rPr>
        <w:t> </w:t>
      </w:r>
      <w:r>
        <w:rPr/>
        <w:t>tubing</w:t>
      </w:r>
      <w:r>
        <w:rPr>
          <w:spacing w:val="-7"/>
        </w:rPr>
        <w:t> </w:t>
      </w:r>
      <w:r>
        <w:rPr/>
        <w:t>and</w:t>
      </w:r>
      <w:r>
        <w:rPr>
          <w:spacing w:val="-7"/>
        </w:rPr>
        <w:t> </w:t>
      </w:r>
      <w:r>
        <w:rPr/>
        <w:t>packers.</w:t>
      </w:r>
      <w:r>
        <w:rPr>
          <w:spacing w:val="-7"/>
        </w:rPr>
        <w:t> </w:t>
      </w:r>
      <w:r>
        <w:rPr/>
        <w:t>If the</w:t>
      </w:r>
      <w:r>
        <w:rPr>
          <w:spacing w:val="-10"/>
        </w:rPr>
        <w:t> </w:t>
      </w:r>
      <w:r>
        <w:rPr/>
        <w:t>annular</w:t>
      </w:r>
      <w:r>
        <w:rPr>
          <w:spacing w:val="-9"/>
        </w:rPr>
        <w:t> </w:t>
      </w:r>
      <w:r>
        <w:rPr/>
        <w:t>space</w:t>
      </w:r>
      <w:r>
        <w:rPr>
          <w:spacing w:val="-10"/>
        </w:rPr>
        <w:t> </w:t>
      </w:r>
      <w:r>
        <w:rPr/>
        <w:t>behind</w:t>
      </w:r>
      <w:r>
        <w:rPr>
          <w:spacing w:val="-9"/>
        </w:rPr>
        <w:t> </w:t>
      </w:r>
      <w:r>
        <w:rPr/>
        <w:t>the</w:t>
      </w:r>
      <w:r>
        <w:rPr>
          <w:spacing w:val="-9"/>
        </w:rPr>
        <w:t> </w:t>
      </w:r>
      <w:r>
        <w:rPr/>
        <w:t>casing</w:t>
      </w:r>
      <w:r>
        <w:rPr>
          <w:spacing w:val="-10"/>
        </w:rPr>
        <w:t> </w:t>
      </w:r>
      <w:r>
        <w:rPr/>
        <w:t>is</w:t>
      </w:r>
      <w:r>
        <w:rPr>
          <w:spacing w:val="-8"/>
        </w:rPr>
        <w:t> </w:t>
      </w:r>
      <w:r>
        <w:rPr/>
        <w:t>leaking,</w:t>
      </w:r>
      <w:r>
        <w:rPr>
          <w:spacing w:val="-9"/>
        </w:rPr>
        <w:t> </w:t>
      </w:r>
      <w:r>
        <w:rPr/>
        <w:t>the</w:t>
      </w:r>
      <w:r>
        <w:rPr>
          <w:spacing w:val="-10"/>
        </w:rPr>
        <w:t> </w:t>
      </w:r>
      <w:r>
        <w:rPr/>
        <w:t>casing</w:t>
      </w:r>
      <w:r>
        <w:rPr>
          <w:spacing w:val="-9"/>
        </w:rPr>
        <w:t> </w:t>
      </w:r>
      <w:r>
        <w:rPr/>
        <w:t>can</w:t>
      </w:r>
      <w:r>
        <w:rPr>
          <w:spacing w:val="-9"/>
        </w:rPr>
        <w:t> </w:t>
      </w:r>
      <w:r>
        <w:rPr/>
        <w:t>be perforated to allow injection (squeezing) of cement behind </w:t>
      </w:r>
      <w:r>
        <w:rPr>
          <w:spacing w:val="-5"/>
        </w:rPr>
        <w:t>the </w:t>
      </w:r>
      <w:r>
        <w:rPr/>
        <w:t>casing</w:t>
      </w:r>
      <w:r>
        <w:rPr>
          <w:spacing w:val="6"/>
        </w:rPr>
        <w:t> </w:t>
      </w:r>
      <w:r>
        <w:rPr/>
        <w:t>until</w:t>
      </w:r>
      <w:r>
        <w:rPr>
          <w:spacing w:val="6"/>
        </w:rPr>
        <w:t> </w:t>
      </w:r>
      <w:r>
        <w:rPr/>
        <w:t>the</w:t>
      </w:r>
      <w:r>
        <w:rPr>
          <w:spacing w:val="6"/>
        </w:rPr>
        <w:t> </w:t>
      </w:r>
      <w:r>
        <w:rPr/>
        <w:t>leak</w:t>
      </w:r>
      <w:r>
        <w:rPr>
          <w:spacing w:val="6"/>
        </w:rPr>
        <w:t> </w:t>
      </w:r>
      <w:r>
        <w:rPr/>
        <w:t>is</w:t>
      </w:r>
      <w:r>
        <w:rPr>
          <w:spacing w:val="6"/>
        </w:rPr>
        <w:t> </w:t>
      </w:r>
      <w:r>
        <w:rPr/>
        <w:t>stopped.</w:t>
      </w:r>
      <w:r>
        <w:rPr>
          <w:spacing w:val="6"/>
        </w:rPr>
        <w:t> </w:t>
      </w:r>
      <w:r>
        <w:rPr/>
        <w:t>If</w:t>
      </w:r>
      <w:r>
        <w:rPr>
          <w:spacing w:val="6"/>
        </w:rPr>
        <w:t> </w:t>
      </w:r>
      <w:r>
        <w:rPr/>
        <w:t>the</w:t>
      </w:r>
      <w:r>
        <w:rPr>
          <w:spacing w:val="6"/>
        </w:rPr>
        <w:t> </w:t>
      </w:r>
      <w:r>
        <w:rPr/>
        <w:t>well</w:t>
      </w:r>
      <w:r>
        <w:rPr>
          <w:spacing w:val="7"/>
        </w:rPr>
        <w:t> </w:t>
      </w:r>
      <w:r>
        <w:rPr/>
        <w:t>cannot</w:t>
      </w:r>
      <w:r>
        <w:rPr>
          <w:spacing w:val="6"/>
        </w:rPr>
        <w:t> </w:t>
      </w:r>
      <w:r>
        <w:rPr/>
        <w:t>be</w:t>
      </w:r>
      <w:r>
        <w:rPr>
          <w:spacing w:val="6"/>
        </w:rPr>
        <w:t> </w:t>
      </w:r>
      <w:r>
        <w:rPr/>
        <w:t>repaired,</w:t>
      </w:r>
    </w:p>
    <w:p>
      <w:pPr>
        <w:pStyle w:val="BodyText"/>
        <w:spacing w:line="249" w:lineRule="auto" w:before="63"/>
        <w:ind w:left="157" w:right="531"/>
        <w:jc w:val="both"/>
      </w:pPr>
      <w:r>
        <w:rPr/>
        <w:br w:type="column"/>
      </w:r>
      <w:r>
        <w:rPr/>
        <w:t>it can be abandoned by following the procedure outlined in Section 5.5.2.</w:t>
      </w:r>
    </w:p>
    <w:p>
      <w:pPr>
        <w:pStyle w:val="BodyText"/>
        <w:spacing w:line="249" w:lineRule="auto" w:before="2"/>
        <w:ind w:left="157" w:right="531" w:firstLine="283"/>
        <w:jc w:val="both"/>
      </w:pPr>
      <w:hyperlink w:history="true" w:anchor="_bookmark47">
        <w:r>
          <w:rPr>
            <w:spacing w:val="-3"/>
          </w:rPr>
          <w:t>Table </w:t>
        </w:r>
        <w:r>
          <w:rPr/>
          <w:t>5.7 </w:t>
        </w:r>
      </w:hyperlink>
      <w:r>
        <w:rPr/>
        <w:t>provides an overview of the remediation options available for the leakage scenarios listed above. Some</w:t>
      </w:r>
      <w:r>
        <w:rPr>
          <w:spacing w:val="-19"/>
        </w:rPr>
        <w:t> </w:t>
      </w:r>
      <w:r>
        <w:rPr/>
        <w:t>methods are well established, while others are more speculative. Additional detailed studies are needed to further assess the feasibility  of  applying  these  to  geological  storage  </w:t>
      </w:r>
      <w:r>
        <w:rPr>
          <w:spacing w:val="7"/>
        </w:rPr>
        <w:t> </w:t>
      </w:r>
      <w:r>
        <w:rPr/>
        <w:t>projects</w:t>
      </w:r>
    </w:p>
    <w:p>
      <w:pPr>
        <w:pStyle w:val="BodyText"/>
        <w:spacing w:before="4"/>
        <w:ind w:left="157"/>
        <w:jc w:val="both"/>
      </w:pPr>
      <w:r>
        <w:rPr/>
        <w:t>–</w:t>
      </w:r>
      <w:r>
        <w:rPr>
          <w:spacing w:val="8"/>
        </w:rPr>
        <w:t> </w:t>
      </w:r>
      <w:r>
        <w:rPr/>
        <w:t>studies</w:t>
      </w:r>
      <w:r>
        <w:rPr>
          <w:spacing w:val="7"/>
        </w:rPr>
        <w:t> </w:t>
      </w:r>
      <w:r>
        <w:rPr/>
        <w:t>that</w:t>
      </w:r>
      <w:r>
        <w:rPr>
          <w:spacing w:val="8"/>
        </w:rPr>
        <w:t> </w:t>
      </w:r>
      <w:r>
        <w:rPr/>
        <w:t>are</w:t>
      </w:r>
      <w:r>
        <w:rPr>
          <w:spacing w:val="8"/>
        </w:rPr>
        <w:t> </w:t>
      </w:r>
      <w:r>
        <w:rPr/>
        <w:t>based</w:t>
      </w:r>
      <w:r>
        <w:rPr>
          <w:spacing w:val="9"/>
        </w:rPr>
        <w:t> </w:t>
      </w:r>
      <w:r>
        <w:rPr/>
        <w:t>on</w:t>
      </w:r>
      <w:r>
        <w:rPr>
          <w:spacing w:val="8"/>
        </w:rPr>
        <w:t> </w:t>
      </w:r>
      <w:r>
        <w:rPr/>
        <w:t>realistic</w:t>
      </w:r>
      <w:r>
        <w:rPr>
          <w:spacing w:val="7"/>
        </w:rPr>
        <w:t> </w:t>
      </w:r>
      <w:r>
        <w:rPr/>
        <w:t>scenarios,</w:t>
      </w:r>
      <w:r>
        <w:rPr>
          <w:spacing w:val="7"/>
        </w:rPr>
        <w:t> </w:t>
      </w:r>
      <w:r>
        <w:rPr/>
        <w:t>simulations</w:t>
      </w:r>
      <w:r>
        <w:rPr>
          <w:spacing w:val="8"/>
        </w:rPr>
        <w:t> </w:t>
      </w:r>
      <w:r>
        <w:rPr/>
        <w:t>and</w:t>
      </w:r>
    </w:p>
    <w:p>
      <w:pPr>
        <w:pStyle w:val="BodyText"/>
        <w:spacing w:before="10"/>
        <w:ind w:left="157"/>
        <w:jc w:val="both"/>
      </w:pPr>
      <w:r>
        <w:rPr/>
        <w:t>field studies.</w:t>
      </w:r>
    </w:p>
    <w:p>
      <w:pPr>
        <w:pStyle w:val="BodyText"/>
        <w:spacing w:before="8"/>
        <w:rPr>
          <w:sz w:val="21"/>
        </w:rPr>
      </w:pPr>
    </w:p>
    <w:p>
      <w:pPr>
        <w:pStyle w:val="Heading1"/>
        <w:numPr>
          <w:ilvl w:val="1"/>
          <w:numId w:val="7"/>
        </w:numPr>
        <w:tabs>
          <w:tab w:pos="865" w:val="left" w:leader="none"/>
          <w:tab w:pos="866" w:val="left" w:leader="none"/>
        </w:tabs>
        <w:spacing w:line="240" w:lineRule="auto" w:before="0" w:after="0"/>
        <w:ind w:left="866" w:right="0" w:hanging="709"/>
        <w:jc w:val="left"/>
      </w:pPr>
      <w:r>
        <w:rPr/>
        <w:t>Legal issues and public</w:t>
      </w:r>
      <w:r>
        <w:rPr>
          <w:spacing w:val="-2"/>
        </w:rPr>
        <w:t> </w:t>
      </w:r>
      <w:r>
        <w:rPr/>
        <w:t>acceptance</w:t>
      </w:r>
    </w:p>
    <w:p>
      <w:pPr>
        <w:pStyle w:val="BodyText"/>
        <w:spacing w:before="3"/>
        <w:rPr>
          <w:b/>
          <w:sz w:val="21"/>
        </w:rPr>
      </w:pPr>
    </w:p>
    <w:p>
      <w:pPr>
        <w:pStyle w:val="BodyText"/>
        <w:spacing w:line="240" w:lineRule="exact" w:before="1"/>
        <w:ind w:left="157" w:right="530"/>
        <w:jc w:val="both"/>
      </w:pPr>
      <w:r>
        <w:rPr/>
        <w:t>What legal and regulatory issues might be involved in </w:t>
      </w:r>
      <w:r>
        <w:rPr>
          <w:spacing w:val="-5"/>
        </w:rPr>
        <w:t>CO</w:t>
      </w:r>
      <w:r>
        <w:rPr>
          <w:spacing w:val="-5"/>
          <w:position w:val="-6"/>
          <w:sz w:val="11"/>
        </w:rPr>
        <w:t>2 </w:t>
      </w:r>
      <w:r>
        <w:rPr/>
        <w:t>storage? How do they differ from one country to the next and from onshore to offshore? What international treaties exist </w:t>
      </w:r>
      <w:r>
        <w:rPr>
          <w:spacing w:val="-4"/>
        </w:rPr>
        <w:t>that </w:t>
      </w:r>
      <w:r>
        <w:rPr/>
        <w:t>have</w:t>
      </w:r>
      <w:r>
        <w:rPr>
          <w:spacing w:val="-10"/>
        </w:rPr>
        <w:t> </w:t>
      </w:r>
      <w:r>
        <w:rPr/>
        <w:t>bearing</w:t>
      </w:r>
      <w:r>
        <w:rPr>
          <w:spacing w:val="-9"/>
        </w:rPr>
        <w:t> </w:t>
      </w:r>
      <w:r>
        <w:rPr/>
        <w:t>on</w:t>
      </w:r>
      <w:r>
        <w:rPr>
          <w:spacing w:val="-9"/>
        </w:rPr>
        <w:t> </w:t>
      </w:r>
      <w:r>
        <w:rPr/>
        <w:t>geological</w:t>
      </w:r>
      <w:r>
        <w:rPr>
          <w:spacing w:val="-9"/>
        </w:rPr>
        <w:t> </w:t>
      </w:r>
      <w:r>
        <w:rPr/>
        <w:t>storage?</w:t>
      </w:r>
      <w:r>
        <w:rPr>
          <w:spacing w:val="-9"/>
        </w:rPr>
        <w:t> </w:t>
      </w:r>
      <w:r>
        <w:rPr/>
        <w:t>How</w:t>
      </w:r>
      <w:r>
        <w:rPr>
          <w:spacing w:val="-9"/>
        </w:rPr>
        <w:t> </w:t>
      </w:r>
      <w:r>
        <w:rPr/>
        <w:t>does</w:t>
      </w:r>
      <w:r>
        <w:rPr>
          <w:spacing w:val="-10"/>
        </w:rPr>
        <w:t> </w:t>
      </w:r>
      <w:r>
        <w:rPr/>
        <w:t>and</w:t>
      </w:r>
      <w:r>
        <w:rPr>
          <w:spacing w:val="-9"/>
        </w:rPr>
        <w:t> </w:t>
      </w:r>
      <w:r>
        <w:rPr/>
        <w:t>how</w:t>
      </w:r>
      <w:r>
        <w:rPr>
          <w:spacing w:val="-9"/>
        </w:rPr>
        <w:t> </w:t>
      </w:r>
      <w:r>
        <w:rPr/>
        <w:t>will</w:t>
      </w:r>
      <w:r>
        <w:rPr>
          <w:spacing w:val="-9"/>
        </w:rPr>
        <w:t> </w:t>
      </w:r>
      <w:r>
        <w:rPr/>
        <w:t>the public view geological storage? These subjects are addressed in this section, which is primarily concerned with geological storage, both onshore and</w:t>
      </w:r>
      <w:r>
        <w:rPr>
          <w:spacing w:val="-2"/>
        </w:rPr>
        <w:t> </w:t>
      </w:r>
      <w:r>
        <w:rPr/>
        <w:t>offshore.</w:t>
      </w:r>
    </w:p>
    <w:p>
      <w:pPr>
        <w:pStyle w:val="BodyText"/>
        <w:spacing w:before="3"/>
        <w:rPr>
          <w:sz w:val="21"/>
        </w:rPr>
      </w:pPr>
    </w:p>
    <w:p>
      <w:pPr>
        <w:pStyle w:val="Heading2"/>
        <w:numPr>
          <w:ilvl w:val="2"/>
          <w:numId w:val="7"/>
        </w:numPr>
        <w:tabs>
          <w:tab w:pos="976" w:val="left" w:leader="none"/>
          <w:tab w:pos="977" w:val="left" w:leader="none"/>
        </w:tabs>
        <w:spacing w:line="240" w:lineRule="auto" w:before="0" w:after="0"/>
        <w:ind w:left="977" w:right="0" w:hanging="820"/>
        <w:jc w:val="left"/>
        <w:rPr>
          <w:i/>
        </w:rPr>
      </w:pPr>
      <w:r>
        <w:rPr>
          <w:i/>
        </w:rPr>
        <w:t>International</w:t>
      </w:r>
      <w:r>
        <w:rPr>
          <w:i/>
          <w:spacing w:val="-2"/>
        </w:rPr>
        <w:t> </w:t>
      </w:r>
      <w:r>
        <w:rPr>
          <w:i/>
        </w:rPr>
        <w:t>law</w:t>
      </w:r>
    </w:p>
    <w:p>
      <w:pPr>
        <w:pStyle w:val="BodyText"/>
        <w:spacing w:before="4"/>
        <w:rPr>
          <w:b/>
          <w:i/>
          <w:sz w:val="21"/>
        </w:rPr>
      </w:pPr>
    </w:p>
    <w:p>
      <w:pPr>
        <w:pStyle w:val="BodyText"/>
        <w:spacing w:line="240" w:lineRule="exact"/>
        <w:ind w:left="157" w:right="530"/>
        <w:jc w:val="both"/>
      </w:pPr>
      <w:r>
        <w:rPr/>
        <w:t>This section considers the legal position of geological CO</w:t>
      </w:r>
      <w:r>
        <w:rPr>
          <w:position w:val="-6"/>
          <w:sz w:val="11"/>
        </w:rPr>
        <w:t>2 </w:t>
      </w:r>
      <w:r>
        <w:rPr/>
        <w:t>storage under international </w:t>
      </w:r>
      <w:r>
        <w:rPr>
          <w:spacing w:val="-4"/>
        </w:rPr>
        <w:t>law. </w:t>
      </w:r>
      <w:r>
        <w:rPr/>
        <w:t>Primary sources, namely the relevant treaties, provide the basis for any assessment of </w:t>
      </w:r>
      <w:r>
        <w:rPr>
          <w:spacing w:val="-5"/>
        </w:rPr>
        <w:t>the </w:t>
      </w:r>
      <w:r>
        <w:rPr/>
        <w:t>legal</w:t>
      </w:r>
      <w:r>
        <w:rPr>
          <w:spacing w:val="-9"/>
        </w:rPr>
        <w:t> </w:t>
      </w:r>
      <w:r>
        <w:rPr/>
        <w:t>position.</w:t>
      </w:r>
      <w:r>
        <w:rPr>
          <w:spacing w:val="-12"/>
        </w:rPr>
        <w:t> </w:t>
      </w:r>
      <w:r>
        <w:rPr/>
        <w:t>While</w:t>
      </w:r>
      <w:r>
        <w:rPr>
          <w:spacing w:val="-9"/>
        </w:rPr>
        <w:t> </w:t>
      </w:r>
      <w:r>
        <w:rPr/>
        <w:t>States,</w:t>
      </w:r>
      <w:r>
        <w:rPr>
          <w:spacing w:val="-8"/>
        </w:rPr>
        <w:t> </w:t>
      </w:r>
      <w:r>
        <w:rPr/>
        <w:t>either</w:t>
      </w:r>
      <w:r>
        <w:rPr>
          <w:spacing w:val="-8"/>
        </w:rPr>
        <w:t> </w:t>
      </w:r>
      <w:r>
        <w:rPr/>
        <w:t>individually</w:t>
      </w:r>
      <w:r>
        <w:rPr>
          <w:spacing w:val="-9"/>
        </w:rPr>
        <w:t> </w:t>
      </w:r>
      <w:r>
        <w:rPr/>
        <w:t>or</w:t>
      </w:r>
      <w:r>
        <w:rPr>
          <w:spacing w:val="-8"/>
        </w:rPr>
        <w:t> </w:t>
      </w:r>
      <w:r>
        <w:rPr/>
        <w:t>jointly,</w:t>
      </w:r>
      <w:r>
        <w:rPr>
          <w:spacing w:val="-9"/>
        </w:rPr>
        <w:t> </w:t>
      </w:r>
      <w:r>
        <w:rPr/>
        <w:t>apply their</w:t>
      </w:r>
      <w:r>
        <w:rPr>
          <w:spacing w:val="-9"/>
        </w:rPr>
        <w:t> </w:t>
      </w:r>
      <w:r>
        <w:rPr/>
        <w:t>own</w:t>
      </w:r>
      <w:r>
        <w:rPr>
          <w:spacing w:val="-8"/>
        </w:rPr>
        <w:t> </w:t>
      </w:r>
      <w:r>
        <w:rPr/>
        <w:t>interpretations</w:t>
      </w:r>
      <w:r>
        <w:rPr>
          <w:spacing w:val="-8"/>
        </w:rPr>
        <w:t> </w:t>
      </w:r>
      <w:r>
        <w:rPr/>
        <w:t>to</w:t>
      </w:r>
      <w:r>
        <w:rPr>
          <w:spacing w:val="-9"/>
        </w:rPr>
        <w:t> </w:t>
      </w:r>
      <w:r>
        <w:rPr/>
        <w:t>treaty</w:t>
      </w:r>
      <w:r>
        <w:rPr>
          <w:spacing w:val="-8"/>
        </w:rPr>
        <w:t> </w:t>
      </w:r>
      <w:r>
        <w:rPr/>
        <w:t>provisions,</w:t>
      </w:r>
      <w:r>
        <w:rPr>
          <w:spacing w:val="-8"/>
        </w:rPr>
        <w:t> </w:t>
      </w:r>
      <w:r>
        <w:rPr/>
        <w:t>any</w:t>
      </w:r>
      <w:r>
        <w:rPr>
          <w:spacing w:val="-9"/>
        </w:rPr>
        <w:t> </w:t>
      </w:r>
      <w:r>
        <w:rPr>
          <w:spacing w:val="-2"/>
        </w:rPr>
        <w:t>determination </w:t>
      </w:r>
      <w:r>
        <w:rPr/>
        <w:t>of</w:t>
      </w:r>
      <w:r>
        <w:rPr>
          <w:spacing w:val="-4"/>
        </w:rPr>
        <w:t> </w:t>
      </w:r>
      <w:r>
        <w:rPr/>
        <w:t>the</w:t>
      </w:r>
      <w:r>
        <w:rPr>
          <w:spacing w:val="-3"/>
        </w:rPr>
        <w:t> </w:t>
      </w:r>
      <w:r>
        <w:rPr/>
        <w:t>‘correct’</w:t>
      </w:r>
      <w:r>
        <w:rPr>
          <w:spacing w:val="-18"/>
        </w:rPr>
        <w:t> </w:t>
      </w:r>
      <w:r>
        <w:rPr/>
        <w:t>interpretation</w:t>
      </w:r>
      <w:r>
        <w:rPr>
          <w:spacing w:val="-4"/>
        </w:rPr>
        <w:t> </w:t>
      </w:r>
      <w:r>
        <w:rPr/>
        <w:t>will</w:t>
      </w:r>
      <w:r>
        <w:rPr>
          <w:spacing w:val="-3"/>
        </w:rPr>
        <w:t> </w:t>
      </w:r>
      <w:r>
        <w:rPr/>
        <w:t>fall</w:t>
      </w:r>
      <w:r>
        <w:rPr>
          <w:spacing w:val="-3"/>
        </w:rPr>
        <w:t> </w:t>
      </w:r>
      <w:r>
        <w:rPr/>
        <w:t>to</w:t>
      </w:r>
      <w:r>
        <w:rPr>
          <w:spacing w:val="-4"/>
        </w:rPr>
        <w:t> </w:t>
      </w:r>
      <w:r>
        <w:rPr/>
        <w:t>the</w:t>
      </w:r>
      <w:r>
        <w:rPr>
          <w:spacing w:val="-3"/>
        </w:rPr>
        <w:t> </w:t>
      </w:r>
      <w:r>
        <w:rPr/>
        <w:t>International</w:t>
      </w:r>
      <w:r>
        <w:rPr>
          <w:spacing w:val="-3"/>
        </w:rPr>
        <w:t> </w:t>
      </w:r>
      <w:r>
        <w:rPr/>
        <w:t>Court of Justice or an arbitral tribunal in accordance with the dispute settlement mechanism under that</w:t>
      </w:r>
      <w:r>
        <w:rPr>
          <w:spacing w:val="-4"/>
        </w:rPr>
        <w:t> </w:t>
      </w:r>
      <w:r>
        <w:rPr/>
        <w:t>treaty.</w:t>
      </w:r>
    </w:p>
    <w:p>
      <w:pPr>
        <w:pStyle w:val="BodyText"/>
        <w:spacing w:before="10"/>
      </w:pPr>
    </w:p>
    <w:p>
      <w:pPr>
        <w:pStyle w:val="ListParagraph"/>
        <w:numPr>
          <w:ilvl w:val="3"/>
          <w:numId w:val="7"/>
        </w:numPr>
        <w:tabs>
          <w:tab w:pos="976" w:val="left" w:leader="none"/>
          <w:tab w:pos="977" w:val="left" w:leader="none"/>
        </w:tabs>
        <w:spacing w:line="240" w:lineRule="exact" w:before="0" w:after="0"/>
        <w:ind w:left="157" w:right="530" w:firstLine="0"/>
        <w:jc w:val="left"/>
        <w:rPr>
          <w:sz w:val="20"/>
        </w:rPr>
      </w:pPr>
      <w:r>
        <w:rPr>
          <w:i/>
          <w:sz w:val="20"/>
        </w:rPr>
        <w:t>Sources and nature of international obligations </w:t>
      </w:r>
      <w:r>
        <w:rPr>
          <w:sz w:val="20"/>
        </w:rPr>
        <w:t>According to general principles of customary international </w:t>
      </w:r>
      <w:r>
        <w:rPr>
          <w:spacing w:val="-4"/>
          <w:sz w:val="20"/>
        </w:rPr>
        <w:t>law, </w:t>
      </w:r>
      <w:r>
        <w:rPr>
          <w:sz w:val="20"/>
        </w:rPr>
        <w:t>States can exercise their sovereignty in their territories and therefore could engage in activities such as the storage    of CO</w:t>
      </w:r>
      <w:r>
        <w:rPr>
          <w:position w:val="-6"/>
          <w:sz w:val="11"/>
        </w:rPr>
        <w:t>2 </w:t>
      </w:r>
      <w:r>
        <w:rPr>
          <w:sz w:val="20"/>
        </w:rPr>
        <w:t>(both geological and ocean) in those areas under </w:t>
      </w:r>
      <w:r>
        <w:rPr>
          <w:spacing w:val="-3"/>
          <w:sz w:val="20"/>
        </w:rPr>
        <w:t>their </w:t>
      </w:r>
      <w:r>
        <w:rPr>
          <w:sz w:val="20"/>
        </w:rPr>
        <w:t>jurisdiction. However, if such storage causes transboundary impacts, States have the responsibility to ensure that activities within their jurisdiction or control do not cause damage to the environment of other States or of areas beyond the limits of national jurisdiction.</w:t>
      </w:r>
    </w:p>
    <w:p>
      <w:pPr>
        <w:pStyle w:val="BodyText"/>
        <w:spacing w:line="240" w:lineRule="exact"/>
        <w:ind w:left="157" w:right="529" w:firstLine="283"/>
        <w:jc w:val="both"/>
      </w:pPr>
      <w:r>
        <w:rPr/>
        <w:t>More</w:t>
      </w:r>
      <w:r>
        <w:rPr>
          <w:spacing w:val="-23"/>
        </w:rPr>
        <w:t> </w:t>
      </w:r>
      <w:r>
        <w:rPr/>
        <w:t>specifically,</w:t>
      </w:r>
      <w:r>
        <w:rPr>
          <w:spacing w:val="-22"/>
        </w:rPr>
        <w:t> </w:t>
      </w:r>
      <w:r>
        <w:rPr/>
        <w:t>there</w:t>
      </w:r>
      <w:r>
        <w:rPr>
          <w:spacing w:val="-22"/>
        </w:rPr>
        <w:t> </w:t>
      </w:r>
      <w:r>
        <w:rPr/>
        <w:t>exist</w:t>
      </w:r>
      <w:r>
        <w:rPr>
          <w:spacing w:val="-22"/>
        </w:rPr>
        <w:t> </w:t>
      </w:r>
      <w:r>
        <w:rPr/>
        <w:t>a</w:t>
      </w:r>
      <w:r>
        <w:rPr>
          <w:spacing w:val="-22"/>
        </w:rPr>
        <w:t> </w:t>
      </w:r>
      <w:r>
        <w:rPr/>
        <w:t>number</w:t>
      </w:r>
      <w:r>
        <w:rPr>
          <w:spacing w:val="-22"/>
        </w:rPr>
        <w:t> </w:t>
      </w:r>
      <w:r>
        <w:rPr/>
        <w:t>of</w:t>
      </w:r>
      <w:r>
        <w:rPr>
          <w:spacing w:val="-22"/>
        </w:rPr>
        <w:t> </w:t>
      </w:r>
      <w:r>
        <w:rPr/>
        <w:t>global</w:t>
      </w:r>
      <w:r>
        <w:rPr>
          <w:spacing w:val="-22"/>
        </w:rPr>
        <w:t> </w:t>
      </w:r>
      <w:r>
        <w:rPr/>
        <w:t>and</w:t>
      </w:r>
      <w:r>
        <w:rPr>
          <w:spacing w:val="-22"/>
        </w:rPr>
        <w:t> </w:t>
      </w:r>
      <w:r>
        <w:rPr/>
        <w:t>regional environmental</w:t>
      </w:r>
      <w:r>
        <w:rPr>
          <w:spacing w:val="-7"/>
        </w:rPr>
        <w:t> </w:t>
      </w:r>
      <w:r>
        <w:rPr/>
        <w:t>treaties,</w:t>
      </w:r>
      <w:r>
        <w:rPr>
          <w:spacing w:val="-7"/>
        </w:rPr>
        <w:t> </w:t>
      </w:r>
      <w:r>
        <w:rPr/>
        <w:t>notably</w:t>
      </w:r>
      <w:r>
        <w:rPr>
          <w:spacing w:val="-7"/>
        </w:rPr>
        <w:t> </w:t>
      </w:r>
      <w:r>
        <w:rPr/>
        <w:t>those</w:t>
      </w:r>
      <w:r>
        <w:rPr>
          <w:spacing w:val="-7"/>
        </w:rPr>
        <w:t> </w:t>
      </w:r>
      <w:r>
        <w:rPr/>
        <w:t>on</w:t>
      </w:r>
      <w:r>
        <w:rPr>
          <w:spacing w:val="-7"/>
        </w:rPr>
        <w:t> </w:t>
      </w:r>
      <w:r>
        <w:rPr/>
        <w:t>climate</w:t>
      </w:r>
      <w:r>
        <w:rPr>
          <w:spacing w:val="-7"/>
        </w:rPr>
        <w:t> </w:t>
      </w:r>
      <w:r>
        <w:rPr/>
        <w:t>change</w:t>
      </w:r>
      <w:r>
        <w:rPr>
          <w:spacing w:val="-7"/>
        </w:rPr>
        <w:t> </w:t>
      </w:r>
      <w:r>
        <w:rPr/>
        <w:t>and</w:t>
      </w:r>
      <w:r>
        <w:rPr>
          <w:spacing w:val="-7"/>
        </w:rPr>
        <w:t> </w:t>
      </w:r>
      <w:r>
        <w:rPr/>
        <w:t>the law of the sea and marine environment, which, as presently drafted, could be interpreted as relevant to the permissibility  of CO</w:t>
      </w:r>
      <w:hyperlink w:history="true" w:anchor="_bookmark48">
        <w:r>
          <w:rPr>
            <w:position w:val="-6"/>
            <w:sz w:val="11"/>
          </w:rPr>
          <w:t>2</w:t>
        </w:r>
      </w:hyperlink>
      <w:r>
        <w:rPr>
          <w:position w:val="-6"/>
          <w:sz w:val="11"/>
        </w:rPr>
        <w:t> </w:t>
      </w:r>
      <w:r>
        <w:rPr/>
        <w:t>storage, particularly offshore  geological  storage </w:t>
      </w:r>
      <w:r>
        <w:rPr>
          <w:spacing w:val="-3"/>
        </w:rPr>
        <w:t>(T</w:t>
      </w:r>
      <w:hyperlink w:history="true" w:anchor="_bookmark48">
        <w:r>
          <w:rPr>
            <w:spacing w:val="-3"/>
          </w:rPr>
          <w:t>able</w:t>
        </w:r>
        <w:r>
          <w:rPr/>
          <w:t> </w:t>
        </w:r>
      </w:hyperlink>
      <w:r>
        <w:rPr/>
        <w:t>5.8).</w:t>
      </w:r>
    </w:p>
    <w:p>
      <w:pPr>
        <w:pStyle w:val="BodyText"/>
        <w:spacing w:line="240" w:lineRule="exact"/>
        <w:ind w:left="157" w:right="530" w:firstLine="283"/>
        <w:jc w:val="both"/>
      </w:pPr>
      <w:r>
        <w:rPr/>
        <w:t>Before making any assessment of the compatibility  </w:t>
      </w:r>
      <w:r>
        <w:rPr>
          <w:spacing w:val="-7"/>
        </w:rPr>
        <w:t>of</w:t>
      </w:r>
      <w:r>
        <w:rPr>
          <w:spacing w:val="36"/>
        </w:rPr>
        <w:t> </w:t>
      </w:r>
      <w:r>
        <w:rPr/>
        <w:t>CO</w:t>
      </w:r>
      <w:r>
        <w:rPr>
          <w:position w:val="-6"/>
          <w:sz w:val="11"/>
        </w:rPr>
        <w:t>2 </w:t>
      </w:r>
      <w:r>
        <w:rPr/>
        <w:t>storage with the international legal obligations under  these treaties, the general nature of such obligations should be recalled – namely that:</w:t>
      </w:r>
    </w:p>
    <w:p>
      <w:pPr>
        <w:pStyle w:val="ListParagraph"/>
        <w:numPr>
          <w:ilvl w:val="2"/>
          <w:numId w:val="16"/>
        </w:numPr>
        <w:tabs>
          <w:tab w:pos="441" w:val="left" w:leader="none"/>
        </w:tabs>
        <w:spacing w:line="236" w:lineRule="exact" w:before="0" w:after="0"/>
        <w:ind w:left="440" w:right="0" w:hanging="284"/>
        <w:jc w:val="left"/>
        <w:rPr>
          <w:sz w:val="20"/>
        </w:rPr>
      </w:pPr>
      <w:r>
        <w:rPr>
          <w:sz w:val="20"/>
        </w:rPr>
        <w:t>Obligations</w:t>
      </w:r>
      <w:r>
        <w:rPr>
          <w:spacing w:val="24"/>
          <w:sz w:val="20"/>
        </w:rPr>
        <w:t> </w:t>
      </w:r>
      <w:r>
        <w:rPr>
          <w:sz w:val="20"/>
        </w:rPr>
        <w:t>under</w:t>
      </w:r>
      <w:r>
        <w:rPr>
          <w:spacing w:val="25"/>
          <w:sz w:val="20"/>
        </w:rPr>
        <w:t> </w:t>
      </w:r>
      <w:r>
        <w:rPr>
          <w:sz w:val="20"/>
        </w:rPr>
        <w:t>a</w:t>
      </w:r>
      <w:r>
        <w:rPr>
          <w:spacing w:val="25"/>
          <w:sz w:val="20"/>
        </w:rPr>
        <w:t> </w:t>
      </w:r>
      <w:r>
        <w:rPr>
          <w:sz w:val="20"/>
        </w:rPr>
        <w:t>treaty</w:t>
      </w:r>
      <w:r>
        <w:rPr>
          <w:spacing w:val="25"/>
          <w:sz w:val="20"/>
        </w:rPr>
        <w:t> </w:t>
      </w:r>
      <w:r>
        <w:rPr>
          <w:sz w:val="20"/>
        </w:rPr>
        <w:t>fall</w:t>
      </w:r>
      <w:r>
        <w:rPr>
          <w:spacing w:val="25"/>
          <w:sz w:val="20"/>
        </w:rPr>
        <w:t> </w:t>
      </w:r>
      <w:r>
        <w:rPr>
          <w:sz w:val="20"/>
        </w:rPr>
        <w:t>only</w:t>
      </w:r>
      <w:r>
        <w:rPr>
          <w:spacing w:val="25"/>
          <w:sz w:val="20"/>
        </w:rPr>
        <w:t> </w:t>
      </w:r>
      <w:r>
        <w:rPr>
          <w:sz w:val="20"/>
        </w:rPr>
        <w:t>on</w:t>
      </w:r>
      <w:r>
        <w:rPr>
          <w:spacing w:val="25"/>
          <w:sz w:val="20"/>
        </w:rPr>
        <w:t> </w:t>
      </w:r>
      <w:r>
        <w:rPr>
          <w:sz w:val="20"/>
        </w:rPr>
        <w:t>the</w:t>
      </w:r>
      <w:r>
        <w:rPr>
          <w:spacing w:val="25"/>
          <w:sz w:val="20"/>
        </w:rPr>
        <w:t> </w:t>
      </w:r>
      <w:r>
        <w:rPr>
          <w:sz w:val="20"/>
        </w:rPr>
        <w:t>Parties</w:t>
      </w:r>
      <w:r>
        <w:rPr>
          <w:spacing w:val="24"/>
          <w:sz w:val="20"/>
        </w:rPr>
        <w:t> </w:t>
      </w:r>
      <w:r>
        <w:rPr>
          <w:sz w:val="20"/>
        </w:rPr>
        <w:t>to</w:t>
      </w:r>
      <w:r>
        <w:rPr>
          <w:spacing w:val="26"/>
          <w:sz w:val="20"/>
        </w:rPr>
        <w:t> </w:t>
      </w:r>
      <w:r>
        <w:rPr>
          <w:sz w:val="20"/>
        </w:rPr>
        <w:t>that</w:t>
      </w:r>
    </w:p>
    <w:p>
      <w:pPr>
        <w:pStyle w:val="BodyText"/>
        <w:spacing w:line="228" w:lineRule="exact" w:before="9"/>
        <w:ind w:left="440"/>
      </w:pPr>
      <w:r>
        <w:rPr/>
        <w:t>treaty;</w:t>
      </w:r>
    </w:p>
    <w:p>
      <w:pPr>
        <w:pStyle w:val="ListParagraph"/>
        <w:numPr>
          <w:ilvl w:val="2"/>
          <w:numId w:val="16"/>
        </w:numPr>
        <w:tabs>
          <w:tab w:pos="441" w:val="left" w:leader="none"/>
        </w:tabs>
        <w:spacing w:line="249" w:lineRule="auto" w:before="0" w:after="0"/>
        <w:ind w:left="440" w:right="531" w:hanging="284"/>
        <w:jc w:val="both"/>
        <w:rPr>
          <w:sz w:val="20"/>
        </w:rPr>
      </w:pPr>
      <w:r>
        <w:rPr>
          <w:sz w:val="20"/>
        </w:rPr>
        <w:t>States take such obligations  seriously  and  so  will  look to the provisions of such treaties before reaching policy decisions;</w:t>
      </w:r>
    </w:p>
    <w:p>
      <w:pPr>
        <w:spacing w:after="0" w:line="249" w:lineRule="auto"/>
        <w:jc w:val="both"/>
        <w:rPr>
          <w:sz w:val="20"/>
        </w:rPr>
        <w:sectPr>
          <w:type w:val="continuous"/>
          <w:pgSz w:w="12240" w:h="15840"/>
          <w:pgMar w:top="400" w:bottom="280" w:left="580" w:right="600"/>
          <w:cols w:num="2" w:equalWidth="0">
            <w:col w:w="5243" w:space="84"/>
            <w:col w:w="5733"/>
          </w:cols>
        </w:sectPr>
      </w:pPr>
    </w:p>
    <w:p>
      <w:pPr>
        <w:pStyle w:val="BodyText"/>
      </w:pPr>
    </w:p>
    <w:p>
      <w:pPr>
        <w:pStyle w:val="BodyText"/>
        <w:spacing w:before="9"/>
      </w:pPr>
    </w:p>
    <w:p>
      <w:pPr>
        <w:spacing w:before="1"/>
        <w:ind w:left="553" w:right="0" w:firstLine="0"/>
        <w:jc w:val="left"/>
        <w:rPr>
          <w:sz w:val="18"/>
        </w:rPr>
      </w:pPr>
      <w:bookmarkStart w:name="_bookmark47" w:id="101"/>
      <w:bookmarkEnd w:id="101"/>
      <w:r>
        <w:rPr/>
      </w:r>
      <w:r>
        <w:rPr>
          <w:b/>
          <w:spacing w:val="-17"/>
          <w:w w:val="200"/>
          <w:sz w:val="18"/>
        </w:rPr>
        <w:t>t</w:t>
      </w:r>
      <w:r>
        <w:rPr>
          <w:b/>
          <w:sz w:val="18"/>
        </w:rPr>
        <w:t>able 5.7. </w:t>
      </w:r>
      <w:r>
        <w:rPr>
          <w:sz w:val="18"/>
        </w:rPr>
        <w:t>Remediation options for geological C</w:t>
      </w:r>
      <w:r>
        <w:rPr>
          <w:spacing w:val="-1"/>
          <w:sz w:val="18"/>
        </w:rPr>
        <w:t>O</w:t>
      </w:r>
      <w:r>
        <w:rPr>
          <w:w w:val="104"/>
          <w:position w:val="-5"/>
          <w:sz w:val="10"/>
        </w:rPr>
        <w:t>2</w:t>
      </w:r>
      <w:r>
        <w:rPr>
          <w:position w:val="-5"/>
          <w:sz w:val="10"/>
        </w:rPr>
        <w:t> </w:t>
      </w:r>
      <w:r>
        <w:rPr>
          <w:spacing w:val="-5"/>
          <w:position w:val="-5"/>
          <w:sz w:val="10"/>
        </w:rPr>
        <w:t> </w:t>
      </w:r>
      <w:r>
        <w:rPr>
          <w:spacing w:val="-1"/>
          <w:sz w:val="18"/>
        </w:rPr>
        <w:t>storag</w:t>
      </w:r>
      <w:r>
        <w:rPr>
          <w:sz w:val="18"/>
        </w:rPr>
        <w:t>e</w:t>
      </w:r>
      <w:r>
        <w:rPr>
          <w:spacing w:val="-1"/>
          <w:sz w:val="18"/>
        </w:rPr>
        <w:t> </w:t>
      </w:r>
      <w:r>
        <w:rPr>
          <w:sz w:val="18"/>
        </w:rPr>
        <w:t>projects (after Benson and </w:t>
      </w:r>
      <w:r>
        <w:rPr>
          <w:spacing w:val="-1"/>
          <w:sz w:val="18"/>
        </w:rPr>
        <w:t>Hepple</w:t>
      </w:r>
      <w:r>
        <w:rPr>
          <w:sz w:val="18"/>
        </w:rPr>
        <w:t>,</w:t>
      </w:r>
      <w:r>
        <w:rPr>
          <w:spacing w:val="-1"/>
          <w:sz w:val="18"/>
        </w:rPr>
        <w:t> </w:t>
      </w:r>
      <w:r>
        <w:rPr>
          <w:sz w:val="18"/>
        </w:rPr>
        <w:t>2005).</w:t>
      </w: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8902"/>
      </w:tblGrid>
      <w:tr>
        <w:trPr>
          <w:trHeight w:val="285" w:hRule="atLeast"/>
        </w:trPr>
        <w:tc>
          <w:tcPr>
            <w:tcW w:w="1464" w:type="dxa"/>
            <w:shd w:val="clear" w:color="auto" w:fill="E0EEE0"/>
          </w:tcPr>
          <w:p>
            <w:pPr>
              <w:pStyle w:val="TableParagraph"/>
              <w:spacing w:before="42"/>
              <w:ind w:left="77"/>
              <w:rPr>
                <w:b/>
                <w:sz w:val="18"/>
              </w:rPr>
            </w:pPr>
            <w:r>
              <w:rPr>
                <w:b/>
                <w:sz w:val="18"/>
              </w:rPr>
              <w:t>Scenario</w:t>
            </w:r>
          </w:p>
        </w:tc>
        <w:tc>
          <w:tcPr>
            <w:tcW w:w="8902" w:type="dxa"/>
            <w:shd w:val="clear" w:color="auto" w:fill="E0EEE0"/>
          </w:tcPr>
          <w:p>
            <w:pPr>
              <w:pStyle w:val="TableParagraph"/>
              <w:spacing w:before="42"/>
              <w:ind w:left="78"/>
              <w:rPr>
                <w:b/>
                <w:sz w:val="18"/>
              </w:rPr>
            </w:pPr>
            <w:r>
              <w:rPr>
                <w:b/>
                <w:sz w:val="18"/>
              </w:rPr>
              <w:t>Remediation options</w:t>
            </w:r>
          </w:p>
        </w:tc>
      </w:tr>
      <w:tr>
        <w:trPr>
          <w:trHeight w:val="1581" w:hRule="atLeast"/>
        </w:trPr>
        <w:tc>
          <w:tcPr>
            <w:tcW w:w="1464" w:type="dxa"/>
            <w:shd w:val="clear" w:color="auto" w:fill="F9FCF9"/>
          </w:tcPr>
          <w:p>
            <w:pPr>
              <w:pStyle w:val="TableParagraph"/>
              <w:spacing w:line="249" w:lineRule="auto" w:before="42"/>
              <w:ind w:left="77" w:right="237"/>
              <w:rPr>
                <w:sz w:val="18"/>
              </w:rPr>
            </w:pPr>
            <w:r>
              <w:rPr>
                <w:sz w:val="18"/>
              </w:rPr>
              <w:t>Leakage up faults, fractures and spill points</w:t>
            </w:r>
          </w:p>
        </w:tc>
        <w:tc>
          <w:tcPr>
            <w:tcW w:w="8902" w:type="dxa"/>
            <w:shd w:val="clear" w:color="auto" w:fill="F9FCF9"/>
          </w:tcPr>
          <w:p>
            <w:pPr>
              <w:pStyle w:val="TableParagraph"/>
              <w:numPr>
                <w:ilvl w:val="0"/>
                <w:numId w:val="18"/>
              </w:numPr>
              <w:tabs>
                <w:tab w:pos="191" w:val="left" w:leader="none"/>
              </w:tabs>
              <w:spacing w:line="240" w:lineRule="auto" w:before="42" w:after="0"/>
              <w:ind w:left="190" w:right="0" w:hanging="113"/>
              <w:jc w:val="left"/>
              <w:rPr>
                <w:sz w:val="18"/>
              </w:rPr>
            </w:pPr>
            <w:r>
              <w:rPr>
                <w:sz w:val="18"/>
              </w:rPr>
              <w:t>Lower</w:t>
            </w:r>
            <w:r>
              <w:rPr>
                <w:spacing w:val="3"/>
                <w:sz w:val="18"/>
              </w:rPr>
              <w:t> </w:t>
            </w:r>
            <w:r>
              <w:rPr>
                <w:sz w:val="18"/>
              </w:rPr>
              <w:t>injection</w:t>
            </w:r>
            <w:r>
              <w:rPr>
                <w:spacing w:val="4"/>
                <w:sz w:val="18"/>
              </w:rPr>
              <w:t> </w:t>
            </w:r>
            <w:r>
              <w:rPr>
                <w:sz w:val="18"/>
              </w:rPr>
              <w:t>pressure</w:t>
            </w:r>
            <w:r>
              <w:rPr>
                <w:spacing w:val="4"/>
                <w:sz w:val="18"/>
              </w:rPr>
              <w:t> </w:t>
            </w:r>
            <w:r>
              <w:rPr>
                <w:sz w:val="18"/>
              </w:rPr>
              <w:t>by</w:t>
            </w:r>
            <w:r>
              <w:rPr>
                <w:spacing w:val="4"/>
                <w:sz w:val="18"/>
              </w:rPr>
              <w:t> </w:t>
            </w:r>
            <w:r>
              <w:rPr>
                <w:sz w:val="18"/>
              </w:rPr>
              <w:t>injecting</w:t>
            </w:r>
            <w:r>
              <w:rPr>
                <w:spacing w:val="4"/>
                <w:sz w:val="18"/>
              </w:rPr>
              <w:t> </w:t>
            </w:r>
            <w:r>
              <w:rPr>
                <w:sz w:val="18"/>
              </w:rPr>
              <w:t>at</w:t>
            </w:r>
            <w:r>
              <w:rPr>
                <w:spacing w:val="4"/>
                <w:sz w:val="18"/>
              </w:rPr>
              <w:t> </w:t>
            </w:r>
            <w:r>
              <w:rPr>
                <w:sz w:val="18"/>
              </w:rPr>
              <w:t>a</w:t>
            </w:r>
            <w:r>
              <w:rPr>
                <w:spacing w:val="4"/>
                <w:sz w:val="18"/>
              </w:rPr>
              <w:t> </w:t>
            </w:r>
            <w:r>
              <w:rPr>
                <w:sz w:val="18"/>
              </w:rPr>
              <w:t>lower</w:t>
            </w:r>
            <w:r>
              <w:rPr>
                <w:spacing w:val="4"/>
                <w:sz w:val="18"/>
              </w:rPr>
              <w:t> </w:t>
            </w:r>
            <w:r>
              <w:rPr>
                <w:sz w:val="18"/>
              </w:rPr>
              <w:t>rate</w:t>
            </w:r>
            <w:r>
              <w:rPr>
                <w:spacing w:val="4"/>
                <w:sz w:val="18"/>
              </w:rPr>
              <w:t> </w:t>
            </w:r>
            <w:r>
              <w:rPr>
                <w:sz w:val="18"/>
              </w:rPr>
              <w:t>or</w:t>
            </w:r>
            <w:r>
              <w:rPr>
                <w:spacing w:val="3"/>
                <w:sz w:val="18"/>
              </w:rPr>
              <w:t> </w:t>
            </w:r>
            <w:r>
              <w:rPr>
                <w:sz w:val="18"/>
              </w:rPr>
              <w:t>through</w:t>
            </w:r>
            <w:r>
              <w:rPr>
                <w:spacing w:val="4"/>
                <w:sz w:val="18"/>
              </w:rPr>
              <w:t> </w:t>
            </w:r>
            <w:r>
              <w:rPr>
                <w:sz w:val="18"/>
              </w:rPr>
              <w:t>more</w:t>
            </w:r>
            <w:r>
              <w:rPr>
                <w:spacing w:val="4"/>
                <w:sz w:val="18"/>
              </w:rPr>
              <w:t> </w:t>
            </w:r>
            <w:r>
              <w:rPr>
                <w:sz w:val="18"/>
              </w:rPr>
              <w:t>wells</w:t>
            </w:r>
            <w:r>
              <w:rPr>
                <w:spacing w:val="4"/>
                <w:sz w:val="18"/>
              </w:rPr>
              <w:t> </w:t>
            </w:r>
            <w:r>
              <w:rPr>
                <w:sz w:val="18"/>
              </w:rPr>
              <w:t>(Buschbach</w:t>
            </w:r>
            <w:r>
              <w:rPr>
                <w:spacing w:val="4"/>
                <w:sz w:val="18"/>
              </w:rPr>
              <w:t> </w:t>
            </w:r>
            <w:r>
              <w:rPr>
                <w:sz w:val="18"/>
              </w:rPr>
              <w:t>and</w:t>
            </w:r>
            <w:r>
              <w:rPr>
                <w:spacing w:val="4"/>
                <w:sz w:val="18"/>
              </w:rPr>
              <w:t> </w:t>
            </w:r>
            <w:r>
              <w:rPr>
                <w:sz w:val="18"/>
              </w:rPr>
              <w:t>Bond,</w:t>
            </w:r>
            <w:r>
              <w:rPr>
                <w:spacing w:val="4"/>
                <w:sz w:val="18"/>
              </w:rPr>
              <w:t> </w:t>
            </w:r>
            <w:r>
              <w:rPr>
                <w:sz w:val="18"/>
              </w:rPr>
              <w:t>1974);</w:t>
            </w:r>
          </w:p>
          <w:p>
            <w:pPr>
              <w:pStyle w:val="TableParagraph"/>
              <w:numPr>
                <w:ilvl w:val="0"/>
                <w:numId w:val="18"/>
              </w:numPr>
              <w:tabs>
                <w:tab w:pos="191" w:val="left" w:leader="none"/>
              </w:tabs>
              <w:spacing w:line="240" w:lineRule="auto" w:before="9" w:after="0"/>
              <w:ind w:left="190" w:right="0" w:hanging="113"/>
              <w:jc w:val="left"/>
              <w:rPr>
                <w:sz w:val="18"/>
              </w:rPr>
            </w:pPr>
            <w:r>
              <w:rPr>
                <w:sz w:val="18"/>
              </w:rPr>
              <w:t>Lower reservoir pressure by removing water or other fluids from the storage</w:t>
            </w:r>
            <w:r>
              <w:rPr>
                <w:spacing w:val="44"/>
                <w:sz w:val="18"/>
              </w:rPr>
              <w:t> </w:t>
            </w:r>
            <w:r>
              <w:rPr>
                <w:sz w:val="18"/>
              </w:rPr>
              <w:t>structure;</w:t>
            </w:r>
          </w:p>
          <w:p>
            <w:pPr>
              <w:pStyle w:val="TableParagraph"/>
              <w:numPr>
                <w:ilvl w:val="0"/>
                <w:numId w:val="18"/>
              </w:numPr>
              <w:tabs>
                <w:tab w:pos="191" w:val="left" w:leader="none"/>
              </w:tabs>
              <w:spacing w:line="240" w:lineRule="auto" w:before="9" w:after="0"/>
              <w:ind w:left="190" w:right="0" w:hanging="113"/>
              <w:jc w:val="left"/>
              <w:rPr>
                <w:sz w:val="18"/>
              </w:rPr>
            </w:pPr>
            <w:r>
              <w:rPr>
                <w:sz w:val="18"/>
              </w:rPr>
              <w:t>Intersect the leakage with extraction wells in the vicinity of the</w:t>
            </w:r>
            <w:r>
              <w:rPr>
                <w:spacing w:val="43"/>
                <w:sz w:val="18"/>
              </w:rPr>
              <w:t> </w:t>
            </w:r>
            <w:r>
              <w:rPr>
                <w:sz w:val="18"/>
              </w:rPr>
              <w:t>leak;</w:t>
            </w:r>
          </w:p>
          <w:p>
            <w:pPr>
              <w:pStyle w:val="TableParagraph"/>
              <w:numPr>
                <w:ilvl w:val="0"/>
                <w:numId w:val="18"/>
              </w:numPr>
              <w:tabs>
                <w:tab w:pos="191" w:val="left" w:leader="none"/>
              </w:tabs>
              <w:spacing w:line="240" w:lineRule="auto" w:before="9" w:after="0"/>
              <w:ind w:left="190" w:right="0" w:hanging="113"/>
              <w:jc w:val="left"/>
              <w:rPr>
                <w:sz w:val="18"/>
              </w:rPr>
            </w:pPr>
            <w:r>
              <w:rPr>
                <w:sz w:val="18"/>
              </w:rPr>
              <w:t>Create a hydraulic barrier by increasing the reservoir pressure upstream of the</w:t>
            </w:r>
            <w:r>
              <w:rPr>
                <w:spacing w:val="3"/>
                <w:sz w:val="18"/>
              </w:rPr>
              <w:t> </w:t>
            </w:r>
            <w:r>
              <w:rPr>
                <w:sz w:val="18"/>
              </w:rPr>
              <w:t>leak;</w:t>
            </w:r>
          </w:p>
          <w:p>
            <w:pPr>
              <w:pStyle w:val="TableParagraph"/>
              <w:numPr>
                <w:ilvl w:val="0"/>
                <w:numId w:val="18"/>
              </w:numPr>
              <w:tabs>
                <w:tab w:pos="191" w:val="left" w:leader="none"/>
              </w:tabs>
              <w:spacing w:line="240" w:lineRule="auto" w:before="9" w:after="0"/>
              <w:ind w:left="190" w:right="0" w:hanging="113"/>
              <w:jc w:val="left"/>
              <w:rPr>
                <w:sz w:val="18"/>
              </w:rPr>
            </w:pPr>
            <w:r>
              <w:rPr>
                <w:sz w:val="18"/>
              </w:rPr>
              <w:t>Lower</w:t>
            </w:r>
            <w:r>
              <w:rPr>
                <w:spacing w:val="3"/>
                <w:sz w:val="18"/>
              </w:rPr>
              <w:t> </w:t>
            </w:r>
            <w:r>
              <w:rPr>
                <w:sz w:val="18"/>
              </w:rPr>
              <w:t>the</w:t>
            </w:r>
            <w:r>
              <w:rPr>
                <w:spacing w:val="4"/>
                <w:sz w:val="18"/>
              </w:rPr>
              <w:t> </w:t>
            </w:r>
            <w:r>
              <w:rPr>
                <w:sz w:val="18"/>
              </w:rPr>
              <w:t>reservoir</w:t>
            </w:r>
            <w:r>
              <w:rPr>
                <w:spacing w:val="4"/>
                <w:sz w:val="18"/>
              </w:rPr>
              <w:t> </w:t>
            </w:r>
            <w:r>
              <w:rPr>
                <w:sz w:val="18"/>
              </w:rPr>
              <w:t>pressure</w:t>
            </w:r>
            <w:r>
              <w:rPr>
                <w:spacing w:val="4"/>
                <w:sz w:val="18"/>
              </w:rPr>
              <w:t> </w:t>
            </w:r>
            <w:r>
              <w:rPr>
                <w:sz w:val="18"/>
              </w:rPr>
              <w:t>by</w:t>
            </w:r>
            <w:r>
              <w:rPr>
                <w:spacing w:val="4"/>
                <w:sz w:val="18"/>
              </w:rPr>
              <w:t> </w:t>
            </w:r>
            <w:r>
              <w:rPr>
                <w:sz w:val="18"/>
              </w:rPr>
              <w:t>creating</w:t>
            </w:r>
            <w:r>
              <w:rPr>
                <w:spacing w:val="4"/>
                <w:sz w:val="18"/>
              </w:rPr>
              <w:t> </w:t>
            </w:r>
            <w:r>
              <w:rPr>
                <w:sz w:val="18"/>
              </w:rPr>
              <w:t>a</w:t>
            </w:r>
            <w:r>
              <w:rPr>
                <w:spacing w:val="3"/>
                <w:sz w:val="18"/>
              </w:rPr>
              <w:t> </w:t>
            </w:r>
            <w:r>
              <w:rPr>
                <w:sz w:val="18"/>
              </w:rPr>
              <w:t>pathway</w:t>
            </w:r>
            <w:r>
              <w:rPr>
                <w:spacing w:val="4"/>
                <w:sz w:val="18"/>
              </w:rPr>
              <w:t> </w:t>
            </w:r>
            <w:r>
              <w:rPr>
                <w:sz w:val="18"/>
              </w:rPr>
              <w:t>to</w:t>
            </w:r>
            <w:r>
              <w:rPr>
                <w:spacing w:val="4"/>
                <w:sz w:val="18"/>
              </w:rPr>
              <w:t> </w:t>
            </w:r>
            <w:r>
              <w:rPr>
                <w:sz w:val="18"/>
              </w:rPr>
              <w:t>access</w:t>
            </w:r>
            <w:r>
              <w:rPr>
                <w:spacing w:val="4"/>
                <w:sz w:val="18"/>
              </w:rPr>
              <w:t> </w:t>
            </w:r>
            <w:r>
              <w:rPr>
                <w:sz w:val="18"/>
              </w:rPr>
              <w:t>new</w:t>
            </w:r>
            <w:r>
              <w:rPr>
                <w:spacing w:val="4"/>
                <w:sz w:val="18"/>
              </w:rPr>
              <w:t> </w:t>
            </w:r>
            <w:r>
              <w:rPr>
                <w:sz w:val="18"/>
              </w:rPr>
              <w:t>compartments</w:t>
            </w:r>
            <w:r>
              <w:rPr>
                <w:spacing w:val="4"/>
                <w:sz w:val="18"/>
              </w:rPr>
              <w:t> </w:t>
            </w:r>
            <w:r>
              <w:rPr>
                <w:sz w:val="18"/>
              </w:rPr>
              <w:t>in</w:t>
            </w:r>
            <w:r>
              <w:rPr>
                <w:spacing w:val="3"/>
                <w:sz w:val="18"/>
              </w:rPr>
              <w:t> </w:t>
            </w:r>
            <w:r>
              <w:rPr>
                <w:sz w:val="18"/>
              </w:rPr>
              <w:t>the</w:t>
            </w:r>
            <w:r>
              <w:rPr>
                <w:spacing w:val="4"/>
                <w:sz w:val="18"/>
              </w:rPr>
              <w:t> </w:t>
            </w:r>
            <w:r>
              <w:rPr>
                <w:sz w:val="18"/>
              </w:rPr>
              <w:t>storage</w:t>
            </w:r>
            <w:r>
              <w:rPr>
                <w:spacing w:val="4"/>
                <w:sz w:val="18"/>
              </w:rPr>
              <w:t> </w:t>
            </w:r>
            <w:r>
              <w:rPr>
                <w:sz w:val="18"/>
              </w:rPr>
              <w:t>reservoir;</w:t>
            </w:r>
          </w:p>
          <w:p>
            <w:pPr>
              <w:pStyle w:val="TableParagraph"/>
              <w:numPr>
                <w:ilvl w:val="0"/>
                <w:numId w:val="18"/>
              </w:numPr>
              <w:tabs>
                <w:tab w:pos="191" w:val="left" w:leader="none"/>
              </w:tabs>
              <w:spacing w:line="240" w:lineRule="auto" w:before="9" w:after="0"/>
              <w:ind w:left="190" w:right="0" w:hanging="113"/>
              <w:jc w:val="left"/>
              <w:rPr>
                <w:sz w:val="18"/>
              </w:rPr>
            </w:pPr>
            <w:r>
              <w:rPr>
                <w:sz w:val="18"/>
              </w:rPr>
              <w:t>Stop injection to stabilize the</w:t>
            </w:r>
            <w:r>
              <w:rPr>
                <w:spacing w:val="19"/>
                <w:sz w:val="18"/>
              </w:rPr>
              <w:t> </w:t>
            </w:r>
            <w:r>
              <w:rPr>
                <w:sz w:val="18"/>
              </w:rPr>
              <w:t>project;</w:t>
            </w:r>
          </w:p>
          <w:p>
            <w:pPr>
              <w:pStyle w:val="TableParagraph"/>
              <w:numPr>
                <w:ilvl w:val="0"/>
                <w:numId w:val="18"/>
              </w:numPr>
              <w:tabs>
                <w:tab w:pos="191" w:val="left" w:leader="none"/>
              </w:tabs>
              <w:spacing w:line="223" w:lineRule="exact" w:before="9" w:after="0"/>
              <w:ind w:left="190" w:right="0" w:hanging="113"/>
              <w:jc w:val="left"/>
              <w:rPr>
                <w:sz w:val="18"/>
              </w:rPr>
            </w:pPr>
            <w:r>
              <w:rPr>
                <w:sz w:val="18"/>
              </w:rPr>
              <w:t>Stop injection, produce the CO</w:t>
            </w:r>
            <w:r>
              <w:rPr>
                <w:position w:val="-5"/>
                <w:sz w:val="10"/>
              </w:rPr>
              <w:t>2 </w:t>
            </w:r>
            <w:r>
              <w:rPr>
                <w:sz w:val="18"/>
              </w:rPr>
              <w:t>from the storage reservoir and reinject it back into a more suitable storage</w:t>
            </w:r>
            <w:r>
              <w:rPr>
                <w:spacing w:val="44"/>
                <w:sz w:val="18"/>
              </w:rPr>
              <w:t> </w:t>
            </w:r>
            <w:r>
              <w:rPr>
                <w:sz w:val="18"/>
              </w:rPr>
              <w:t>structure.</w:t>
            </w:r>
          </w:p>
        </w:tc>
      </w:tr>
      <w:tr>
        <w:trPr>
          <w:trHeight w:val="1797" w:hRule="atLeast"/>
        </w:trPr>
        <w:tc>
          <w:tcPr>
            <w:tcW w:w="1464" w:type="dxa"/>
            <w:shd w:val="clear" w:color="auto" w:fill="F9FCF9"/>
          </w:tcPr>
          <w:p>
            <w:pPr>
              <w:pStyle w:val="TableParagraph"/>
              <w:spacing w:line="249" w:lineRule="auto" w:before="42"/>
              <w:ind w:left="77" w:right="142"/>
              <w:rPr>
                <w:sz w:val="18"/>
              </w:rPr>
            </w:pPr>
            <w:r>
              <w:rPr>
                <w:sz w:val="18"/>
              </w:rPr>
              <w:t>Leakage through active or abandoned wells</w:t>
            </w:r>
          </w:p>
        </w:tc>
        <w:tc>
          <w:tcPr>
            <w:tcW w:w="8902" w:type="dxa"/>
            <w:shd w:val="clear" w:color="auto" w:fill="F9FCF9"/>
          </w:tcPr>
          <w:p>
            <w:pPr>
              <w:pStyle w:val="TableParagraph"/>
              <w:numPr>
                <w:ilvl w:val="0"/>
                <w:numId w:val="19"/>
              </w:numPr>
              <w:tabs>
                <w:tab w:pos="191" w:val="left" w:leader="none"/>
              </w:tabs>
              <w:spacing w:line="240" w:lineRule="auto" w:before="42" w:after="0"/>
              <w:ind w:left="190" w:right="0" w:hanging="113"/>
              <w:jc w:val="left"/>
              <w:rPr>
                <w:sz w:val="18"/>
              </w:rPr>
            </w:pPr>
            <w:r>
              <w:rPr>
                <w:sz w:val="18"/>
              </w:rPr>
              <w:t>Repair leaking injection wells with standard well recompletion techniques such as replacing the injection tubing</w:t>
            </w:r>
            <w:r>
              <w:rPr>
                <w:spacing w:val="44"/>
                <w:sz w:val="18"/>
              </w:rPr>
              <w:t> </w:t>
            </w:r>
            <w:r>
              <w:rPr>
                <w:sz w:val="18"/>
              </w:rPr>
              <w:t>and</w:t>
            </w:r>
          </w:p>
          <w:p>
            <w:pPr>
              <w:pStyle w:val="TableParagraph"/>
              <w:spacing w:before="9"/>
              <w:ind w:left="190"/>
              <w:rPr>
                <w:sz w:val="18"/>
              </w:rPr>
            </w:pPr>
            <w:r>
              <w:rPr>
                <w:sz w:val="18"/>
              </w:rPr>
              <w:t>packers;</w:t>
            </w:r>
          </w:p>
          <w:p>
            <w:pPr>
              <w:pStyle w:val="TableParagraph"/>
              <w:numPr>
                <w:ilvl w:val="0"/>
                <w:numId w:val="19"/>
              </w:numPr>
              <w:tabs>
                <w:tab w:pos="191" w:val="left" w:leader="none"/>
              </w:tabs>
              <w:spacing w:line="240" w:lineRule="auto" w:before="9" w:after="0"/>
              <w:ind w:left="190" w:right="0" w:hanging="113"/>
              <w:jc w:val="left"/>
              <w:rPr>
                <w:sz w:val="18"/>
              </w:rPr>
            </w:pPr>
            <w:r>
              <w:rPr>
                <w:sz w:val="18"/>
              </w:rPr>
              <w:t>Repair</w:t>
            </w:r>
            <w:r>
              <w:rPr>
                <w:spacing w:val="3"/>
                <w:sz w:val="18"/>
              </w:rPr>
              <w:t> </w:t>
            </w:r>
            <w:r>
              <w:rPr>
                <w:sz w:val="18"/>
              </w:rPr>
              <w:t>leaking</w:t>
            </w:r>
            <w:r>
              <w:rPr>
                <w:spacing w:val="4"/>
                <w:sz w:val="18"/>
              </w:rPr>
              <w:t> </w:t>
            </w:r>
            <w:r>
              <w:rPr>
                <w:sz w:val="18"/>
              </w:rPr>
              <w:t>injection</w:t>
            </w:r>
            <w:r>
              <w:rPr>
                <w:spacing w:val="3"/>
                <w:sz w:val="18"/>
              </w:rPr>
              <w:t> </w:t>
            </w:r>
            <w:r>
              <w:rPr>
                <w:sz w:val="18"/>
              </w:rPr>
              <w:t>wells</w:t>
            </w:r>
            <w:r>
              <w:rPr>
                <w:spacing w:val="4"/>
                <w:sz w:val="18"/>
              </w:rPr>
              <w:t> </w:t>
            </w:r>
            <w:r>
              <w:rPr>
                <w:sz w:val="18"/>
              </w:rPr>
              <w:t>by</w:t>
            </w:r>
            <w:r>
              <w:rPr>
                <w:spacing w:val="3"/>
                <w:sz w:val="18"/>
              </w:rPr>
              <w:t> </w:t>
            </w:r>
            <w:r>
              <w:rPr>
                <w:sz w:val="18"/>
              </w:rPr>
              <w:t>squeezing</w:t>
            </w:r>
            <w:r>
              <w:rPr>
                <w:spacing w:val="4"/>
                <w:sz w:val="18"/>
              </w:rPr>
              <w:t> </w:t>
            </w:r>
            <w:r>
              <w:rPr>
                <w:sz w:val="18"/>
              </w:rPr>
              <w:t>cement</w:t>
            </w:r>
            <w:r>
              <w:rPr>
                <w:spacing w:val="4"/>
                <w:sz w:val="18"/>
              </w:rPr>
              <w:t> </w:t>
            </w:r>
            <w:r>
              <w:rPr>
                <w:sz w:val="18"/>
              </w:rPr>
              <w:t>behind</w:t>
            </w:r>
            <w:r>
              <w:rPr>
                <w:spacing w:val="3"/>
                <w:sz w:val="18"/>
              </w:rPr>
              <w:t> </w:t>
            </w:r>
            <w:r>
              <w:rPr>
                <w:sz w:val="18"/>
              </w:rPr>
              <w:t>the</w:t>
            </w:r>
            <w:r>
              <w:rPr>
                <w:spacing w:val="4"/>
                <w:sz w:val="18"/>
              </w:rPr>
              <w:t> </w:t>
            </w:r>
            <w:r>
              <w:rPr>
                <w:sz w:val="18"/>
              </w:rPr>
              <w:t>well</w:t>
            </w:r>
            <w:r>
              <w:rPr>
                <w:spacing w:val="3"/>
                <w:sz w:val="18"/>
              </w:rPr>
              <w:t> </w:t>
            </w:r>
            <w:r>
              <w:rPr>
                <w:sz w:val="18"/>
              </w:rPr>
              <w:t>casing</w:t>
            </w:r>
            <w:r>
              <w:rPr>
                <w:spacing w:val="4"/>
                <w:sz w:val="18"/>
              </w:rPr>
              <w:t> </w:t>
            </w:r>
            <w:r>
              <w:rPr>
                <w:sz w:val="18"/>
              </w:rPr>
              <w:t>to</w:t>
            </w:r>
            <w:r>
              <w:rPr>
                <w:spacing w:val="3"/>
                <w:sz w:val="18"/>
              </w:rPr>
              <w:t> </w:t>
            </w:r>
            <w:r>
              <w:rPr>
                <w:sz w:val="18"/>
              </w:rPr>
              <w:t>plug</w:t>
            </w:r>
            <w:r>
              <w:rPr>
                <w:spacing w:val="4"/>
                <w:sz w:val="18"/>
              </w:rPr>
              <w:t> </w:t>
            </w:r>
            <w:r>
              <w:rPr>
                <w:sz w:val="18"/>
              </w:rPr>
              <w:t>leaks</w:t>
            </w:r>
            <w:r>
              <w:rPr>
                <w:spacing w:val="4"/>
                <w:sz w:val="18"/>
              </w:rPr>
              <w:t> </w:t>
            </w:r>
            <w:r>
              <w:rPr>
                <w:sz w:val="18"/>
              </w:rPr>
              <w:t>behind</w:t>
            </w:r>
            <w:r>
              <w:rPr>
                <w:spacing w:val="3"/>
                <w:sz w:val="18"/>
              </w:rPr>
              <w:t> </w:t>
            </w:r>
            <w:r>
              <w:rPr>
                <w:sz w:val="18"/>
              </w:rPr>
              <w:t>the</w:t>
            </w:r>
            <w:r>
              <w:rPr>
                <w:spacing w:val="4"/>
                <w:sz w:val="18"/>
              </w:rPr>
              <w:t> </w:t>
            </w:r>
            <w:r>
              <w:rPr>
                <w:sz w:val="18"/>
              </w:rPr>
              <w:t>casing;</w:t>
            </w:r>
          </w:p>
          <w:p>
            <w:pPr>
              <w:pStyle w:val="TableParagraph"/>
              <w:numPr>
                <w:ilvl w:val="0"/>
                <w:numId w:val="19"/>
              </w:numPr>
              <w:tabs>
                <w:tab w:pos="191" w:val="left" w:leader="none"/>
              </w:tabs>
              <w:spacing w:line="240" w:lineRule="auto" w:before="9" w:after="0"/>
              <w:ind w:left="190" w:right="0" w:hanging="113"/>
              <w:jc w:val="left"/>
              <w:rPr>
                <w:sz w:val="18"/>
              </w:rPr>
            </w:pPr>
            <w:r>
              <w:rPr>
                <w:sz w:val="18"/>
              </w:rPr>
              <w:t>Plug and abandon injection wells that cannot be repaired by the methods listed</w:t>
            </w:r>
            <w:r>
              <w:rPr>
                <w:spacing w:val="5"/>
                <w:sz w:val="18"/>
              </w:rPr>
              <w:t> </w:t>
            </w:r>
            <w:r>
              <w:rPr>
                <w:sz w:val="18"/>
              </w:rPr>
              <w:t>above;</w:t>
            </w:r>
          </w:p>
          <w:p>
            <w:pPr>
              <w:pStyle w:val="TableParagraph"/>
              <w:numPr>
                <w:ilvl w:val="0"/>
                <w:numId w:val="19"/>
              </w:numPr>
              <w:tabs>
                <w:tab w:pos="191" w:val="left" w:leader="none"/>
              </w:tabs>
              <w:spacing w:line="249" w:lineRule="auto" w:before="9" w:after="0"/>
              <w:ind w:left="190" w:right="273" w:hanging="113"/>
              <w:jc w:val="left"/>
              <w:rPr>
                <w:sz w:val="18"/>
              </w:rPr>
            </w:pPr>
            <w:r>
              <w:rPr>
                <w:sz w:val="18"/>
              </w:rPr>
              <w:t>Stop blow-outs from injection or abandoned wells with standard techniques to ‘kill’ a well such as injecting a heavy mud into the well casing. After control of the well is re-established, the recompletion or abandonment practices described above can be used. If the wellhead is not accessible, a nearby well can be drilled to intercept the casing below the ground surface and ‘kill’ the well by pumping mud down the interception well (DOGGR,</w:t>
            </w:r>
            <w:r>
              <w:rPr>
                <w:spacing w:val="44"/>
                <w:sz w:val="18"/>
              </w:rPr>
              <w:t> </w:t>
            </w:r>
            <w:r>
              <w:rPr>
                <w:sz w:val="18"/>
              </w:rPr>
              <w:t>1974).</w:t>
            </w:r>
          </w:p>
        </w:tc>
      </w:tr>
      <w:tr>
        <w:trPr>
          <w:trHeight w:val="2660" w:hRule="atLeast"/>
        </w:trPr>
        <w:tc>
          <w:tcPr>
            <w:tcW w:w="1464" w:type="dxa"/>
            <w:shd w:val="clear" w:color="auto" w:fill="F9FCF9"/>
          </w:tcPr>
          <w:p>
            <w:pPr>
              <w:pStyle w:val="TableParagraph"/>
              <w:spacing w:line="216" w:lineRule="exact" w:before="37"/>
              <w:ind w:left="77" w:right="175"/>
              <w:rPr>
                <w:sz w:val="18"/>
              </w:rPr>
            </w:pPr>
            <w:r>
              <w:rPr>
                <w:sz w:val="18"/>
              </w:rPr>
              <w:t>Accumulation of CO</w:t>
            </w:r>
            <w:r>
              <w:rPr>
                <w:position w:val="-5"/>
                <w:sz w:val="10"/>
              </w:rPr>
              <w:t>2 </w:t>
            </w:r>
            <w:r>
              <w:rPr>
                <w:sz w:val="18"/>
              </w:rPr>
              <w:t>in the vadose zone </w:t>
            </w:r>
            <w:r>
              <w:rPr>
                <w:spacing w:val="-6"/>
                <w:sz w:val="18"/>
              </w:rPr>
              <w:t>and </w:t>
            </w:r>
            <w:r>
              <w:rPr>
                <w:sz w:val="18"/>
              </w:rPr>
              <w:t>soil</w:t>
            </w:r>
            <w:r>
              <w:rPr>
                <w:spacing w:val="3"/>
                <w:sz w:val="18"/>
              </w:rPr>
              <w:t> </w:t>
            </w:r>
            <w:r>
              <w:rPr>
                <w:sz w:val="18"/>
              </w:rPr>
              <w:t>gas</w:t>
            </w:r>
          </w:p>
        </w:tc>
        <w:tc>
          <w:tcPr>
            <w:tcW w:w="8902" w:type="dxa"/>
            <w:shd w:val="clear" w:color="auto" w:fill="F9FCF9"/>
          </w:tcPr>
          <w:p>
            <w:pPr>
              <w:pStyle w:val="TableParagraph"/>
              <w:numPr>
                <w:ilvl w:val="0"/>
                <w:numId w:val="20"/>
              </w:numPr>
              <w:tabs>
                <w:tab w:pos="181" w:val="left" w:leader="none"/>
              </w:tabs>
              <w:spacing w:line="208" w:lineRule="auto" w:before="58" w:after="0"/>
              <w:ind w:left="180" w:right="113" w:hanging="103"/>
              <w:jc w:val="left"/>
              <w:rPr>
                <w:sz w:val="18"/>
              </w:rPr>
            </w:pPr>
            <w:r>
              <w:rPr>
                <w:sz w:val="18"/>
              </w:rPr>
              <w:t>Accumulations of gaseous CO</w:t>
            </w:r>
            <w:r>
              <w:rPr>
                <w:position w:val="-5"/>
                <w:sz w:val="10"/>
              </w:rPr>
              <w:t>2 </w:t>
            </w:r>
            <w:r>
              <w:rPr>
                <w:sz w:val="18"/>
              </w:rPr>
              <w:t>in groundwater can be removed or at least made immobile, by drilling wells that intersect the accumulations and extracting the CO</w:t>
            </w:r>
            <w:r>
              <w:rPr>
                <w:position w:val="-5"/>
                <w:sz w:val="10"/>
              </w:rPr>
              <w:t>2</w:t>
            </w:r>
            <w:r>
              <w:rPr>
                <w:sz w:val="18"/>
              </w:rPr>
              <w:t>. The extracted CO</w:t>
            </w:r>
            <w:r>
              <w:rPr>
                <w:position w:val="-5"/>
                <w:sz w:val="10"/>
              </w:rPr>
              <w:t>2 </w:t>
            </w:r>
            <w:r>
              <w:rPr>
                <w:sz w:val="18"/>
              </w:rPr>
              <w:t>could be vented to the atmosphere or reinjected back into a suitable storage</w:t>
            </w:r>
            <w:r>
              <w:rPr>
                <w:spacing w:val="19"/>
                <w:sz w:val="18"/>
              </w:rPr>
              <w:t> </w:t>
            </w:r>
            <w:r>
              <w:rPr>
                <w:sz w:val="18"/>
              </w:rPr>
              <w:t>site;</w:t>
            </w:r>
          </w:p>
          <w:p>
            <w:pPr>
              <w:pStyle w:val="TableParagraph"/>
              <w:numPr>
                <w:ilvl w:val="0"/>
                <w:numId w:val="20"/>
              </w:numPr>
              <w:tabs>
                <w:tab w:pos="191" w:val="left" w:leader="none"/>
              </w:tabs>
              <w:spacing w:line="233" w:lineRule="exact" w:before="6" w:after="0"/>
              <w:ind w:left="190" w:right="0" w:hanging="113"/>
              <w:jc w:val="left"/>
              <w:rPr>
                <w:sz w:val="18"/>
              </w:rPr>
            </w:pPr>
            <w:r>
              <w:rPr>
                <w:sz w:val="18"/>
              </w:rPr>
              <w:t>Residual</w:t>
            </w:r>
            <w:r>
              <w:rPr>
                <w:spacing w:val="3"/>
                <w:sz w:val="18"/>
              </w:rPr>
              <w:t> </w:t>
            </w:r>
            <w:r>
              <w:rPr>
                <w:sz w:val="18"/>
              </w:rPr>
              <w:t>CO</w:t>
            </w:r>
            <w:r>
              <w:rPr>
                <w:position w:val="-5"/>
                <w:sz w:val="10"/>
              </w:rPr>
              <w:t>2</w:t>
            </w:r>
            <w:r>
              <w:rPr>
                <w:spacing w:val="24"/>
                <w:position w:val="-5"/>
                <w:sz w:val="10"/>
              </w:rPr>
              <w:t> </w:t>
            </w:r>
            <w:r>
              <w:rPr>
                <w:sz w:val="18"/>
              </w:rPr>
              <w:t>that</w:t>
            </w:r>
            <w:r>
              <w:rPr>
                <w:spacing w:val="4"/>
                <w:sz w:val="18"/>
              </w:rPr>
              <w:t> </w:t>
            </w:r>
            <w:r>
              <w:rPr>
                <w:sz w:val="18"/>
              </w:rPr>
              <w:t>is</w:t>
            </w:r>
            <w:r>
              <w:rPr>
                <w:spacing w:val="4"/>
                <w:sz w:val="18"/>
              </w:rPr>
              <w:t> </w:t>
            </w:r>
            <w:r>
              <w:rPr>
                <w:sz w:val="18"/>
              </w:rPr>
              <w:t>trapped</w:t>
            </w:r>
            <w:r>
              <w:rPr>
                <w:spacing w:val="4"/>
                <w:sz w:val="18"/>
              </w:rPr>
              <w:t> </w:t>
            </w:r>
            <w:r>
              <w:rPr>
                <w:sz w:val="18"/>
              </w:rPr>
              <w:t>as</w:t>
            </w:r>
            <w:r>
              <w:rPr>
                <w:spacing w:val="4"/>
                <w:sz w:val="18"/>
              </w:rPr>
              <w:t> </w:t>
            </w:r>
            <w:r>
              <w:rPr>
                <w:sz w:val="18"/>
              </w:rPr>
              <w:t>an</w:t>
            </w:r>
            <w:r>
              <w:rPr>
                <w:spacing w:val="4"/>
                <w:sz w:val="18"/>
              </w:rPr>
              <w:t> </w:t>
            </w:r>
            <w:r>
              <w:rPr>
                <w:sz w:val="18"/>
              </w:rPr>
              <w:t>immobile</w:t>
            </w:r>
            <w:r>
              <w:rPr>
                <w:spacing w:val="4"/>
                <w:sz w:val="18"/>
              </w:rPr>
              <w:t> </w:t>
            </w:r>
            <w:r>
              <w:rPr>
                <w:sz w:val="18"/>
              </w:rPr>
              <w:t>gas</w:t>
            </w:r>
            <w:r>
              <w:rPr>
                <w:spacing w:val="4"/>
                <w:sz w:val="18"/>
              </w:rPr>
              <w:t> </w:t>
            </w:r>
            <w:r>
              <w:rPr>
                <w:sz w:val="18"/>
              </w:rPr>
              <w:t>phase</w:t>
            </w:r>
            <w:r>
              <w:rPr>
                <w:spacing w:val="4"/>
                <w:sz w:val="18"/>
              </w:rPr>
              <w:t> </w:t>
            </w:r>
            <w:r>
              <w:rPr>
                <w:sz w:val="18"/>
              </w:rPr>
              <w:t>can</w:t>
            </w:r>
            <w:r>
              <w:rPr>
                <w:spacing w:val="4"/>
                <w:sz w:val="18"/>
              </w:rPr>
              <w:t> </w:t>
            </w:r>
            <w:r>
              <w:rPr>
                <w:sz w:val="18"/>
              </w:rPr>
              <w:t>be</w:t>
            </w:r>
            <w:r>
              <w:rPr>
                <w:spacing w:val="4"/>
                <w:sz w:val="18"/>
              </w:rPr>
              <w:t> </w:t>
            </w:r>
            <w:r>
              <w:rPr>
                <w:sz w:val="18"/>
              </w:rPr>
              <w:t>removed</w:t>
            </w:r>
            <w:r>
              <w:rPr>
                <w:spacing w:val="4"/>
                <w:sz w:val="18"/>
              </w:rPr>
              <w:t> </w:t>
            </w:r>
            <w:r>
              <w:rPr>
                <w:sz w:val="18"/>
              </w:rPr>
              <w:t>by</w:t>
            </w:r>
            <w:r>
              <w:rPr>
                <w:spacing w:val="4"/>
                <w:sz w:val="18"/>
              </w:rPr>
              <w:t> </w:t>
            </w:r>
            <w:r>
              <w:rPr>
                <w:sz w:val="18"/>
              </w:rPr>
              <w:t>dissolving</w:t>
            </w:r>
            <w:r>
              <w:rPr>
                <w:spacing w:val="4"/>
                <w:sz w:val="18"/>
              </w:rPr>
              <w:t> </w:t>
            </w:r>
            <w:r>
              <w:rPr>
                <w:sz w:val="18"/>
              </w:rPr>
              <w:t>it</w:t>
            </w:r>
            <w:r>
              <w:rPr>
                <w:spacing w:val="4"/>
                <w:sz w:val="18"/>
              </w:rPr>
              <w:t> </w:t>
            </w:r>
            <w:r>
              <w:rPr>
                <w:sz w:val="18"/>
              </w:rPr>
              <w:t>in</w:t>
            </w:r>
            <w:r>
              <w:rPr>
                <w:spacing w:val="4"/>
                <w:sz w:val="18"/>
              </w:rPr>
              <w:t> </w:t>
            </w:r>
            <w:r>
              <w:rPr>
                <w:sz w:val="18"/>
              </w:rPr>
              <w:t>water</w:t>
            </w:r>
            <w:r>
              <w:rPr>
                <w:spacing w:val="3"/>
                <w:sz w:val="18"/>
              </w:rPr>
              <w:t> </w:t>
            </w:r>
            <w:r>
              <w:rPr>
                <w:sz w:val="18"/>
              </w:rPr>
              <w:t>and</w:t>
            </w:r>
            <w:r>
              <w:rPr>
                <w:spacing w:val="4"/>
                <w:sz w:val="18"/>
              </w:rPr>
              <w:t> </w:t>
            </w:r>
            <w:r>
              <w:rPr>
                <w:sz w:val="18"/>
              </w:rPr>
              <w:t>extracting</w:t>
            </w:r>
            <w:r>
              <w:rPr>
                <w:spacing w:val="4"/>
                <w:sz w:val="18"/>
              </w:rPr>
              <w:t> </w:t>
            </w:r>
            <w:r>
              <w:rPr>
                <w:sz w:val="18"/>
              </w:rPr>
              <w:t>it</w:t>
            </w:r>
            <w:r>
              <w:rPr>
                <w:spacing w:val="4"/>
                <w:sz w:val="18"/>
              </w:rPr>
              <w:t> </w:t>
            </w:r>
            <w:r>
              <w:rPr>
                <w:sz w:val="18"/>
              </w:rPr>
              <w:t>as</w:t>
            </w:r>
            <w:r>
              <w:rPr>
                <w:spacing w:val="4"/>
                <w:sz w:val="18"/>
              </w:rPr>
              <w:t> </w:t>
            </w:r>
            <w:r>
              <w:rPr>
                <w:sz w:val="18"/>
              </w:rPr>
              <w:t>a</w:t>
            </w:r>
          </w:p>
          <w:p>
            <w:pPr>
              <w:pStyle w:val="TableParagraph"/>
              <w:spacing w:line="190" w:lineRule="exact" w:before="0"/>
              <w:ind w:left="190"/>
              <w:rPr>
                <w:sz w:val="18"/>
              </w:rPr>
            </w:pPr>
            <w:r>
              <w:rPr>
                <w:sz w:val="18"/>
              </w:rPr>
              <w:t>dissolved phase through groundwater extraction well;</w:t>
            </w:r>
          </w:p>
          <w:p>
            <w:pPr>
              <w:pStyle w:val="TableParagraph"/>
              <w:numPr>
                <w:ilvl w:val="0"/>
                <w:numId w:val="20"/>
              </w:numPr>
              <w:tabs>
                <w:tab w:pos="191" w:val="left" w:leader="none"/>
              </w:tabs>
              <w:spacing w:line="208" w:lineRule="auto" w:before="25" w:after="0"/>
              <w:ind w:left="190" w:right="617" w:hanging="113"/>
              <w:jc w:val="left"/>
              <w:rPr>
                <w:sz w:val="18"/>
              </w:rPr>
            </w:pPr>
            <w:r>
              <w:rPr>
                <w:sz w:val="18"/>
              </w:rPr>
              <w:t>CO</w:t>
            </w:r>
            <w:r>
              <w:rPr>
                <w:position w:val="-5"/>
                <w:sz w:val="10"/>
              </w:rPr>
              <w:t>2 </w:t>
            </w:r>
            <w:r>
              <w:rPr>
                <w:sz w:val="18"/>
              </w:rPr>
              <w:t>that has dissolved in the shallow groundwater could be removed, if needed, by pumping to the surface and aerating it to remove the CO</w:t>
            </w:r>
            <w:r>
              <w:rPr>
                <w:position w:val="-5"/>
                <w:sz w:val="10"/>
              </w:rPr>
              <w:t>2</w:t>
            </w:r>
            <w:r>
              <w:rPr>
                <w:sz w:val="18"/>
              </w:rPr>
              <w:t>. The groundwater could then either be used directly or reinjected back into the groundwate;</w:t>
            </w:r>
          </w:p>
          <w:p>
            <w:pPr>
              <w:pStyle w:val="TableParagraph"/>
              <w:numPr>
                <w:ilvl w:val="0"/>
                <w:numId w:val="20"/>
              </w:numPr>
              <w:tabs>
                <w:tab w:pos="191" w:val="left" w:leader="none"/>
              </w:tabs>
              <w:spacing w:line="249" w:lineRule="auto" w:before="6" w:after="0"/>
              <w:ind w:left="190" w:right="560" w:hanging="113"/>
              <w:jc w:val="left"/>
              <w:rPr>
                <w:sz w:val="18"/>
              </w:rPr>
            </w:pPr>
            <w:r>
              <w:rPr>
                <w:sz w:val="18"/>
              </w:rPr>
              <w:t>If metals or other trace contaminants have been mobilized by acidification of the groundwater, ‘pump-and-treat’ methods can be used to remove them. Alternatively, hydraulic barriers can be created to immobilize and contain the contaminants by appropriately placed injection and extraction wells. In addition to these active methods of remediation, passive methods that rely on natural biogeochemical processes may also be</w:t>
            </w:r>
            <w:r>
              <w:rPr>
                <w:spacing w:val="3"/>
                <w:sz w:val="18"/>
              </w:rPr>
              <w:t> </w:t>
            </w:r>
            <w:r>
              <w:rPr>
                <w:sz w:val="18"/>
              </w:rPr>
              <w:t>used.</w:t>
            </w:r>
          </w:p>
        </w:tc>
      </w:tr>
      <w:tr>
        <w:trPr>
          <w:trHeight w:val="2445" w:hRule="atLeast"/>
        </w:trPr>
        <w:tc>
          <w:tcPr>
            <w:tcW w:w="1464" w:type="dxa"/>
            <w:shd w:val="clear" w:color="auto" w:fill="F9FCF9"/>
          </w:tcPr>
          <w:p>
            <w:pPr>
              <w:pStyle w:val="TableParagraph"/>
              <w:spacing w:line="249" w:lineRule="auto" w:before="42"/>
              <w:ind w:left="77" w:right="164"/>
              <w:jc w:val="both"/>
              <w:rPr>
                <w:sz w:val="18"/>
              </w:rPr>
            </w:pPr>
            <w:r>
              <w:rPr>
                <w:sz w:val="18"/>
              </w:rPr>
              <w:t>Leakage into the vadose zone and accumulation in soil gas (Looney and Falta, 2000)</w:t>
            </w:r>
          </w:p>
        </w:tc>
        <w:tc>
          <w:tcPr>
            <w:tcW w:w="8902" w:type="dxa"/>
            <w:shd w:val="clear" w:color="auto" w:fill="F9FCF9"/>
          </w:tcPr>
          <w:p>
            <w:pPr>
              <w:pStyle w:val="TableParagraph"/>
              <w:numPr>
                <w:ilvl w:val="0"/>
                <w:numId w:val="21"/>
              </w:numPr>
              <w:tabs>
                <w:tab w:pos="191" w:val="left" w:leader="none"/>
              </w:tabs>
              <w:spacing w:line="233" w:lineRule="exact" w:before="42" w:after="0"/>
              <w:ind w:left="190" w:right="0" w:hanging="113"/>
              <w:jc w:val="left"/>
              <w:rPr>
                <w:sz w:val="18"/>
              </w:rPr>
            </w:pPr>
            <w:r>
              <w:rPr>
                <w:sz w:val="18"/>
              </w:rPr>
              <w:t>CO</w:t>
            </w:r>
            <w:r>
              <w:rPr>
                <w:position w:val="-5"/>
                <w:sz w:val="10"/>
              </w:rPr>
              <w:t>2</w:t>
            </w:r>
            <w:r>
              <w:rPr>
                <w:spacing w:val="23"/>
                <w:position w:val="-5"/>
                <w:sz w:val="10"/>
              </w:rPr>
              <w:t> </w:t>
            </w:r>
            <w:r>
              <w:rPr>
                <w:sz w:val="18"/>
              </w:rPr>
              <w:t>can</w:t>
            </w:r>
            <w:r>
              <w:rPr>
                <w:spacing w:val="4"/>
                <w:sz w:val="18"/>
              </w:rPr>
              <w:t> </w:t>
            </w:r>
            <w:r>
              <w:rPr>
                <w:sz w:val="18"/>
              </w:rPr>
              <w:t>be</w:t>
            </w:r>
            <w:r>
              <w:rPr>
                <w:spacing w:val="4"/>
                <w:sz w:val="18"/>
              </w:rPr>
              <w:t> </w:t>
            </w:r>
            <w:r>
              <w:rPr>
                <w:sz w:val="18"/>
              </w:rPr>
              <w:t>extracted</w:t>
            </w:r>
            <w:r>
              <w:rPr>
                <w:spacing w:val="3"/>
                <w:sz w:val="18"/>
              </w:rPr>
              <w:t> </w:t>
            </w:r>
            <w:r>
              <w:rPr>
                <w:sz w:val="18"/>
              </w:rPr>
              <w:t>from</w:t>
            </w:r>
            <w:r>
              <w:rPr>
                <w:spacing w:val="4"/>
                <w:sz w:val="18"/>
              </w:rPr>
              <w:t> </w:t>
            </w:r>
            <w:r>
              <w:rPr>
                <w:sz w:val="18"/>
              </w:rPr>
              <w:t>the</w:t>
            </w:r>
            <w:r>
              <w:rPr>
                <w:spacing w:val="4"/>
                <w:sz w:val="18"/>
              </w:rPr>
              <w:t> </w:t>
            </w:r>
            <w:r>
              <w:rPr>
                <w:sz w:val="18"/>
              </w:rPr>
              <w:t>vadose</w:t>
            </w:r>
            <w:r>
              <w:rPr>
                <w:spacing w:val="3"/>
                <w:sz w:val="18"/>
              </w:rPr>
              <w:t> </w:t>
            </w:r>
            <w:r>
              <w:rPr>
                <w:sz w:val="18"/>
              </w:rPr>
              <w:t>zone</w:t>
            </w:r>
            <w:r>
              <w:rPr>
                <w:spacing w:val="4"/>
                <w:sz w:val="18"/>
              </w:rPr>
              <w:t> </w:t>
            </w:r>
            <w:r>
              <w:rPr>
                <w:sz w:val="18"/>
              </w:rPr>
              <w:t>and</w:t>
            </w:r>
            <w:r>
              <w:rPr>
                <w:spacing w:val="4"/>
                <w:sz w:val="18"/>
              </w:rPr>
              <w:t> </w:t>
            </w:r>
            <w:r>
              <w:rPr>
                <w:sz w:val="18"/>
              </w:rPr>
              <w:t>soil</w:t>
            </w:r>
            <w:r>
              <w:rPr>
                <w:spacing w:val="4"/>
                <w:sz w:val="18"/>
              </w:rPr>
              <w:t> </w:t>
            </w:r>
            <w:r>
              <w:rPr>
                <w:sz w:val="18"/>
              </w:rPr>
              <w:t>gas</w:t>
            </w:r>
            <w:r>
              <w:rPr>
                <w:spacing w:val="3"/>
                <w:sz w:val="18"/>
              </w:rPr>
              <w:t> </w:t>
            </w:r>
            <w:r>
              <w:rPr>
                <w:sz w:val="18"/>
              </w:rPr>
              <w:t>by</w:t>
            </w:r>
            <w:r>
              <w:rPr>
                <w:spacing w:val="4"/>
                <w:sz w:val="18"/>
              </w:rPr>
              <w:t> </w:t>
            </w:r>
            <w:r>
              <w:rPr>
                <w:sz w:val="18"/>
              </w:rPr>
              <w:t>standard</w:t>
            </w:r>
            <w:r>
              <w:rPr>
                <w:spacing w:val="4"/>
                <w:sz w:val="18"/>
              </w:rPr>
              <w:t> </w:t>
            </w:r>
            <w:r>
              <w:rPr>
                <w:sz w:val="18"/>
              </w:rPr>
              <w:t>vapor</w:t>
            </w:r>
            <w:r>
              <w:rPr>
                <w:spacing w:val="3"/>
                <w:sz w:val="18"/>
              </w:rPr>
              <w:t> </w:t>
            </w:r>
            <w:r>
              <w:rPr>
                <w:sz w:val="18"/>
              </w:rPr>
              <w:t>extraction</w:t>
            </w:r>
            <w:r>
              <w:rPr>
                <w:spacing w:val="4"/>
                <w:sz w:val="18"/>
              </w:rPr>
              <w:t> </w:t>
            </w:r>
            <w:r>
              <w:rPr>
                <w:sz w:val="18"/>
              </w:rPr>
              <w:t>techniques</w:t>
            </w:r>
            <w:r>
              <w:rPr>
                <w:spacing w:val="4"/>
                <w:sz w:val="18"/>
              </w:rPr>
              <w:t> </w:t>
            </w:r>
            <w:r>
              <w:rPr>
                <w:sz w:val="18"/>
              </w:rPr>
              <w:t>from</w:t>
            </w:r>
            <w:r>
              <w:rPr>
                <w:spacing w:val="3"/>
                <w:sz w:val="18"/>
              </w:rPr>
              <w:t> </w:t>
            </w:r>
            <w:r>
              <w:rPr>
                <w:sz w:val="18"/>
              </w:rPr>
              <w:t>horizontal</w:t>
            </w:r>
            <w:r>
              <w:rPr>
                <w:spacing w:val="4"/>
                <w:sz w:val="18"/>
              </w:rPr>
              <w:t> </w:t>
            </w:r>
            <w:r>
              <w:rPr>
                <w:sz w:val="18"/>
              </w:rPr>
              <w:t>or</w:t>
            </w:r>
          </w:p>
          <w:p>
            <w:pPr>
              <w:pStyle w:val="TableParagraph"/>
              <w:spacing w:line="190" w:lineRule="exact" w:before="0"/>
              <w:ind w:left="190"/>
              <w:rPr>
                <w:sz w:val="18"/>
              </w:rPr>
            </w:pPr>
            <w:r>
              <w:rPr>
                <w:sz w:val="18"/>
              </w:rPr>
              <w:t>vertical wells;</w:t>
            </w:r>
          </w:p>
          <w:p>
            <w:pPr>
              <w:pStyle w:val="TableParagraph"/>
              <w:numPr>
                <w:ilvl w:val="0"/>
                <w:numId w:val="21"/>
              </w:numPr>
              <w:tabs>
                <w:tab w:pos="191" w:val="left" w:leader="none"/>
              </w:tabs>
              <w:spacing w:line="249" w:lineRule="auto" w:before="9" w:after="0"/>
              <w:ind w:left="190" w:right="506" w:hanging="113"/>
              <w:jc w:val="left"/>
              <w:rPr>
                <w:sz w:val="18"/>
              </w:rPr>
            </w:pPr>
            <w:r>
              <w:rPr>
                <w:sz w:val="18"/>
              </w:rPr>
              <w:t>Fluxes from the vadose zone to the ground surface could be decreased or stopped by caps or gas vapour barriers. Pumping</w:t>
            </w:r>
            <w:r>
              <w:rPr>
                <w:spacing w:val="3"/>
                <w:sz w:val="18"/>
              </w:rPr>
              <w:t> </w:t>
            </w:r>
            <w:r>
              <w:rPr>
                <w:sz w:val="18"/>
              </w:rPr>
              <w:t>below</w:t>
            </w:r>
            <w:r>
              <w:rPr>
                <w:spacing w:val="4"/>
                <w:sz w:val="18"/>
              </w:rPr>
              <w:t> </w:t>
            </w:r>
            <w:r>
              <w:rPr>
                <w:sz w:val="18"/>
              </w:rPr>
              <w:t>the</w:t>
            </w:r>
            <w:r>
              <w:rPr>
                <w:spacing w:val="4"/>
                <w:sz w:val="18"/>
              </w:rPr>
              <w:t> </w:t>
            </w:r>
            <w:r>
              <w:rPr>
                <w:sz w:val="18"/>
              </w:rPr>
              <w:t>cap</w:t>
            </w:r>
            <w:r>
              <w:rPr>
                <w:spacing w:val="4"/>
                <w:sz w:val="18"/>
              </w:rPr>
              <w:t> </w:t>
            </w:r>
            <w:r>
              <w:rPr>
                <w:sz w:val="18"/>
              </w:rPr>
              <w:t>or</w:t>
            </w:r>
            <w:r>
              <w:rPr>
                <w:spacing w:val="3"/>
                <w:sz w:val="18"/>
              </w:rPr>
              <w:t> </w:t>
            </w:r>
            <w:r>
              <w:rPr>
                <w:sz w:val="18"/>
              </w:rPr>
              <w:t>vapour</w:t>
            </w:r>
            <w:r>
              <w:rPr>
                <w:spacing w:val="4"/>
                <w:sz w:val="18"/>
              </w:rPr>
              <w:t> </w:t>
            </w:r>
            <w:r>
              <w:rPr>
                <w:sz w:val="18"/>
              </w:rPr>
              <w:t>barrier</w:t>
            </w:r>
            <w:r>
              <w:rPr>
                <w:spacing w:val="4"/>
                <w:sz w:val="18"/>
              </w:rPr>
              <w:t> </w:t>
            </w:r>
            <w:r>
              <w:rPr>
                <w:sz w:val="18"/>
              </w:rPr>
              <w:t>could</w:t>
            </w:r>
            <w:r>
              <w:rPr>
                <w:spacing w:val="4"/>
                <w:sz w:val="18"/>
              </w:rPr>
              <w:t> </w:t>
            </w:r>
            <w:r>
              <w:rPr>
                <w:sz w:val="18"/>
              </w:rPr>
              <w:t>be</w:t>
            </w:r>
            <w:r>
              <w:rPr>
                <w:spacing w:val="4"/>
                <w:sz w:val="18"/>
              </w:rPr>
              <w:t> </w:t>
            </w:r>
            <w:r>
              <w:rPr>
                <w:sz w:val="18"/>
              </w:rPr>
              <w:t>used</w:t>
            </w:r>
            <w:r>
              <w:rPr>
                <w:spacing w:val="3"/>
                <w:sz w:val="18"/>
              </w:rPr>
              <w:t> </w:t>
            </w:r>
            <w:r>
              <w:rPr>
                <w:sz w:val="18"/>
              </w:rPr>
              <w:t>to</w:t>
            </w:r>
            <w:r>
              <w:rPr>
                <w:spacing w:val="4"/>
                <w:sz w:val="18"/>
              </w:rPr>
              <w:t> </w:t>
            </w:r>
            <w:r>
              <w:rPr>
                <w:sz w:val="18"/>
              </w:rPr>
              <w:t>deplete</w:t>
            </w:r>
            <w:r>
              <w:rPr>
                <w:spacing w:val="4"/>
                <w:sz w:val="18"/>
              </w:rPr>
              <w:t> </w:t>
            </w:r>
            <w:r>
              <w:rPr>
                <w:sz w:val="18"/>
              </w:rPr>
              <w:t>the</w:t>
            </w:r>
            <w:r>
              <w:rPr>
                <w:spacing w:val="4"/>
                <w:sz w:val="18"/>
              </w:rPr>
              <w:t> </w:t>
            </w:r>
            <w:r>
              <w:rPr>
                <w:sz w:val="18"/>
              </w:rPr>
              <w:t>accumulation</w:t>
            </w:r>
            <w:r>
              <w:rPr>
                <w:spacing w:val="4"/>
                <w:sz w:val="18"/>
              </w:rPr>
              <w:t> </w:t>
            </w:r>
            <w:r>
              <w:rPr>
                <w:sz w:val="18"/>
              </w:rPr>
              <w:t>of</w:t>
            </w:r>
            <w:r>
              <w:rPr>
                <w:spacing w:val="3"/>
                <w:sz w:val="18"/>
              </w:rPr>
              <w:t> </w:t>
            </w:r>
            <w:r>
              <w:rPr>
                <w:sz w:val="18"/>
              </w:rPr>
              <w:t>CO</w:t>
            </w:r>
            <w:r>
              <w:rPr>
                <w:position w:val="-5"/>
                <w:sz w:val="10"/>
              </w:rPr>
              <w:t>2</w:t>
            </w:r>
            <w:r>
              <w:rPr>
                <w:spacing w:val="24"/>
                <w:position w:val="-5"/>
                <w:sz w:val="10"/>
              </w:rPr>
              <w:t> </w:t>
            </w:r>
            <w:r>
              <w:rPr>
                <w:sz w:val="18"/>
              </w:rPr>
              <w:t>in</w:t>
            </w:r>
            <w:r>
              <w:rPr>
                <w:spacing w:val="4"/>
                <w:sz w:val="18"/>
              </w:rPr>
              <w:t> </w:t>
            </w:r>
            <w:r>
              <w:rPr>
                <w:sz w:val="18"/>
              </w:rPr>
              <w:t>the</w:t>
            </w:r>
            <w:r>
              <w:rPr>
                <w:spacing w:val="4"/>
                <w:sz w:val="18"/>
              </w:rPr>
              <w:t> </w:t>
            </w:r>
            <w:r>
              <w:rPr>
                <w:sz w:val="18"/>
              </w:rPr>
              <w:t>vadose</w:t>
            </w:r>
            <w:r>
              <w:rPr>
                <w:spacing w:val="4"/>
                <w:sz w:val="18"/>
              </w:rPr>
              <w:t> </w:t>
            </w:r>
            <w:r>
              <w:rPr>
                <w:sz w:val="18"/>
              </w:rPr>
              <w:t>zone;</w:t>
            </w:r>
          </w:p>
          <w:p>
            <w:pPr>
              <w:pStyle w:val="TableParagraph"/>
              <w:numPr>
                <w:ilvl w:val="0"/>
                <w:numId w:val="21"/>
              </w:numPr>
              <w:tabs>
                <w:tab w:pos="191" w:val="left" w:leader="none"/>
              </w:tabs>
              <w:spacing w:line="180" w:lineRule="auto" w:before="0" w:after="0"/>
              <w:ind w:left="190" w:right="0" w:hanging="113"/>
              <w:jc w:val="left"/>
              <w:rPr>
                <w:sz w:val="18"/>
              </w:rPr>
            </w:pPr>
            <w:r>
              <w:rPr>
                <w:sz w:val="18"/>
              </w:rPr>
              <w:t>Since CO</w:t>
            </w:r>
            <w:r>
              <w:rPr>
                <w:position w:val="-5"/>
                <w:sz w:val="10"/>
              </w:rPr>
              <w:t>2 </w:t>
            </w:r>
            <w:r>
              <w:rPr>
                <w:sz w:val="18"/>
              </w:rPr>
              <w:t>is a dense gas, it could be collected in subsurface trenches. Accumulated gas could be pumped from</w:t>
            </w:r>
            <w:r>
              <w:rPr>
                <w:spacing w:val="1"/>
                <w:sz w:val="18"/>
              </w:rPr>
              <w:t> </w:t>
            </w:r>
            <w:r>
              <w:rPr>
                <w:sz w:val="18"/>
              </w:rPr>
              <w:t>the</w:t>
            </w:r>
          </w:p>
          <w:p>
            <w:pPr>
              <w:pStyle w:val="TableParagraph"/>
              <w:spacing w:line="194" w:lineRule="exact" w:before="0"/>
              <w:ind w:left="190"/>
              <w:rPr>
                <w:sz w:val="18"/>
              </w:rPr>
            </w:pPr>
            <w:r>
              <w:rPr>
                <w:sz w:val="18"/>
              </w:rPr>
              <w:t>trenches and released to the atmosphere or reinjected back underground;</w:t>
            </w:r>
          </w:p>
          <w:p>
            <w:pPr>
              <w:pStyle w:val="TableParagraph"/>
              <w:numPr>
                <w:ilvl w:val="0"/>
                <w:numId w:val="21"/>
              </w:numPr>
              <w:tabs>
                <w:tab w:pos="191" w:val="left" w:leader="none"/>
              </w:tabs>
              <w:spacing w:line="228" w:lineRule="auto" w:before="7" w:after="0"/>
              <w:ind w:left="190" w:right="216" w:hanging="113"/>
              <w:jc w:val="left"/>
              <w:rPr>
                <w:sz w:val="18"/>
              </w:rPr>
            </w:pPr>
            <w:r>
              <w:rPr>
                <w:sz w:val="18"/>
              </w:rPr>
              <w:t>Passive remediation techniques that rely only on diffusion and ‘barometric pumping’ could be used to slowly deplete one-time releases of CO</w:t>
            </w:r>
            <w:r>
              <w:rPr>
                <w:position w:val="-5"/>
                <w:sz w:val="10"/>
              </w:rPr>
              <w:t>2 </w:t>
            </w:r>
            <w:r>
              <w:rPr>
                <w:sz w:val="18"/>
              </w:rPr>
              <w:t>into the vadose zone. This method will not be effective for managing ongoing releases because it is relatively</w:t>
            </w:r>
            <w:r>
              <w:rPr>
                <w:spacing w:val="15"/>
                <w:sz w:val="18"/>
              </w:rPr>
              <w:t> </w:t>
            </w:r>
            <w:r>
              <w:rPr>
                <w:sz w:val="18"/>
              </w:rPr>
              <w:t>slow;</w:t>
            </w:r>
          </w:p>
          <w:p>
            <w:pPr>
              <w:pStyle w:val="TableParagraph"/>
              <w:numPr>
                <w:ilvl w:val="0"/>
                <w:numId w:val="21"/>
              </w:numPr>
              <w:tabs>
                <w:tab w:pos="181" w:val="left" w:leader="none"/>
              </w:tabs>
              <w:spacing w:line="233" w:lineRule="exact" w:before="7" w:after="0"/>
              <w:ind w:left="180" w:right="0" w:hanging="103"/>
              <w:jc w:val="left"/>
              <w:rPr>
                <w:sz w:val="18"/>
              </w:rPr>
            </w:pPr>
            <w:r>
              <w:rPr>
                <w:sz w:val="18"/>
              </w:rPr>
              <w:t>Acidification of the soils from contact with CO</w:t>
            </w:r>
            <w:r>
              <w:rPr>
                <w:position w:val="-5"/>
                <w:sz w:val="10"/>
              </w:rPr>
              <w:t>2 </w:t>
            </w:r>
            <w:r>
              <w:rPr>
                <w:sz w:val="18"/>
              </w:rPr>
              <w:t>could be remediated by irrigation and drainage.</w:t>
            </w:r>
            <w:r>
              <w:rPr>
                <w:spacing w:val="25"/>
                <w:sz w:val="18"/>
              </w:rPr>
              <w:t> </w:t>
            </w:r>
            <w:r>
              <w:rPr>
                <w:sz w:val="18"/>
              </w:rPr>
              <w:t>Alternatively,</w:t>
            </w:r>
          </w:p>
          <w:p>
            <w:pPr>
              <w:pStyle w:val="TableParagraph"/>
              <w:spacing w:line="190" w:lineRule="exact" w:before="0"/>
              <w:ind w:left="180"/>
              <w:rPr>
                <w:sz w:val="18"/>
              </w:rPr>
            </w:pPr>
            <w:r>
              <w:rPr>
                <w:sz w:val="18"/>
              </w:rPr>
              <w:t>agricultural supplements such as lime could be used to neutralize the soil;</w:t>
            </w:r>
          </w:p>
        </w:tc>
      </w:tr>
      <w:tr>
        <w:trPr>
          <w:trHeight w:val="1364" w:hRule="atLeast"/>
        </w:trPr>
        <w:tc>
          <w:tcPr>
            <w:tcW w:w="1464" w:type="dxa"/>
            <w:shd w:val="clear" w:color="auto" w:fill="F9FCF9"/>
          </w:tcPr>
          <w:p>
            <w:pPr>
              <w:pStyle w:val="TableParagraph"/>
              <w:spacing w:line="228" w:lineRule="auto" w:before="50"/>
              <w:ind w:left="77" w:right="322"/>
              <w:rPr>
                <w:sz w:val="18"/>
              </w:rPr>
            </w:pPr>
            <w:r>
              <w:rPr>
                <w:sz w:val="18"/>
              </w:rPr>
              <w:t>Large releases of CO</w:t>
            </w:r>
            <w:r>
              <w:rPr>
                <w:position w:val="-5"/>
                <w:sz w:val="10"/>
              </w:rPr>
              <w:t>2 </w:t>
            </w:r>
            <w:r>
              <w:rPr>
                <w:sz w:val="18"/>
              </w:rPr>
              <w:t>to the atmosphere</w:t>
            </w:r>
          </w:p>
        </w:tc>
        <w:tc>
          <w:tcPr>
            <w:tcW w:w="8902" w:type="dxa"/>
            <w:shd w:val="clear" w:color="auto" w:fill="F9FCF9"/>
          </w:tcPr>
          <w:p>
            <w:pPr>
              <w:pStyle w:val="TableParagraph"/>
              <w:numPr>
                <w:ilvl w:val="0"/>
                <w:numId w:val="22"/>
              </w:numPr>
              <w:tabs>
                <w:tab w:pos="191" w:val="left" w:leader="none"/>
              </w:tabs>
              <w:spacing w:line="233" w:lineRule="exact" w:before="42" w:after="0"/>
              <w:ind w:left="190" w:right="0" w:hanging="113"/>
              <w:jc w:val="left"/>
              <w:rPr>
                <w:sz w:val="18"/>
              </w:rPr>
            </w:pPr>
            <w:r>
              <w:rPr>
                <w:sz w:val="18"/>
              </w:rPr>
              <w:t>For</w:t>
            </w:r>
            <w:r>
              <w:rPr>
                <w:spacing w:val="3"/>
                <w:sz w:val="18"/>
              </w:rPr>
              <w:t> </w:t>
            </w:r>
            <w:r>
              <w:rPr>
                <w:sz w:val="18"/>
              </w:rPr>
              <w:t>releases</w:t>
            </w:r>
            <w:r>
              <w:rPr>
                <w:spacing w:val="4"/>
                <w:sz w:val="18"/>
              </w:rPr>
              <w:t> </w:t>
            </w:r>
            <w:r>
              <w:rPr>
                <w:sz w:val="18"/>
              </w:rPr>
              <w:t>inside</w:t>
            </w:r>
            <w:r>
              <w:rPr>
                <w:spacing w:val="4"/>
                <w:sz w:val="18"/>
              </w:rPr>
              <w:t> </w:t>
            </w:r>
            <w:r>
              <w:rPr>
                <w:sz w:val="18"/>
              </w:rPr>
              <w:t>a</w:t>
            </w:r>
            <w:r>
              <w:rPr>
                <w:spacing w:val="3"/>
                <w:sz w:val="18"/>
              </w:rPr>
              <w:t> </w:t>
            </w:r>
            <w:r>
              <w:rPr>
                <w:sz w:val="18"/>
              </w:rPr>
              <w:t>building</w:t>
            </w:r>
            <w:r>
              <w:rPr>
                <w:spacing w:val="4"/>
                <w:sz w:val="18"/>
              </w:rPr>
              <w:t> </w:t>
            </w:r>
            <w:r>
              <w:rPr>
                <w:sz w:val="18"/>
              </w:rPr>
              <w:t>or</w:t>
            </w:r>
            <w:r>
              <w:rPr>
                <w:spacing w:val="4"/>
                <w:sz w:val="18"/>
              </w:rPr>
              <w:t> </w:t>
            </w:r>
            <w:r>
              <w:rPr>
                <w:sz w:val="18"/>
              </w:rPr>
              <w:t>confined</w:t>
            </w:r>
            <w:r>
              <w:rPr>
                <w:spacing w:val="3"/>
                <w:sz w:val="18"/>
              </w:rPr>
              <w:t> </w:t>
            </w:r>
            <w:r>
              <w:rPr>
                <w:sz w:val="18"/>
              </w:rPr>
              <w:t>space,</w:t>
            </w:r>
            <w:r>
              <w:rPr>
                <w:spacing w:val="4"/>
                <w:sz w:val="18"/>
              </w:rPr>
              <w:t> </w:t>
            </w:r>
            <w:r>
              <w:rPr>
                <w:sz w:val="18"/>
              </w:rPr>
              <w:t>large</w:t>
            </w:r>
            <w:r>
              <w:rPr>
                <w:spacing w:val="4"/>
                <w:sz w:val="18"/>
              </w:rPr>
              <w:t> </w:t>
            </w:r>
            <w:r>
              <w:rPr>
                <w:sz w:val="18"/>
              </w:rPr>
              <w:t>fans</w:t>
            </w:r>
            <w:r>
              <w:rPr>
                <w:spacing w:val="3"/>
                <w:sz w:val="18"/>
              </w:rPr>
              <w:t> </w:t>
            </w:r>
            <w:r>
              <w:rPr>
                <w:sz w:val="18"/>
              </w:rPr>
              <w:t>could</w:t>
            </w:r>
            <w:r>
              <w:rPr>
                <w:spacing w:val="4"/>
                <w:sz w:val="18"/>
              </w:rPr>
              <w:t> </w:t>
            </w:r>
            <w:r>
              <w:rPr>
                <w:sz w:val="18"/>
              </w:rPr>
              <w:t>be</w:t>
            </w:r>
            <w:r>
              <w:rPr>
                <w:spacing w:val="4"/>
                <w:sz w:val="18"/>
              </w:rPr>
              <w:t> </w:t>
            </w:r>
            <w:r>
              <w:rPr>
                <w:sz w:val="18"/>
              </w:rPr>
              <w:t>used</w:t>
            </w:r>
            <w:r>
              <w:rPr>
                <w:spacing w:val="3"/>
                <w:sz w:val="18"/>
              </w:rPr>
              <w:t> </w:t>
            </w:r>
            <w:r>
              <w:rPr>
                <w:sz w:val="18"/>
              </w:rPr>
              <w:t>to</w:t>
            </w:r>
            <w:r>
              <w:rPr>
                <w:spacing w:val="4"/>
                <w:sz w:val="18"/>
              </w:rPr>
              <w:t> </w:t>
            </w:r>
            <w:r>
              <w:rPr>
                <w:sz w:val="18"/>
              </w:rPr>
              <w:t>rapidly</w:t>
            </w:r>
            <w:r>
              <w:rPr>
                <w:spacing w:val="4"/>
                <w:sz w:val="18"/>
              </w:rPr>
              <w:t> </w:t>
            </w:r>
            <w:r>
              <w:rPr>
                <w:sz w:val="18"/>
              </w:rPr>
              <w:t>dilute</w:t>
            </w:r>
            <w:r>
              <w:rPr>
                <w:spacing w:val="3"/>
                <w:sz w:val="18"/>
              </w:rPr>
              <w:t> </w:t>
            </w:r>
            <w:r>
              <w:rPr>
                <w:sz w:val="18"/>
              </w:rPr>
              <w:t>CO</w:t>
            </w:r>
            <w:r>
              <w:rPr>
                <w:position w:val="-5"/>
                <w:sz w:val="10"/>
              </w:rPr>
              <w:t>2</w:t>
            </w:r>
            <w:r>
              <w:rPr>
                <w:spacing w:val="24"/>
                <w:position w:val="-5"/>
                <w:sz w:val="10"/>
              </w:rPr>
              <w:t> </w:t>
            </w:r>
            <w:r>
              <w:rPr>
                <w:sz w:val="18"/>
              </w:rPr>
              <w:t>to</w:t>
            </w:r>
            <w:r>
              <w:rPr>
                <w:spacing w:val="4"/>
                <w:sz w:val="18"/>
              </w:rPr>
              <w:t> </w:t>
            </w:r>
            <w:r>
              <w:rPr>
                <w:sz w:val="18"/>
              </w:rPr>
              <w:t>safe</w:t>
            </w:r>
            <w:r>
              <w:rPr>
                <w:spacing w:val="3"/>
                <w:sz w:val="18"/>
              </w:rPr>
              <w:t> </w:t>
            </w:r>
            <w:r>
              <w:rPr>
                <w:sz w:val="18"/>
              </w:rPr>
              <w:t>levels;</w:t>
            </w:r>
          </w:p>
          <w:p>
            <w:pPr>
              <w:pStyle w:val="TableParagraph"/>
              <w:numPr>
                <w:ilvl w:val="0"/>
                <w:numId w:val="22"/>
              </w:numPr>
              <w:tabs>
                <w:tab w:pos="191" w:val="left" w:leader="none"/>
              </w:tabs>
              <w:spacing w:line="190" w:lineRule="exact" w:before="0" w:after="0"/>
              <w:ind w:left="190" w:right="0" w:hanging="113"/>
              <w:jc w:val="left"/>
              <w:rPr>
                <w:sz w:val="18"/>
              </w:rPr>
            </w:pPr>
            <w:r>
              <w:rPr>
                <w:sz w:val="18"/>
              </w:rPr>
              <w:t>For</w:t>
            </w:r>
            <w:r>
              <w:rPr>
                <w:spacing w:val="3"/>
                <w:sz w:val="18"/>
              </w:rPr>
              <w:t> </w:t>
            </w:r>
            <w:r>
              <w:rPr>
                <w:sz w:val="18"/>
              </w:rPr>
              <w:t>large</w:t>
            </w:r>
            <w:r>
              <w:rPr>
                <w:spacing w:val="3"/>
                <w:sz w:val="18"/>
              </w:rPr>
              <w:t> </w:t>
            </w:r>
            <w:r>
              <w:rPr>
                <w:sz w:val="18"/>
              </w:rPr>
              <w:t>releases</w:t>
            </w:r>
            <w:r>
              <w:rPr>
                <w:spacing w:val="4"/>
                <w:sz w:val="18"/>
              </w:rPr>
              <w:t> </w:t>
            </w:r>
            <w:r>
              <w:rPr>
                <w:sz w:val="18"/>
              </w:rPr>
              <w:t>spread</w:t>
            </w:r>
            <w:r>
              <w:rPr>
                <w:spacing w:val="3"/>
                <w:sz w:val="18"/>
              </w:rPr>
              <w:t> </w:t>
            </w:r>
            <w:r>
              <w:rPr>
                <w:sz w:val="18"/>
              </w:rPr>
              <w:t>out</w:t>
            </w:r>
            <w:r>
              <w:rPr>
                <w:spacing w:val="4"/>
                <w:sz w:val="18"/>
              </w:rPr>
              <w:t> </w:t>
            </w:r>
            <w:r>
              <w:rPr>
                <w:sz w:val="18"/>
              </w:rPr>
              <w:t>over</w:t>
            </w:r>
            <w:r>
              <w:rPr>
                <w:spacing w:val="3"/>
                <w:sz w:val="18"/>
              </w:rPr>
              <w:t> </w:t>
            </w:r>
            <w:r>
              <w:rPr>
                <w:sz w:val="18"/>
              </w:rPr>
              <w:t>a</w:t>
            </w:r>
            <w:r>
              <w:rPr>
                <w:spacing w:val="3"/>
                <w:sz w:val="18"/>
              </w:rPr>
              <w:t> </w:t>
            </w:r>
            <w:r>
              <w:rPr>
                <w:sz w:val="18"/>
              </w:rPr>
              <w:t>large</w:t>
            </w:r>
            <w:r>
              <w:rPr>
                <w:spacing w:val="4"/>
                <w:sz w:val="18"/>
              </w:rPr>
              <w:t> </w:t>
            </w:r>
            <w:r>
              <w:rPr>
                <w:sz w:val="18"/>
              </w:rPr>
              <w:t>area,</w:t>
            </w:r>
            <w:r>
              <w:rPr>
                <w:spacing w:val="3"/>
                <w:sz w:val="18"/>
              </w:rPr>
              <w:t> </w:t>
            </w:r>
            <w:r>
              <w:rPr>
                <w:sz w:val="18"/>
              </w:rPr>
              <w:t>dilution</w:t>
            </w:r>
            <w:r>
              <w:rPr>
                <w:spacing w:val="4"/>
                <w:sz w:val="18"/>
              </w:rPr>
              <w:t> </w:t>
            </w:r>
            <w:r>
              <w:rPr>
                <w:sz w:val="18"/>
              </w:rPr>
              <w:t>from</w:t>
            </w:r>
            <w:r>
              <w:rPr>
                <w:spacing w:val="3"/>
                <w:sz w:val="18"/>
              </w:rPr>
              <w:t> </w:t>
            </w:r>
            <w:r>
              <w:rPr>
                <w:sz w:val="18"/>
              </w:rPr>
              <w:t>natural</w:t>
            </w:r>
            <w:r>
              <w:rPr>
                <w:spacing w:val="3"/>
                <w:sz w:val="18"/>
              </w:rPr>
              <w:t> </w:t>
            </w:r>
            <w:r>
              <w:rPr>
                <w:sz w:val="18"/>
              </w:rPr>
              <w:t>atmospheric</w:t>
            </w:r>
            <w:r>
              <w:rPr>
                <w:spacing w:val="4"/>
                <w:sz w:val="18"/>
              </w:rPr>
              <w:t> </w:t>
            </w:r>
            <w:r>
              <w:rPr>
                <w:sz w:val="18"/>
              </w:rPr>
              <w:t>mixing</w:t>
            </w:r>
            <w:r>
              <w:rPr>
                <w:spacing w:val="3"/>
                <w:sz w:val="18"/>
              </w:rPr>
              <w:t> </w:t>
            </w:r>
            <w:r>
              <w:rPr>
                <w:sz w:val="18"/>
              </w:rPr>
              <w:t>(wind)</w:t>
            </w:r>
            <w:r>
              <w:rPr>
                <w:spacing w:val="3"/>
                <w:sz w:val="18"/>
              </w:rPr>
              <w:t> </w:t>
            </w:r>
            <w:r>
              <w:rPr>
                <w:sz w:val="18"/>
              </w:rPr>
              <w:t>will</w:t>
            </w:r>
            <w:r>
              <w:rPr>
                <w:spacing w:val="4"/>
                <w:sz w:val="18"/>
              </w:rPr>
              <w:t> </w:t>
            </w:r>
            <w:r>
              <w:rPr>
                <w:sz w:val="18"/>
              </w:rPr>
              <w:t>be</w:t>
            </w:r>
            <w:r>
              <w:rPr>
                <w:spacing w:val="3"/>
                <w:sz w:val="18"/>
              </w:rPr>
              <w:t> </w:t>
            </w:r>
            <w:r>
              <w:rPr>
                <w:sz w:val="18"/>
              </w:rPr>
              <w:t>the</w:t>
            </w:r>
            <w:r>
              <w:rPr>
                <w:spacing w:val="4"/>
                <w:sz w:val="18"/>
              </w:rPr>
              <w:t> </w:t>
            </w:r>
            <w:r>
              <w:rPr>
                <w:sz w:val="18"/>
              </w:rPr>
              <w:t>only</w:t>
            </w:r>
          </w:p>
          <w:p>
            <w:pPr>
              <w:pStyle w:val="TableParagraph"/>
              <w:spacing w:line="233" w:lineRule="exact" w:before="9"/>
              <w:ind w:left="190"/>
              <w:rPr>
                <w:sz w:val="18"/>
              </w:rPr>
            </w:pPr>
            <w:r>
              <w:rPr>
                <w:sz w:val="18"/>
              </w:rPr>
              <w:t>practical method for diluting the CO</w:t>
            </w:r>
            <w:r>
              <w:rPr>
                <w:position w:val="-5"/>
                <w:sz w:val="10"/>
              </w:rPr>
              <w:t>2</w:t>
            </w:r>
            <w:r>
              <w:rPr>
                <w:sz w:val="18"/>
              </w:rPr>
              <w:t>;</w:t>
            </w:r>
          </w:p>
          <w:p>
            <w:pPr>
              <w:pStyle w:val="TableParagraph"/>
              <w:numPr>
                <w:ilvl w:val="0"/>
                <w:numId w:val="22"/>
              </w:numPr>
              <w:tabs>
                <w:tab w:pos="191" w:val="left" w:leader="none"/>
              </w:tabs>
              <w:spacing w:line="228" w:lineRule="auto" w:before="0" w:after="0"/>
              <w:ind w:left="190" w:right="398" w:hanging="113"/>
              <w:jc w:val="left"/>
              <w:rPr>
                <w:sz w:val="18"/>
              </w:rPr>
            </w:pPr>
            <w:r>
              <w:rPr>
                <w:sz w:val="18"/>
              </w:rPr>
              <w:t>For ongoing leakage in established areas, risks of exposure to high concentrations of CO</w:t>
            </w:r>
            <w:r>
              <w:rPr>
                <w:position w:val="-5"/>
                <w:sz w:val="10"/>
              </w:rPr>
              <w:t>2 </w:t>
            </w:r>
            <w:r>
              <w:rPr>
                <w:sz w:val="18"/>
              </w:rPr>
              <w:t>in confined spaces (e.g. cellar around a wellhead) or during periods of very low wind, fans could be used to keep the rate of air circulation high enough to ensure adequate</w:t>
            </w:r>
            <w:r>
              <w:rPr>
                <w:spacing w:val="20"/>
                <w:sz w:val="18"/>
              </w:rPr>
              <w:t> </w:t>
            </w:r>
            <w:r>
              <w:rPr>
                <w:sz w:val="18"/>
              </w:rPr>
              <w:t>dilution.</w:t>
            </w:r>
          </w:p>
        </w:tc>
      </w:tr>
      <w:tr>
        <w:trPr>
          <w:trHeight w:val="1148" w:hRule="atLeast"/>
        </w:trPr>
        <w:tc>
          <w:tcPr>
            <w:tcW w:w="1464" w:type="dxa"/>
            <w:shd w:val="clear" w:color="auto" w:fill="F9FCF9"/>
          </w:tcPr>
          <w:p>
            <w:pPr>
              <w:pStyle w:val="TableParagraph"/>
              <w:spacing w:line="228" w:lineRule="auto" w:before="50"/>
              <w:ind w:left="77" w:right="187"/>
              <w:rPr>
                <w:sz w:val="18"/>
              </w:rPr>
            </w:pPr>
            <w:r>
              <w:rPr>
                <w:sz w:val="18"/>
              </w:rPr>
              <w:t>Accumulation  of CO</w:t>
            </w:r>
            <w:r>
              <w:rPr>
                <w:position w:val="-5"/>
                <w:sz w:val="10"/>
              </w:rPr>
              <w:t>2 </w:t>
            </w:r>
            <w:r>
              <w:rPr>
                <w:sz w:val="18"/>
              </w:rPr>
              <w:t>in </w:t>
            </w:r>
            <w:r>
              <w:rPr>
                <w:spacing w:val="-3"/>
                <w:sz w:val="18"/>
              </w:rPr>
              <w:t>indoor </w:t>
            </w:r>
            <w:r>
              <w:rPr>
                <w:sz w:val="18"/>
              </w:rPr>
              <w:t>environments</w:t>
            </w:r>
          </w:p>
          <w:p>
            <w:pPr>
              <w:pStyle w:val="TableParagraph"/>
              <w:spacing w:line="249" w:lineRule="auto" w:before="7"/>
              <w:ind w:left="77"/>
              <w:rPr>
                <w:sz w:val="18"/>
              </w:rPr>
            </w:pPr>
            <w:r>
              <w:rPr>
                <w:sz w:val="18"/>
              </w:rPr>
              <w:t>with chronic </w:t>
            </w:r>
            <w:r>
              <w:rPr>
                <w:spacing w:val="-4"/>
                <w:sz w:val="18"/>
              </w:rPr>
              <w:t>low- </w:t>
            </w:r>
            <w:r>
              <w:rPr>
                <w:sz w:val="18"/>
              </w:rPr>
              <w:t>level</w:t>
            </w:r>
            <w:r>
              <w:rPr>
                <w:spacing w:val="4"/>
                <w:sz w:val="18"/>
              </w:rPr>
              <w:t> </w:t>
            </w:r>
            <w:r>
              <w:rPr>
                <w:sz w:val="18"/>
              </w:rPr>
              <w:t>leakage</w:t>
            </w:r>
          </w:p>
        </w:tc>
        <w:tc>
          <w:tcPr>
            <w:tcW w:w="8902" w:type="dxa"/>
            <w:shd w:val="clear" w:color="auto" w:fill="F9FCF9"/>
          </w:tcPr>
          <w:p>
            <w:pPr>
              <w:pStyle w:val="TableParagraph"/>
              <w:numPr>
                <w:ilvl w:val="0"/>
                <w:numId w:val="23"/>
              </w:numPr>
              <w:tabs>
                <w:tab w:pos="191" w:val="left" w:leader="none"/>
              </w:tabs>
              <w:spacing w:line="216" w:lineRule="exact" w:before="37" w:after="0"/>
              <w:ind w:left="190" w:right="279" w:hanging="113"/>
              <w:jc w:val="left"/>
              <w:rPr>
                <w:sz w:val="18"/>
              </w:rPr>
            </w:pPr>
            <w:r>
              <w:rPr>
                <w:sz w:val="18"/>
              </w:rPr>
              <w:t>Slow releases into structures can be eliminated by using techniques that have been developed for controlling release of radon and volatile organic compounds into buildings. The two primary methods for managing indoor releases are basement/substructure venting or pressurization. Both would have the effect of diluting the CO</w:t>
            </w:r>
            <w:r>
              <w:rPr>
                <w:position w:val="-5"/>
                <w:sz w:val="10"/>
              </w:rPr>
              <w:t>2 </w:t>
            </w:r>
            <w:r>
              <w:rPr>
                <w:sz w:val="18"/>
              </w:rPr>
              <w:t>before it enters the indoor environment (Gadgil </w:t>
            </w:r>
            <w:r>
              <w:rPr>
                <w:i/>
                <w:sz w:val="18"/>
              </w:rPr>
              <w:t>et al.</w:t>
            </w:r>
            <w:r>
              <w:rPr>
                <w:sz w:val="18"/>
              </w:rPr>
              <w:t>, 1994; Fischer </w:t>
            </w:r>
            <w:r>
              <w:rPr>
                <w:i/>
                <w:sz w:val="18"/>
              </w:rPr>
              <w:t>et al.</w:t>
            </w:r>
            <w:r>
              <w:rPr>
                <w:sz w:val="18"/>
              </w:rPr>
              <w:t>,</w:t>
            </w:r>
            <w:r>
              <w:rPr>
                <w:spacing w:val="34"/>
                <w:sz w:val="18"/>
              </w:rPr>
              <w:t> </w:t>
            </w:r>
            <w:r>
              <w:rPr>
                <w:sz w:val="18"/>
              </w:rPr>
              <w:t>1996).</w:t>
            </w:r>
          </w:p>
        </w:tc>
      </w:tr>
      <w:tr>
        <w:trPr>
          <w:trHeight w:val="933" w:hRule="atLeast"/>
        </w:trPr>
        <w:tc>
          <w:tcPr>
            <w:tcW w:w="1464" w:type="dxa"/>
            <w:shd w:val="clear" w:color="auto" w:fill="F9FCF9"/>
          </w:tcPr>
          <w:p>
            <w:pPr>
              <w:pStyle w:val="TableParagraph"/>
              <w:spacing w:line="249" w:lineRule="auto" w:before="42"/>
              <w:ind w:left="77" w:right="152"/>
              <w:rPr>
                <w:sz w:val="18"/>
              </w:rPr>
            </w:pPr>
            <w:r>
              <w:rPr>
                <w:sz w:val="18"/>
              </w:rPr>
              <w:t>Accumulation in surface water</w:t>
            </w:r>
          </w:p>
        </w:tc>
        <w:tc>
          <w:tcPr>
            <w:tcW w:w="8902" w:type="dxa"/>
            <w:shd w:val="clear" w:color="auto" w:fill="F9FCF9"/>
          </w:tcPr>
          <w:p>
            <w:pPr>
              <w:pStyle w:val="TableParagraph"/>
              <w:numPr>
                <w:ilvl w:val="0"/>
                <w:numId w:val="24"/>
              </w:numPr>
              <w:tabs>
                <w:tab w:pos="191" w:val="left" w:leader="none"/>
              </w:tabs>
              <w:spacing w:line="249" w:lineRule="auto" w:before="42" w:after="0"/>
              <w:ind w:left="190" w:right="599" w:hanging="113"/>
              <w:jc w:val="left"/>
              <w:rPr>
                <w:sz w:val="18"/>
              </w:rPr>
            </w:pPr>
            <w:r>
              <w:rPr>
                <w:sz w:val="18"/>
              </w:rPr>
              <w:t>Shallow surface water bodies that have significant turnover (shallow lakes) or turbulence (streams) will quickly release dissolved CO</w:t>
            </w:r>
            <w:r>
              <w:rPr>
                <w:position w:val="-5"/>
                <w:sz w:val="10"/>
              </w:rPr>
              <w:t>2 </w:t>
            </w:r>
            <w:r>
              <w:rPr>
                <w:sz w:val="18"/>
              </w:rPr>
              <w:t>back into the</w:t>
            </w:r>
            <w:r>
              <w:rPr>
                <w:spacing w:val="19"/>
                <w:sz w:val="18"/>
              </w:rPr>
              <w:t> </w:t>
            </w:r>
            <w:r>
              <w:rPr>
                <w:sz w:val="18"/>
              </w:rPr>
              <w:t>atmosphere;</w:t>
            </w:r>
          </w:p>
          <w:p>
            <w:pPr>
              <w:pStyle w:val="TableParagraph"/>
              <w:numPr>
                <w:ilvl w:val="0"/>
                <w:numId w:val="24"/>
              </w:numPr>
              <w:tabs>
                <w:tab w:pos="191" w:val="left" w:leader="none"/>
              </w:tabs>
              <w:spacing w:line="166" w:lineRule="exact" w:before="0" w:after="0"/>
              <w:ind w:left="190" w:right="0" w:hanging="113"/>
              <w:jc w:val="left"/>
              <w:rPr>
                <w:sz w:val="18"/>
              </w:rPr>
            </w:pPr>
            <w:r>
              <w:rPr>
                <w:sz w:val="18"/>
              </w:rPr>
              <w:t>For deep, stably stratified lakes, active systems for venting gas accumulations have been developed and applied</w:t>
            </w:r>
            <w:r>
              <w:rPr>
                <w:spacing w:val="4"/>
                <w:sz w:val="18"/>
              </w:rPr>
              <w:t> </w:t>
            </w:r>
            <w:r>
              <w:rPr>
                <w:sz w:val="18"/>
              </w:rPr>
              <w:t>at</w:t>
            </w:r>
          </w:p>
          <w:p>
            <w:pPr>
              <w:pStyle w:val="TableParagraph"/>
              <w:spacing w:before="9"/>
              <w:ind w:left="190"/>
              <w:rPr>
                <w:sz w:val="18"/>
              </w:rPr>
            </w:pPr>
            <w:r>
              <w:rPr>
                <w:sz w:val="18"/>
              </w:rPr>
              <w:t>Lake Nyos and Monoun in Cameroon </w:t>
            </w:r>
            <w:hyperlink r:id="rId260">
              <w:r>
                <w:rPr>
                  <w:sz w:val="18"/>
                </w:rPr>
                <w:t>(http://perso.wanadoo.fr/mhalb/nyos/).</w:t>
              </w:r>
            </w:hyperlink>
          </w:p>
        </w:tc>
      </w:tr>
    </w:tbl>
    <w:p>
      <w:pPr>
        <w:spacing w:after="0"/>
        <w:rPr>
          <w:sz w:val="18"/>
        </w:rPr>
        <w:sectPr>
          <w:pgSz w:w="12240" w:h="15840"/>
          <w:pgMar w:header="567" w:footer="0" w:top="760" w:bottom="280" w:left="580" w:right="600"/>
        </w:sectPr>
      </w:pPr>
    </w:p>
    <w:p>
      <w:pPr>
        <w:pStyle w:val="BodyText"/>
      </w:pPr>
    </w:p>
    <w:p>
      <w:pPr>
        <w:pStyle w:val="BodyText"/>
        <w:spacing w:before="9"/>
      </w:pPr>
    </w:p>
    <w:p>
      <w:pPr>
        <w:spacing w:before="1"/>
        <w:ind w:left="177" w:right="0" w:firstLine="0"/>
        <w:jc w:val="left"/>
        <w:rPr>
          <w:sz w:val="18"/>
        </w:rPr>
      </w:pPr>
      <w:bookmarkStart w:name="_bookmark48" w:id="102"/>
      <w:bookmarkEnd w:id="102"/>
      <w:r>
        <w:rPr/>
      </w:r>
      <w:r>
        <w:rPr>
          <w:b/>
          <w:spacing w:val="-17"/>
          <w:w w:val="200"/>
          <w:sz w:val="18"/>
        </w:rPr>
        <w:t>t</w:t>
      </w:r>
      <w:r>
        <w:rPr>
          <w:b/>
          <w:sz w:val="18"/>
        </w:rPr>
        <w:t>able 5.8 </w:t>
      </w:r>
      <w:r>
        <w:rPr>
          <w:spacing w:val="-1"/>
          <w:sz w:val="18"/>
        </w:rPr>
        <w:t>Mai</w:t>
      </w:r>
      <w:r>
        <w:rPr>
          <w:sz w:val="18"/>
        </w:rPr>
        <w:t>n</w:t>
      </w:r>
      <w:r>
        <w:rPr>
          <w:spacing w:val="-1"/>
          <w:sz w:val="18"/>
        </w:rPr>
        <w:t> </w:t>
      </w:r>
      <w:r>
        <w:rPr>
          <w:sz w:val="18"/>
        </w:rPr>
        <w:t>international treaties for consideration in the context of geological C</w:t>
      </w:r>
      <w:r>
        <w:rPr>
          <w:spacing w:val="-3"/>
          <w:sz w:val="18"/>
        </w:rPr>
        <w:t>O</w:t>
      </w:r>
      <w:r>
        <w:rPr>
          <w:w w:val="104"/>
          <w:position w:val="-5"/>
          <w:sz w:val="10"/>
        </w:rPr>
        <w:t>2</w:t>
      </w:r>
      <w:r>
        <w:rPr>
          <w:position w:val="-5"/>
          <w:sz w:val="10"/>
        </w:rPr>
        <w:t> </w:t>
      </w:r>
      <w:r>
        <w:rPr>
          <w:spacing w:val="-5"/>
          <w:position w:val="-5"/>
          <w:sz w:val="10"/>
        </w:rPr>
        <w:t> </w:t>
      </w:r>
      <w:r>
        <w:rPr>
          <w:spacing w:val="-1"/>
          <w:sz w:val="18"/>
        </w:rPr>
        <w:t>storag</w:t>
      </w:r>
      <w:r>
        <w:rPr>
          <w:sz w:val="18"/>
        </w:rPr>
        <w:t>e</w:t>
      </w:r>
      <w:r>
        <w:rPr>
          <w:spacing w:val="-1"/>
          <w:sz w:val="18"/>
        </w:rPr>
        <w:t> </w:t>
      </w:r>
      <w:r>
        <w:rPr>
          <w:sz w:val="18"/>
        </w:rPr>
        <w:t>(full titles are given in the </w:t>
      </w:r>
      <w:r>
        <w:rPr>
          <w:spacing w:val="-1"/>
          <w:sz w:val="18"/>
        </w:rPr>
        <w:t>Glossary).</w:t>
      </w: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2564"/>
        <w:gridCol w:w="2564"/>
        <w:gridCol w:w="2654"/>
      </w:tblGrid>
      <w:tr>
        <w:trPr>
          <w:trHeight w:val="285" w:hRule="atLeast"/>
        </w:trPr>
        <w:tc>
          <w:tcPr>
            <w:tcW w:w="2564" w:type="dxa"/>
            <w:shd w:val="clear" w:color="auto" w:fill="E0EEE0"/>
          </w:tcPr>
          <w:p>
            <w:pPr>
              <w:pStyle w:val="TableParagraph"/>
              <w:spacing w:before="42"/>
              <w:ind w:left="78"/>
              <w:rPr>
                <w:b/>
                <w:sz w:val="18"/>
              </w:rPr>
            </w:pPr>
            <w:r>
              <w:rPr>
                <w:b/>
                <w:spacing w:val="-14"/>
                <w:w w:val="200"/>
                <w:sz w:val="18"/>
              </w:rPr>
              <w:t>t</w:t>
            </w:r>
            <w:r>
              <w:rPr>
                <w:b/>
                <w:spacing w:val="-4"/>
                <w:sz w:val="18"/>
              </w:rPr>
              <w:t>r</w:t>
            </w:r>
            <w:r>
              <w:rPr>
                <w:b/>
                <w:sz w:val="18"/>
              </w:rPr>
              <w:t>eaty</w:t>
            </w:r>
          </w:p>
        </w:tc>
        <w:tc>
          <w:tcPr>
            <w:tcW w:w="2564" w:type="dxa"/>
            <w:shd w:val="clear" w:color="auto" w:fill="E0EEE0"/>
          </w:tcPr>
          <w:p>
            <w:pPr>
              <w:pStyle w:val="TableParagraph"/>
              <w:spacing w:before="42"/>
              <w:ind w:left="441" w:right="436"/>
              <w:jc w:val="center"/>
              <w:rPr>
                <w:b/>
                <w:sz w:val="18"/>
              </w:rPr>
            </w:pPr>
            <w:r>
              <w:rPr>
                <w:b/>
                <w:sz w:val="18"/>
              </w:rPr>
              <w:t>Adoption (Signature)</w:t>
            </w:r>
          </w:p>
        </w:tc>
        <w:tc>
          <w:tcPr>
            <w:tcW w:w="2564" w:type="dxa"/>
            <w:shd w:val="clear" w:color="auto" w:fill="E0EEE0"/>
          </w:tcPr>
          <w:p>
            <w:pPr>
              <w:pStyle w:val="TableParagraph"/>
              <w:spacing w:before="42"/>
              <w:ind w:left="441" w:right="435"/>
              <w:jc w:val="center"/>
              <w:rPr>
                <w:b/>
                <w:sz w:val="18"/>
              </w:rPr>
            </w:pPr>
            <w:r>
              <w:rPr>
                <w:b/>
                <w:sz w:val="18"/>
              </w:rPr>
              <w:t>Entry into Force</w:t>
            </w:r>
          </w:p>
        </w:tc>
        <w:tc>
          <w:tcPr>
            <w:tcW w:w="2654" w:type="dxa"/>
            <w:shd w:val="clear" w:color="auto" w:fill="E0EEE0"/>
          </w:tcPr>
          <w:p>
            <w:pPr>
              <w:pStyle w:val="TableParagraph"/>
              <w:spacing w:before="42"/>
              <w:ind w:left="80" w:right="74"/>
              <w:jc w:val="center"/>
              <w:rPr>
                <w:b/>
                <w:sz w:val="18"/>
              </w:rPr>
            </w:pPr>
            <w:r>
              <w:rPr>
                <w:b/>
                <w:sz w:val="18"/>
              </w:rPr>
              <w:t>Number of Parties/Ratifications</w:t>
            </w:r>
          </w:p>
        </w:tc>
      </w:tr>
      <w:tr>
        <w:trPr>
          <w:trHeight w:val="285" w:hRule="atLeast"/>
        </w:trPr>
        <w:tc>
          <w:tcPr>
            <w:tcW w:w="2564" w:type="dxa"/>
            <w:shd w:val="clear" w:color="auto" w:fill="F9FCF9"/>
          </w:tcPr>
          <w:p>
            <w:pPr>
              <w:pStyle w:val="TableParagraph"/>
              <w:spacing w:before="42"/>
              <w:ind w:left="78"/>
              <w:rPr>
                <w:sz w:val="18"/>
              </w:rPr>
            </w:pPr>
            <w:r>
              <w:rPr>
                <w:sz w:val="18"/>
              </w:rPr>
              <w:t>UNFCCC</w:t>
            </w:r>
          </w:p>
        </w:tc>
        <w:tc>
          <w:tcPr>
            <w:tcW w:w="2564" w:type="dxa"/>
            <w:shd w:val="clear" w:color="auto" w:fill="F9FCF9"/>
          </w:tcPr>
          <w:p>
            <w:pPr>
              <w:pStyle w:val="TableParagraph"/>
              <w:spacing w:before="42"/>
              <w:ind w:left="441" w:right="436"/>
              <w:jc w:val="center"/>
              <w:rPr>
                <w:sz w:val="18"/>
              </w:rPr>
            </w:pPr>
            <w:r>
              <w:rPr>
                <w:sz w:val="18"/>
              </w:rPr>
              <w:t>1992</w:t>
            </w:r>
          </w:p>
        </w:tc>
        <w:tc>
          <w:tcPr>
            <w:tcW w:w="2564" w:type="dxa"/>
            <w:shd w:val="clear" w:color="auto" w:fill="F9FCF9"/>
          </w:tcPr>
          <w:p>
            <w:pPr>
              <w:pStyle w:val="TableParagraph"/>
              <w:spacing w:before="42"/>
              <w:ind w:left="441" w:right="436"/>
              <w:jc w:val="center"/>
              <w:rPr>
                <w:sz w:val="18"/>
              </w:rPr>
            </w:pPr>
            <w:r>
              <w:rPr>
                <w:sz w:val="18"/>
              </w:rPr>
              <w:t>1994</w:t>
            </w:r>
          </w:p>
        </w:tc>
        <w:tc>
          <w:tcPr>
            <w:tcW w:w="2654" w:type="dxa"/>
            <w:shd w:val="clear" w:color="auto" w:fill="F9FCF9"/>
          </w:tcPr>
          <w:p>
            <w:pPr>
              <w:pStyle w:val="TableParagraph"/>
              <w:spacing w:before="42"/>
              <w:ind w:left="79" w:right="74"/>
              <w:jc w:val="center"/>
              <w:rPr>
                <w:sz w:val="18"/>
              </w:rPr>
            </w:pPr>
            <w:r>
              <w:rPr>
                <w:sz w:val="18"/>
              </w:rPr>
              <w:t>189</w:t>
            </w:r>
          </w:p>
        </w:tc>
      </w:tr>
      <w:tr>
        <w:trPr>
          <w:trHeight w:val="285" w:hRule="atLeast"/>
        </w:trPr>
        <w:tc>
          <w:tcPr>
            <w:tcW w:w="2564" w:type="dxa"/>
            <w:shd w:val="clear" w:color="auto" w:fill="F9FCF9"/>
          </w:tcPr>
          <w:p>
            <w:pPr>
              <w:pStyle w:val="TableParagraph"/>
              <w:spacing w:before="42"/>
              <w:ind w:left="78"/>
              <w:rPr>
                <w:sz w:val="18"/>
              </w:rPr>
            </w:pPr>
            <w:r>
              <w:rPr>
                <w:sz w:val="18"/>
              </w:rPr>
              <w:t>Kyoto Protocol (KP)</w:t>
            </w:r>
          </w:p>
        </w:tc>
        <w:tc>
          <w:tcPr>
            <w:tcW w:w="2564" w:type="dxa"/>
            <w:shd w:val="clear" w:color="auto" w:fill="F9FCF9"/>
          </w:tcPr>
          <w:p>
            <w:pPr>
              <w:pStyle w:val="TableParagraph"/>
              <w:spacing w:before="42"/>
              <w:ind w:left="441" w:right="436"/>
              <w:jc w:val="center"/>
              <w:rPr>
                <w:sz w:val="18"/>
              </w:rPr>
            </w:pPr>
            <w:r>
              <w:rPr>
                <w:sz w:val="18"/>
              </w:rPr>
              <w:t>1997</w:t>
            </w:r>
          </w:p>
        </w:tc>
        <w:tc>
          <w:tcPr>
            <w:tcW w:w="2564" w:type="dxa"/>
            <w:shd w:val="clear" w:color="auto" w:fill="F9FCF9"/>
          </w:tcPr>
          <w:p>
            <w:pPr>
              <w:pStyle w:val="TableParagraph"/>
              <w:spacing w:before="42"/>
              <w:ind w:left="441" w:right="436"/>
              <w:jc w:val="center"/>
              <w:rPr>
                <w:sz w:val="18"/>
              </w:rPr>
            </w:pPr>
            <w:r>
              <w:rPr>
                <w:sz w:val="18"/>
              </w:rPr>
              <w:t>2005</w:t>
            </w:r>
          </w:p>
        </w:tc>
        <w:tc>
          <w:tcPr>
            <w:tcW w:w="2654" w:type="dxa"/>
            <w:shd w:val="clear" w:color="auto" w:fill="F9FCF9"/>
          </w:tcPr>
          <w:p>
            <w:pPr>
              <w:pStyle w:val="TableParagraph"/>
              <w:spacing w:before="42"/>
              <w:ind w:left="79" w:right="74"/>
              <w:jc w:val="center"/>
              <w:rPr>
                <w:sz w:val="10"/>
              </w:rPr>
            </w:pPr>
            <w:r>
              <w:rPr>
                <w:sz w:val="18"/>
              </w:rPr>
              <w:t>132</w:t>
            </w:r>
            <w:r>
              <w:rPr>
                <w:position w:val="6"/>
                <w:sz w:val="10"/>
              </w:rPr>
              <w:t>a</w:t>
            </w:r>
          </w:p>
        </w:tc>
      </w:tr>
      <w:tr>
        <w:trPr>
          <w:trHeight w:val="285" w:hRule="atLeast"/>
        </w:trPr>
        <w:tc>
          <w:tcPr>
            <w:tcW w:w="2564" w:type="dxa"/>
            <w:shd w:val="clear" w:color="auto" w:fill="F9FCF9"/>
          </w:tcPr>
          <w:p>
            <w:pPr>
              <w:pStyle w:val="TableParagraph"/>
              <w:spacing w:before="42"/>
              <w:ind w:left="78"/>
              <w:rPr>
                <w:sz w:val="18"/>
              </w:rPr>
            </w:pPr>
            <w:r>
              <w:rPr>
                <w:sz w:val="18"/>
              </w:rPr>
              <w:t>UNCLOS</w:t>
            </w:r>
          </w:p>
        </w:tc>
        <w:tc>
          <w:tcPr>
            <w:tcW w:w="2564" w:type="dxa"/>
            <w:shd w:val="clear" w:color="auto" w:fill="F9FCF9"/>
          </w:tcPr>
          <w:p>
            <w:pPr>
              <w:pStyle w:val="TableParagraph"/>
              <w:spacing w:before="42"/>
              <w:ind w:left="441" w:right="436"/>
              <w:jc w:val="center"/>
              <w:rPr>
                <w:sz w:val="18"/>
              </w:rPr>
            </w:pPr>
            <w:r>
              <w:rPr>
                <w:sz w:val="18"/>
              </w:rPr>
              <w:t>1982</w:t>
            </w:r>
          </w:p>
        </w:tc>
        <w:tc>
          <w:tcPr>
            <w:tcW w:w="2564" w:type="dxa"/>
            <w:shd w:val="clear" w:color="auto" w:fill="F9FCF9"/>
          </w:tcPr>
          <w:p>
            <w:pPr>
              <w:pStyle w:val="TableParagraph"/>
              <w:spacing w:before="42"/>
              <w:ind w:left="441" w:right="436"/>
              <w:jc w:val="center"/>
              <w:rPr>
                <w:sz w:val="18"/>
              </w:rPr>
            </w:pPr>
            <w:r>
              <w:rPr>
                <w:sz w:val="18"/>
              </w:rPr>
              <w:t>1994</w:t>
            </w:r>
          </w:p>
        </w:tc>
        <w:tc>
          <w:tcPr>
            <w:tcW w:w="2654" w:type="dxa"/>
            <w:shd w:val="clear" w:color="auto" w:fill="F9FCF9"/>
          </w:tcPr>
          <w:p>
            <w:pPr>
              <w:pStyle w:val="TableParagraph"/>
              <w:spacing w:before="42"/>
              <w:ind w:left="79" w:right="74"/>
              <w:jc w:val="center"/>
              <w:rPr>
                <w:sz w:val="18"/>
              </w:rPr>
            </w:pPr>
            <w:r>
              <w:rPr>
                <w:sz w:val="18"/>
              </w:rPr>
              <w:t>145</w:t>
            </w:r>
          </w:p>
        </w:tc>
      </w:tr>
      <w:tr>
        <w:trPr>
          <w:trHeight w:val="285" w:hRule="atLeast"/>
        </w:trPr>
        <w:tc>
          <w:tcPr>
            <w:tcW w:w="2564" w:type="dxa"/>
            <w:shd w:val="clear" w:color="auto" w:fill="F9FCF9"/>
          </w:tcPr>
          <w:p>
            <w:pPr>
              <w:pStyle w:val="TableParagraph"/>
              <w:spacing w:before="42"/>
              <w:ind w:left="78"/>
              <w:rPr>
                <w:sz w:val="18"/>
              </w:rPr>
            </w:pPr>
            <w:r>
              <w:rPr>
                <w:sz w:val="18"/>
              </w:rPr>
              <w:t>London Convention (LC)</w:t>
            </w:r>
          </w:p>
        </w:tc>
        <w:tc>
          <w:tcPr>
            <w:tcW w:w="2564" w:type="dxa"/>
            <w:shd w:val="clear" w:color="auto" w:fill="F9FCF9"/>
          </w:tcPr>
          <w:p>
            <w:pPr>
              <w:pStyle w:val="TableParagraph"/>
              <w:spacing w:before="42"/>
              <w:ind w:left="441" w:right="436"/>
              <w:jc w:val="center"/>
              <w:rPr>
                <w:sz w:val="18"/>
              </w:rPr>
            </w:pPr>
            <w:r>
              <w:rPr>
                <w:sz w:val="18"/>
              </w:rPr>
              <w:t>1972</w:t>
            </w:r>
          </w:p>
        </w:tc>
        <w:tc>
          <w:tcPr>
            <w:tcW w:w="2564" w:type="dxa"/>
            <w:shd w:val="clear" w:color="auto" w:fill="F9FCF9"/>
          </w:tcPr>
          <w:p>
            <w:pPr>
              <w:pStyle w:val="TableParagraph"/>
              <w:spacing w:before="42"/>
              <w:ind w:left="441" w:right="436"/>
              <w:jc w:val="center"/>
              <w:rPr>
                <w:sz w:val="18"/>
              </w:rPr>
            </w:pPr>
            <w:r>
              <w:rPr>
                <w:sz w:val="18"/>
              </w:rPr>
              <w:t>1975</w:t>
            </w:r>
          </w:p>
        </w:tc>
        <w:tc>
          <w:tcPr>
            <w:tcW w:w="2654" w:type="dxa"/>
            <w:shd w:val="clear" w:color="auto" w:fill="F9FCF9"/>
          </w:tcPr>
          <w:p>
            <w:pPr>
              <w:pStyle w:val="TableParagraph"/>
              <w:spacing w:before="42"/>
              <w:ind w:left="79" w:right="74"/>
              <w:jc w:val="center"/>
              <w:rPr>
                <w:sz w:val="18"/>
              </w:rPr>
            </w:pPr>
            <w:r>
              <w:rPr>
                <w:sz w:val="18"/>
              </w:rPr>
              <w:t>80</w:t>
            </w:r>
          </w:p>
        </w:tc>
      </w:tr>
      <w:tr>
        <w:trPr>
          <w:trHeight w:val="285" w:hRule="atLeast"/>
        </w:trPr>
        <w:tc>
          <w:tcPr>
            <w:tcW w:w="2564" w:type="dxa"/>
            <w:shd w:val="clear" w:color="auto" w:fill="F9FCF9"/>
          </w:tcPr>
          <w:p>
            <w:pPr>
              <w:pStyle w:val="TableParagraph"/>
              <w:spacing w:before="42"/>
              <w:ind w:left="78"/>
              <w:rPr>
                <w:sz w:val="18"/>
              </w:rPr>
            </w:pPr>
            <w:r>
              <w:rPr>
                <w:sz w:val="18"/>
              </w:rPr>
              <w:t>London Protocol (LP)</w:t>
            </w:r>
          </w:p>
        </w:tc>
        <w:tc>
          <w:tcPr>
            <w:tcW w:w="2564" w:type="dxa"/>
            <w:shd w:val="clear" w:color="auto" w:fill="F9FCF9"/>
          </w:tcPr>
          <w:p>
            <w:pPr>
              <w:pStyle w:val="TableParagraph"/>
              <w:spacing w:before="42"/>
              <w:ind w:left="441" w:right="436"/>
              <w:jc w:val="center"/>
              <w:rPr>
                <w:sz w:val="18"/>
              </w:rPr>
            </w:pPr>
            <w:r>
              <w:rPr>
                <w:sz w:val="18"/>
              </w:rPr>
              <w:t>1996</w:t>
            </w:r>
          </w:p>
        </w:tc>
        <w:tc>
          <w:tcPr>
            <w:tcW w:w="2564" w:type="dxa"/>
            <w:shd w:val="clear" w:color="auto" w:fill="F9FCF9"/>
          </w:tcPr>
          <w:p>
            <w:pPr>
              <w:pStyle w:val="TableParagraph"/>
              <w:spacing w:before="42"/>
              <w:ind w:left="441" w:right="436"/>
              <w:jc w:val="center"/>
              <w:rPr>
                <w:sz w:val="18"/>
              </w:rPr>
            </w:pPr>
            <w:r>
              <w:rPr>
                <w:sz w:val="18"/>
              </w:rPr>
              <w:t>No</w:t>
            </w:r>
          </w:p>
        </w:tc>
        <w:tc>
          <w:tcPr>
            <w:tcW w:w="2654" w:type="dxa"/>
            <w:shd w:val="clear" w:color="auto" w:fill="F9FCF9"/>
          </w:tcPr>
          <w:p>
            <w:pPr>
              <w:pStyle w:val="TableParagraph"/>
              <w:spacing w:before="42"/>
              <w:ind w:left="79" w:right="74"/>
              <w:jc w:val="center"/>
              <w:rPr>
                <w:sz w:val="18"/>
              </w:rPr>
            </w:pPr>
            <w:r>
              <w:rPr>
                <w:sz w:val="18"/>
              </w:rPr>
              <w:t>20</w:t>
            </w:r>
            <w:r>
              <w:rPr>
                <w:position w:val="6"/>
                <w:sz w:val="10"/>
              </w:rPr>
              <w:t>a </w:t>
            </w:r>
            <w:r>
              <w:rPr>
                <w:sz w:val="18"/>
              </w:rPr>
              <w:t>(26)</w:t>
            </w:r>
          </w:p>
        </w:tc>
      </w:tr>
      <w:tr>
        <w:trPr>
          <w:trHeight w:val="285" w:hRule="atLeast"/>
        </w:trPr>
        <w:tc>
          <w:tcPr>
            <w:tcW w:w="2564" w:type="dxa"/>
            <w:shd w:val="clear" w:color="auto" w:fill="F9FCF9"/>
          </w:tcPr>
          <w:p>
            <w:pPr>
              <w:pStyle w:val="TableParagraph"/>
              <w:spacing w:before="42"/>
              <w:ind w:left="78"/>
              <w:rPr>
                <w:sz w:val="18"/>
              </w:rPr>
            </w:pPr>
            <w:r>
              <w:rPr>
                <w:sz w:val="18"/>
              </w:rPr>
              <w:t>OSPAR</w:t>
            </w:r>
          </w:p>
        </w:tc>
        <w:tc>
          <w:tcPr>
            <w:tcW w:w="2564" w:type="dxa"/>
            <w:shd w:val="clear" w:color="auto" w:fill="F9FCF9"/>
          </w:tcPr>
          <w:p>
            <w:pPr>
              <w:pStyle w:val="TableParagraph"/>
              <w:spacing w:before="42"/>
              <w:ind w:left="441" w:right="436"/>
              <w:jc w:val="center"/>
              <w:rPr>
                <w:sz w:val="18"/>
              </w:rPr>
            </w:pPr>
            <w:r>
              <w:rPr>
                <w:sz w:val="18"/>
              </w:rPr>
              <w:t>1992</w:t>
            </w:r>
          </w:p>
        </w:tc>
        <w:tc>
          <w:tcPr>
            <w:tcW w:w="2564" w:type="dxa"/>
            <w:shd w:val="clear" w:color="auto" w:fill="F9FCF9"/>
          </w:tcPr>
          <w:p>
            <w:pPr>
              <w:pStyle w:val="TableParagraph"/>
              <w:spacing w:before="42"/>
              <w:ind w:left="441" w:right="436"/>
              <w:jc w:val="center"/>
              <w:rPr>
                <w:sz w:val="18"/>
              </w:rPr>
            </w:pPr>
            <w:r>
              <w:rPr>
                <w:sz w:val="18"/>
              </w:rPr>
              <w:t>1998</w:t>
            </w:r>
          </w:p>
        </w:tc>
        <w:tc>
          <w:tcPr>
            <w:tcW w:w="2654" w:type="dxa"/>
            <w:shd w:val="clear" w:color="auto" w:fill="F9FCF9"/>
          </w:tcPr>
          <w:p>
            <w:pPr>
              <w:pStyle w:val="TableParagraph"/>
              <w:spacing w:before="42"/>
              <w:ind w:left="79" w:right="74"/>
              <w:jc w:val="center"/>
              <w:rPr>
                <w:sz w:val="18"/>
              </w:rPr>
            </w:pPr>
            <w:r>
              <w:rPr>
                <w:sz w:val="18"/>
              </w:rPr>
              <w:t>15</w:t>
            </w:r>
          </w:p>
        </w:tc>
      </w:tr>
      <w:tr>
        <w:trPr>
          <w:trHeight w:val="285" w:hRule="atLeast"/>
        </w:trPr>
        <w:tc>
          <w:tcPr>
            <w:tcW w:w="2564" w:type="dxa"/>
            <w:shd w:val="clear" w:color="auto" w:fill="F9FCF9"/>
          </w:tcPr>
          <w:p>
            <w:pPr>
              <w:pStyle w:val="TableParagraph"/>
              <w:spacing w:before="42"/>
              <w:ind w:left="78"/>
              <w:rPr>
                <w:sz w:val="18"/>
              </w:rPr>
            </w:pPr>
            <w:r>
              <w:rPr>
                <w:sz w:val="18"/>
              </w:rPr>
              <w:t>Basel Convention</w:t>
            </w:r>
          </w:p>
        </w:tc>
        <w:tc>
          <w:tcPr>
            <w:tcW w:w="2564" w:type="dxa"/>
            <w:shd w:val="clear" w:color="auto" w:fill="F9FCF9"/>
          </w:tcPr>
          <w:p>
            <w:pPr>
              <w:pStyle w:val="TableParagraph"/>
              <w:spacing w:before="42"/>
              <w:ind w:left="441" w:right="436"/>
              <w:jc w:val="center"/>
              <w:rPr>
                <w:sz w:val="18"/>
              </w:rPr>
            </w:pPr>
            <w:r>
              <w:rPr>
                <w:sz w:val="18"/>
              </w:rPr>
              <w:t>1989</w:t>
            </w:r>
          </w:p>
        </w:tc>
        <w:tc>
          <w:tcPr>
            <w:tcW w:w="2564" w:type="dxa"/>
            <w:shd w:val="clear" w:color="auto" w:fill="F9FCF9"/>
          </w:tcPr>
          <w:p>
            <w:pPr>
              <w:pStyle w:val="TableParagraph"/>
              <w:spacing w:before="42"/>
              <w:ind w:left="441" w:right="436"/>
              <w:jc w:val="center"/>
              <w:rPr>
                <w:sz w:val="18"/>
              </w:rPr>
            </w:pPr>
            <w:r>
              <w:rPr>
                <w:sz w:val="18"/>
              </w:rPr>
              <w:t>1992</w:t>
            </w:r>
          </w:p>
        </w:tc>
        <w:tc>
          <w:tcPr>
            <w:tcW w:w="2654" w:type="dxa"/>
            <w:shd w:val="clear" w:color="auto" w:fill="F9FCF9"/>
          </w:tcPr>
          <w:p>
            <w:pPr>
              <w:pStyle w:val="TableParagraph"/>
              <w:spacing w:before="42"/>
              <w:ind w:left="79" w:right="74"/>
              <w:jc w:val="center"/>
              <w:rPr>
                <w:sz w:val="18"/>
              </w:rPr>
            </w:pPr>
            <w:r>
              <w:rPr>
                <w:sz w:val="18"/>
              </w:rPr>
              <w:t>162</w:t>
            </w:r>
          </w:p>
        </w:tc>
      </w:tr>
    </w:tbl>
    <w:p>
      <w:pPr>
        <w:spacing w:before="78"/>
        <w:ind w:left="177" w:right="0" w:firstLine="0"/>
        <w:jc w:val="left"/>
        <w:rPr>
          <w:sz w:val="16"/>
        </w:rPr>
      </w:pPr>
      <w:r>
        <w:rPr>
          <w:position w:val="5"/>
          <w:sz w:val="9"/>
        </w:rPr>
        <w:t>a </w:t>
      </w:r>
      <w:r>
        <w:rPr>
          <w:sz w:val="16"/>
        </w:rPr>
        <w:t>Several other countries have also announced that their ratification is under way.</w:t>
      </w:r>
    </w:p>
    <w:p>
      <w:pPr>
        <w:pStyle w:val="BodyText"/>
      </w:pPr>
    </w:p>
    <w:p>
      <w:pPr>
        <w:spacing w:after="0"/>
        <w:sectPr>
          <w:pgSz w:w="12240" w:h="15840"/>
          <w:pgMar w:header="567" w:footer="0" w:top="760" w:bottom="280" w:left="580" w:right="600"/>
        </w:sectPr>
      </w:pPr>
    </w:p>
    <w:p>
      <w:pPr>
        <w:pStyle w:val="BodyText"/>
        <w:spacing w:before="1"/>
        <w:rPr>
          <w:sz w:val="22"/>
        </w:rPr>
      </w:pPr>
    </w:p>
    <w:p>
      <w:pPr>
        <w:pStyle w:val="ListParagraph"/>
        <w:numPr>
          <w:ilvl w:val="2"/>
          <w:numId w:val="16"/>
        </w:numPr>
        <w:tabs>
          <w:tab w:pos="441" w:val="left" w:leader="none"/>
        </w:tabs>
        <w:spacing w:line="249" w:lineRule="auto" w:before="0" w:after="0"/>
        <w:ind w:left="440" w:right="38" w:hanging="284"/>
        <w:jc w:val="left"/>
        <w:rPr>
          <w:sz w:val="20"/>
        </w:rPr>
      </w:pPr>
      <w:r>
        <w:rPr>
          <w:sz w:val="20"/>
        </w:rPr>
        <w:t>Most environmental treaties contain underlying concepts, such</w:t>
      </w:r>
      <w:r>
        <w:rPr>
          <w:spacing w:val="-10"/>
          <w:sz w:val="20"/>
        </w:rPr>
        <w:t> </w:t>
      </w:r>
      <w:r>
        <w:rPr>
          <w:sz w:val="20"/>
        </w:rPr>
        <w:t>as</w:t>
      </w:r>
      <w:r>
        <w:rPr>
          <w:spacing w:val="-10"/>
          <w:sz w:val="20"/>
        </w:rPr>
        <w:t> </w:t>
      </w:r>
      <w:r>
        <w:rPr>
          <w:sz w:val="20"/>
        </w:rPr>
        <w:t>sustainable</w:t>
      </w:r>
      <w:r>
        <w:rPr>
          <w:spacing w:val="-10"/>
          <w:sz w:val="20"/>
        </w:rPr>
        <w:t> </w:t>
      </w:r>
      <w:r>
        <w:rPr>
          <w:sz w:val="20"/>
        </w:rPr>
        <w:t>development,</w:t>
      </w:r>
      <w:r>
        <w:rPr>
          <w:spacing w:val="-10"/>
          <w:sz w:val="20"/>
        </w:rPr>
        <w:t> </w:t>
      </w:r>
      <w:r>
        <w:rPr>
          <w:sz w:val="20"/>
        </w:rPr>
        <w:t>precautionary</w:t>
      </w:r>
      <w:r>
        <w:rPr>
          <w:spacing w:val="-10"/>
          <w:sz w:val="20"/>
        </w:rPr>
        <w:t> </w:t>
      </w:r>
      <w:r>
        <w:rPr>
          <w:sz w:val="20"/>
        </w:rPr>
        <w:t>approach</w:t>
      </w:r>
      <w:r>
        <w:rPr>
          <w:spacing w:val="-10"/>
          <w:sz w:val="20"/>
        </w:rPr>
        <w:t> </w:t>
      </w:r>
      <w:r>
        <w:rPr>
          <w:sz w:val="20"/>
        </w:rPr>
        <w:t>or</w:t>
      </w:r>
    </w:p>
    <w:p>
      <w:pPr>
        <w:pStyle w:val="BodyText"/>
        <w:spacing w:before="4"/>
        <w:rPr>
          <w:sz w:val="23"/>
        </w:rPr>
      </w:pPr>
      <w:r>
        <w:rPr/>
        <w:br w:type="column"/>
      </w:r>
      <w:r>
        <w:rPr>
          <w:sz w:val="23"/>
        </w:rPr>
      </w:r>
    </w:p>
    <w:p>
      <w:pPr>
        <w:pStyle w:val="BodyText"/>
        <w:ind w:left="157"/>
      </w:pPr>
      <w:r>
        <w:rPr/>
        <w:t>Convention) or does the process of its storage constitute</w:t>
      </w:r>
    </w:p>
    <w:p>
      <w:pPr>
        <w:pStyle w:val="BodyText"/>
        <w:spacing w:line="225" w:lineRule="exact" w:before="10"/>
        <w:ind w:left="157"/>
      </w:pPr>
      <w:r>
        <w:rPr/>
        <w:pict>
          <v:shape style="position:absolute;margin-left:439.2883pt;margin-top:20.793438pt;width:2.95pt;height:5.85pt;mso-position-horizontal-relative:page;mso-position-vertical-relative:paragraph;z-index:-25882419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‘pollution’ (UNCLOS) or is it none of these?</w:t>
      </w:r>
    </w:p>
    <w:p>
      <w:pPr>
        <w:spacing w:after="0" w:line="225" w:lineRule="exact"/>
        <w:sectPr>
          <w:type w:val="continuous"/>
          <w:pgSz w:w="12240" w:h="15840"/>
          <w:pgMar w:top="400" w:bottom="280" w:left="580" w:right="600"/>
          <w:cols w:num="2" w:equalWidth="0">
            <w:col w:w="5242" w:space="368"/>
            <w:col w:w="5450"/>
          </w:cols>
        </w:sectPr>
      </w:pPr>
    </w:p>
    <w:p>
      <w:pPr>
        <w:pStyle w:val="BodyText"/>
        <w:ind w:left="440"/>
      </w:pPr>
      <w:r>
        <w:rPr/>
        <w:t>principles, that should be taken into account when applying</w:t>
      </w:r>
    </w:p>
    <w:p>
      <w:pPr>
        <w:pStyle w:val="ListParagraph"/>
        <w:numPr>
          <w:ilvl w:val="3"/>
          <w:numId w:val="16"/>
        </w:numPr>
        <w:tabs>
          <w:tab w:pos="527" w:val="left" w:leader="none"/>
        </w:tabs>
        <w:spacing w:line="231" w:lineRule="exact" w:before="0" w:after="0"/>
        <w:ind w:left="526" w:right="0" w:hanging="284"/>
        <w:jc w:val="left"/>
        <w:rPr>
          <w:sz w:val="20"/>
        </w:rPr>
      </w:pPr>
      <w:r>
        <w:rPr>
          <w:spacing w:val="-1"/>
          <w:w w:val="100"/>
          <w:sz w:val="20"/>
        </w:rPr>
        <w:br w:type="column"/>
      </w:r>
      <w:r>
        <w:rPr>
          <w:sz w:val="20"/>
        </w:rPr>
        <w:t>Does the method of the</w:t>
      </w:r>
      <w:r>
        <w:rPr>
          <w:spacing w:val="41"/>
          <w:sz w:val="20"/>
        </w:rPr>
        <w:t> </w:t>
      </w:r>
      <w:r>
        <w:rPr>
          <w:spacing w:val="-8"/>
          <w:sz w:val="20"/>
        </w:rPr>
        <w:t>CO</w:t>
      </w:r>
    </w:p>
    <w:p>
      <w:pPr>
        <w:pStyle w:val="BodyText"/>
        <w:ind w:left="116"/>
      </w:pPr>
      <w:r>
        <w:rPr/>
        <w:br w:type="column"/>
      </w:r>
      <w:r>
        <w:rPr/>
        <w:t>reaching the disposal site</w:t>
      </w:r>
    </w:p>
    <w:p>
      <w:pPr>
        <w:spacing w:after="0"/>
        <w:sectPr>
          <w:type w:val="continuous"/>
          <w:pgSz w:w="12240" w:h="15840"/>
          <w:pgMar w:top="400" w:bottom="280" w:left="580" w:right="600"/>
          <w:cols w:num="3" w:equalWidth="0">
            <w:col w:w="5201" w:space="40"/>
            <w:col w:w="2966" w:space="39"/>
            <w:col w:w="2814"/>
          </w:cols>
        </w:sectPr>
      </w:pPr>
    </w:p>
    <w:p>
      <w:pPr>
        <w:pStyle w:val="BodyText"/>
        <w:spacing w:line="228" w:lineRule="exact" w:before="9"/>
        <w:ind w:left="440"/>
        <w:jc w:val="both"/>
      </w:pPr>
      <w:r>
        <w:rPr/>
        <w:t>their provisions;</w:t>
      </w:r>
    </w:p>
    <w:p>
      <w:pPr>
        <w:pStyle w:val="ListParagraph"/>
        <w:numPr>
          <w:ilvl w:val="2"/>
          <w:numId w:val="16"/>
        </w:numPr>
        <w:tabs>
          <w:tab w:pos="441" w:val="left" w:leader="none"/>
        </w:tabs>
        <w:spacing w:line="249" w:lineRule="auto" w:before="0" w:after="0"/>
        <w:ind w:left="440" w:right="38" w:hanging="284"/>
        <w:jc w:val="both"/>
        <w:rPr>
          <w:sz w:val="20"/>
        </w:rPr>
      </w:pPr>
      <w:r>
        <w:rPr>
          <w:sz w:val="20"/>
        </w:rPr>
        <w:t>In</w:t>
      </w:r>
      <w:r>
        <w:rPr>
          <w:spacing w:val="-9"/>
          <w:sz w:val="20"/>
        </w:rPr>
        <w:t> </w:t>
      </w:r>
      <w:r>
        <w:rPr>
          <w:sz w:val="20"/>
        </w:rPr>
        <w:t>terms</w:t>
      </w:r>
      <w:r>
        <w:rPr>
          <w:spacing w:val="-9"/>
          <w:sz w:val="20"/>
        </w:rPr>
        <w:t> </w:t>
      </w:r>
      <w:r>
        <w:rPr>
          <w:sz w:val="20"/>
        </w:rPr>
        <w:t>of</w:t>
      </w:r>
      <w:r>
        <w:rPr>
          <w:spacing w:val="-8"/>
          <w:sz w:val="20"/>
        </w:rPr>
        <w:t> </w:t>
      </w:r>
      <w:r>
        <w:rPr>
          <w:sz w:val="20"/>
        </w:rPr>
        <w:t>supremacy</w:t>
      </w:r>
      <w:r>
        <w:rPr>
          <w:spacing w:val="-9"/>
          <w:sz w:val="20"/>
        </w:rPr>
        <w:t> </w:t>
      </w:r>
      <w:r>
        <w:rPr>
          <w:sz w:val="20"/>
        </w:rPr>
        <w:t>of</w:t>
      </w:r>
      <w:r>
        <w:rPr>
          <w:spacing w:val="-9"/>
          <w:sz w:val="20"/>
        </w:rPr>
        <w:t> </w:t>
      </w:r>
      <w:r>
        <w:rPr>
          <w:sz w:val="20"/>
        </w:rPr>
        <w:t>different</w:t>
      </w:r>
      <w:r>
        <w:rPr>
          <w:spacing w:val="-8"/>
          <w:sz w:val="20"/>
        </w:rPr>
        <w:t> </w:t>
      </w:r>
      <w:r>
        <w:rPr>
          <w:sz w:val="20"/>
        </w:rPr>
        <w:t>treaties,</w:t>
      </w:r>
      <w:r>
        <w:rPr>
          <w:spacing w:val="-9"/>
          <w:sz w:val="20"/>
        </w:rPr>
        <w:t> </w:t>
      </w:r>
      <w:r>
        <w:rPr>
          <w:sz w:val="20"/>
        </w:rPr>
        <w:t>later</w:t>
      </w:r>
      <w:r>
        <w:rPr>
          <w:spacing w:val="-9"/>
          <w:sz w:val="20"/>
        </w:rPr>
        <w:t> </w:t>
      </w:r>
      <w:r>
        <w:rPr>
          <w:sz w:val="20"/>
        </w:rPr>
        <w:t>treaties</w:t>
      </w:r>
      <w:r>
        <w:rPr>
          <w:spacing w:val="-8"/>
          <w:sz w:val="20"/>
        </w:rPr>
        <w:t> </w:t>
      </w:r>
      <w:r>
        <w:rPr>
          <w:sz w:val="20"/>
        </w:rPr>
        <w:t>will supersede</w:t>
      </w:r>
      <w:r>
        <w:rPr>
          <w:spacing w:val="-6"/>
          <w:sz w:val="20"/>
        </w:rPr>
        <w:t> </w:t>
      </w:r>
      <w:r>
        <w:rPr>
          <w:sz w:val="20"/>
        </w:rPr>
        <w:t>earlier</w:t>
      </w:r>
      <w:r>
        <w:rPr>
          <w:spacing w:val="-5"/>
          <w:sz w:val="20"/>
        </w:rPr>
        <w:t> </w:t>
      </w:r>
      <w:r>
        <w:rPr>
          <w:sz w:val="20"/>
        </w:rPr>
        <w:t>ones,</w:t>
      </w:r>
      <w:r>
        <w:rPr>
          <w:spacing w:val="-5"/>
          <w:sz w:val="20"/>
        </w:rPr>
        <w:t> </w:t>
      </w:r>
      <w:r>
        <w:rPr>
          <w:sz w:val="20"/>
        </w:rPr>
        <w:t>but</w:t>
      </w:r>
      <w:r>
        <w:rPr>
          <w:spacing w:val="-5"/>
          <w:sz w:val="20"/>
        </w:rPr>
        <w:t> </w:t>
      </w:r>
      <w:r>
        <w:rPr>
          <w:sz w:val="20"/>
        </w:rPr>
        <w:t>this</w:t>
      </w:r>
      <w:r>
        <w:rPr>
          <w:spacing w:val="-5"/>
          <w:sz w:val="20"/>
        </w:rPr>
        <w:t> </w:t>
      </w:r>
      <w:r>
        <w:rPr>
          <w:sz w:val="20"/>
        </w:rPr>
        <w:t>will</w:t>
      </w:r>
      <w:r>
        <w:rPr>
          <w:spacing w:val="-5"/>
          <w:sz w:val="20"/>
        </w:rPr>
        <w:t> </w:t>
      </w:r>
      <w:r>
        <w:rPr>
          <w:sz w:val="20"/>
        </w:rPr>
        <w:t>depend</w:t>
      </w:r>
      <w:r>
        <w:rPr>
          <w:spacing w:val="-6"/>
          <w:sz w:val="20"/>
        </w:rPr>
        <w:t> </w:t>
      </w:r>
      <w:r>
        <w:rPr>
          <w:sz w:val="20"/>
        </w:rPr>
        <w:t>on</w:t>
      </w:r>
      <w:r>
        <w:rPr>
          <w:spacing w:val="-4"/>
          <w:sz w:val="20"/>
        </w:rPr>
        <w:t> </w:t>
      </w:r>
      <w:r>
        <w:rPr>
          <w:i/>
          <w:sz w:val="20"/>
        </w:rPr>
        <w:t>lex</w:t>
      </w:r>
      <w:r>
        <w:rPr>
          <w:i/>
          <w:spacing w:val="-5"/>
          <w:sz w:val="20"/>
        </w:rPr>
        <w:t> </w:t>
      </w:r>
      <w:r>
        <w:rPr>
          <w:i/>
          <w:sz w:val="20"/>
        </w:rPr>
        <w:t>specialis, </w:t>
      </w:r>
      <w:r>
        <w:rPr>
          <w:sz w:val="20"/>
        </w:rPr>
        <w:t>that is, provisions on a specific subject will supersede general ones (relevant to the relationship between </w:t>
      </w:r>
      <w:r>
        <w:rPr>
          <w:spacing w:val="-4"/>
          <w:sz w:val="20"/>
        </w:rPr>
        <w:t>the </w:t>
      </w:r>
      <w:r>
        <w:rPr>
          <w:sz w:val="20"/>
        </w:rPr>
        <w:t>United Nations Framework Convention on Climate</w:t>
      </w:r>
      <w:r>
        <w:rPr>
          <w:spacing w:val="-30"/>
          <w:sz w:val="20"/>
        </w:rPr>
        <w:t> </w:t>
      </w:r>
      <w:r>
        <w:rPr>
          <w:sz w:val="20"/>
        </w:rPr>
        <w:t>Change (UNFCCC) and its Kyoto Protocol (KP) and the marine treaties);</w:t>
      </w:r>
    </w:p>
    <w:p>
      <w:pPr>
        <w:pStyle w:val="BodyText"/>
        <w:spacing w:line="249" w:lineRule="auto" w:before="9"/>
        <w:ind w:left="440" w:right="463"/>
      </w:pPr>
      <w:r>
        <w:rPr/>
        <w:br w:type="column"/>
      </w:r>
      <w:r>
        <w:rPr/>
        <w:t>involve pipelines, vessels or offshore structures (LC/LP, OSPAR)?</w:t>
      </w:r>
    </w:p>
    <w:p>
      <w:pPr>
        <w:pStyle w:val="BodyText"/>
        <w:rPr>
          <w:sz w:val="21"/>
        </w:rPr>
      </w:pPr>
    </w:p>
    <w:p>
      <w:pPr>
        <w:spacing w:line="249" w:lineRule="auto" w:before="0"/>
        <w:ind w:left="977" w:right="545" w:hanging="820"/>
        <w:jc w:val="both"/>
        <w:rPr>
          <w:i/>
          <w:sz w:val="20"/>
        </w:rPr>
      </w:pPr>
      <w:r>
        <w:rPr>
          <w:i/>
          <w:sz w:val="20"/>
        </w:rPr>
        <w:t>5.8.1.3 Literature on geological storage under international </w:t>
      </w:r>
      <w:r>
        <w:rPr>
          <w:i/>
          <w:sz w:val="20"/>
        </w:rPr>
        <w:t>law</w:t>
      </w:r>
    </w:p>
    <w:p>
      <w:pPr>
        <w:pStyle w:val="BodyText"/>
        <w:spacing w:line="225" w:lineRule="auto" w:before="13"/>
        <w:ind w:left="157" w:right="530"/>
        <w:jc w:val="both"/>
      </w:pPr>
      <w:r>
        <w:rPr/>
        <w:t>While it is necessary to look at and interpret the </w:t>
      </w:r>
      <w:r>
        <w:rPr>
          <w:spacing w:val="-3"/>
        </w:rPr>
        <w:t>treaty </w:t>
      </w:r>
      <w:r>
        <w:rPr/>
        <w:t>provisions themselves to determine the permissibility of </w:t>
      </w:r>
      <w:r>
        <w:rPr>
          <w:spacing w:val="-6"/>
        </w:rPr>
        <w:t>CO</w:t>
      </w:r>
      <w:r>
        <w:rPr>
          <w:spacing w:val="-6"/>
          <w:position w:val="-6"/>
          <w:sz w:val="11"/>
        </w:rPr>
        <w:t>2 </w:t>
      </w:r>
      <w:r>
        <w:rPr/>
        <w:t>storage,</w:t>
      </w:r>
      <w:r>
        <w:rPr>
          <w:spacing w:val="-16"/>
        </w:rPr>
        <w:t> </w:t>
      </w:r>
      <w:r>
        <w:rPr/>
        <w:t>secondary</w:t>
      </w:r>
      <w:r>
        <w:rPr>
          <w:spacing w:val="-16"/>
        </w:rPr>
        <w:t> </w:t>
      </w:r>
      <w:r>
        <w:rPr/>
        <w:t>sources</w:t>
      </w:r>
      <w:r>
        <w:rPr>
          <w:spacing w:val="-16"/>
        </w:rPr>
        <w:t> </w:t>
      </w:r>
      <w:r>
        <w:rPr/>
        <w:t>contain</w:t>
      </w:r>
      <w:r>
        <w:rPr>
          <w:spacing w:val="-16"/>
        </w:rPr>
        <w:t> </w:t>
      </w:r>
      <w:r>
        <w:rPr/>
        <w:t>States’</w:t>
      </w:r>
      <w:r>
        <w:rPr>
          <w:spacing w:val="-29"/>
        </w:rPr>
        <w:t> </w:t>
      </w:r>
      <w:r>
        <w:rPr/>
        <w:t>or</w:t>
      </w:r>
      <w:r>
        <w:rPr>
          <w:spacing w:val="-16"/>
        </w:rPr>
        <w:t> </w:t>
      </w:r>
      <w:r>
        <w:rPr/>
        <w:t>authors’</w:t>
      </w:r>
      <w:r>
        <w:rPr>
          <w:spacing w:val="-29"/>
        </w:rPr>
        <w:t> </w:t>
      </w:r>
      <w:r>
        <w:rPr/>
        <w:t>individual</w:t>
      </w:r>
    </w:p>
    <w:p>
      <w:pPr>
        <w:spacing w:after="0" w:line="225" w:lineRule="auto"/>
        <w:jc w:val="both"/>
        <w:sectPr>
          <w:type w:val="continuous"/>
          <w:pgSz w:w="12240" w:h="15840"/>
          <w:pgMar w:top="400" w:bottom="280" w:left="580" w:right="600"/>
          <w:cols w:num="2" w:equalWidth="0">
            <w:col w:w="5241" w:space="86"/>
            <w:col w:w="5733"/>
          </w:cols>
        </w:sectPr>
      </w:pPr>
    </w:p>
    <w:p>
      <w:pPr>
        <w:pStyle w:val="ListParagraph"/>
        <w:numPr>
          <w:ilvl w:val="2"/>
          <w:numId w:val="16"/>
        </w:numPr>
        <w:tabs>
          <w:tab w:pos="441" w:val="left" w:leader="none"/>
        </w:tabs>
        <w:spacing w:line="233" w:lineRule="exact" w:before="0" w:after="0"/>
        <w:ind w:left="440" w:right="0" w:hanging="284"/>
        <w:jc w:val="left"/>
        <w:rPr>
          <w:sz w:val="20"/>
        </w:rPr>
      </w:pPr>
      <w:r>
        <w:rPr/>
        <w:pict>
          <v:shape style="position:absolute;margin-left:250.657196pt;margin-top:8.424687pt;width:2.95pt;height:5.85pt;mso-position-horizontal-relative:page;mso-position-vertical-relative:paragraph;z-index:-25882214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Amendment</w:t>
      </w:r>
      <w:r>
        <w:rPr>
          <w:spacing w:val="29"/>
          <w:sz w:val="20"/>
        </w:rPr>
        <w:t> </w:t>
      </w:r>
      <w:r>
        <w:rPr>
          <w:sz w:val="20"/>
        </w:rPr>
        <w:t>of</w:t>
      </w:r>
      <w:r>
        <w:rPr>
          <w:spacing w:val="29"/>
          <w:sz w:val="20"/>
        </w:rPr>
        <w:t> </w:t>
      </w:r>
      <w:r>
        <w:rPr>
          <w:sz w:val="20"/>
        </w:rPr>
        <w:t>treaties,</w:t>
      </w:r>
      <w:r>
        <w:rPr>
          <w:spacing w:val="29"/>
          <w:sz w:val="20"/>
        </w:rPr>
        <w:t> </w:t>
      </w:r>
      <w:r>
        <w:rPr>
          <w:sz w:val="20"/>
        </w:rPr>
        <w:t>if</w:t>
      </w:r>
      <w:r>
        <w:rPr>
          <w:spacing w:val="29"/>
          <w:sz w:val="20"/>
        </w:rPr>
        <w:t> </w:t>
      </w:r>
      <w:r>
        <w:rPr>
          <w:sz w:val="20"/>
        </w:rPr>
        <w:t>needed</w:t>
      </w:r>
      <w:r>
        <w:rPr>
          <w:spacing w:val="29"/>
          <w:sz w:val="20"/>
        </w:rPr>
        <w:t> </w:t>
      </w:r>
      <w:r>
        <w:rPr>
          <w:sz w:val="20"/>
        </w:rPr>
        <w:t>to</w:t>
      </w:r>
      <w:r>
        <w:rPr>
          <w:spacing w:val="29"/>
          <w:sz w:val="20"/>
        </w:rPr>
        <w:t> </w:t>
      </w:r>
      <w:r>
        <w:rPr>
          <w:sz w:val="20"/>
        </w:rPr>
        <w:t>permit</w:t>
      </w:r>
      <w:r>
        <w:rPr>
          <w:spacing w:val="29"/>
          <w:sz w:val="20"/>
        </w:rPr>
        <w:t> </w:t>
      </w:r>
      <w:r>
        <w:rPr>
          <w:sz w:val="20"/>
        </w:rPr>
        <w:t>CO</w:t>
      </w:r>
    </w:p>
    <w:p>
      <w:pPr>
        <w:pStyle w:val="BodyText"/>
        <w:spacing w:before="2"/>
        <w:ind w:left="40"/>
      </w:pPr>
      <w:r>
        <w:rPr/>
        <w:br w:type="column"/>
      </w:r>
      <w:r>
        <w:rPr/>
        <w:t>storage,</w:t>
      </w:r>
    </w:p>
    <w:p>
      <w:pPr>
        <w:pStyle w:val="BodyText"/>
        <w:spacing w:before="2"/>
        <w:ind w:left="157"/>
      </w:pPr>
      <w:r>
        <w:rPr/>
        <w:br w:type="column"/>
      </w:r>
      <w:r>
        <w:rPr/>
        <w:t>interpretations of the treaties.</w:t>
      </w:r>
    </w:p>
    <w:p>
      <w:pPr>
        <w:spacing w:after="0"/>
        <w:sectPr>
          <w:type w:val="continuous"/>
          <w:pgSz w:w="12240" w:h="15840"/>
          <w:pgMar w:top="400" w:bottom="280" w:left="580" w:right="600"/>
          <w:cols w:num="3" w:equalWidth="0">
            <w:col w:w="4492" w:space="40"/>
            <w:col w:w="708" w:space="86"/>
            <w:col w:w="5734"/>
          </w:cols>
        </w:sectPr>
      </w:pPr>
    </w:p>
    <w:p>
      <w:pPr>
        <w:pStyle w:val="BodyText"/>
        <w:spacing w:line="249" w:lineRule="auto" w:before="9"/>
        <w:ind w:left="440" w:right="38"/>
        <w:jc w:val="both"/>
      </w:pPr>
      <w:r>
        <w:rPr/>
        <w:t>requires further negotiations, a minimum level of support for their adoption and subsequent entry into force and will amend</w:t>
      </w:r>
      <w:r>
        <w:rPr>
          <w:spacing w:val="-15"/>
        </w:rPr>
        <w:t> </w:t>
      </w:r>
      <w:r>
        <w:rPr/>
        <w:t>earlier</w:t>
      </w:r>
      <w:r>
        <w:rPr>
          <w:spacing w:val="-15"/>
        </w:rPr>
        <w:t> </w:t>
      </w:r>
      <w:r>
        <w:rPr/>
        <w:t>treaties</w:t>
      </w:r>
      <w:r>
        <w:rPr>
          <w:spacing w:val="-15"/>
        </w:rPr>
        <w:t> </w:t>
      </w:r>
      <w:r>
        <w:rPr/>
        <w:t>only</w:t>
      </w:r>
      <w:r>
        <w:rPr>
          <w:spacing w:val="-15"/>
        </w:rPr>
        <w:t> </w:t>
      </w:r>
      <w:r>
        <w:rPr/>
        <w:t>for</w:t>
      </w:r>
      <w:r>
        <w:rPr>
          <w:spacing w:val="-14"/>
        </w:rPr>
        <w:t> </w:t>
      </w:r>
      <w:r>
        <w:rPr/>
        <w:t>those</w:t>
      </w:r>
      <w:r>
        <w:rPr>
          <w:spacing w:val="-15"/>
        </w:rPr>
        <w:t> </w:t>
      </w:r>
      <w:r>
        <w:rPr/>
        <w:t>Parties</w:t>
      </w:r>
      <w:r>
        <w:rPr>
          <w:spacing w:val="-15"/>
        </w:rPr>
        <w:t> </w:t>
      </w:r>
      <w:r>
        <w:rPr/>
        <w:t>that</w:t>
      </w:r>
      <w:r>
        <w:rPr>
          <w:spacing w:val="-15"/>
        </w:rPr>
        <w:t> </w:t>
      </w:r>
      <w:r>
        <w:rPr/>
        <w:t>have</w:t>
      </w:r>
      <w:r>
        <w:rPr>
          <w:spacing w:val="-15"/>
        </w:rPr>
        <w:t> </w:t>
      </w:r>
      <w:r>
        <w:rPr/>
        <w:t>ratified the amendments.</w:t>
      </w:r>
    </w:p>
    <w:p>
      <w:pPr>
        <w:pStyle w:val="BodyText"/>
        <w:spacing w:before="2"/>
        <w:rPr>
          <w:sz w:val="21"/>
        </w:rPr>
      </w:pPr>
    </w:p>
    <w:p>
      <w:pPr>
        <w:spacing w:line="249" w:lineRule="auto" w:before="0"/>
        <w:ind w:left="977" w:right="203" w:hanging="820"/>
        <w:jc w:val="both"/>
        <w:rPr>
          <w:i/>
          <w:sz w:val="20"/>
        </w:rPr>
      </w:pPr>
      <w:r>
        <w:rPr>
          <w:i/>
          <w:sz w:val="20"/>
        </w:rPr>
        <w:t>5.8.1.2  Key issues in the application of the marine </w:t>
      </w:r>
      <w:r>
        <w:rPr>
          <w:i/>
          <w:spacing w:val="-3"/>
          <w:sz w:val="20"/>
        </w:rPr>
        <w:t>treaties </w:t>
      </w:r>
      <w:r>
        <w:rPr>
          <w:i/>
          <w:sz w:val="20"/>
        </w:rPr>
        <w:t>to CO</w:t>
      </w:r>
      <w:r>
        <w:rPr>
          <w:i/>
          <w:position w:val="-6"/>
          <w:sz w:val="11"/>
        </w:rPr>
        <w:t>2</w:t>
      </w:r>
      <w:r>
        <w:rPr>
          <w:i/>
          <w:spacing w:val="22"/>
          <w:position w:val="-6"/>
          <w:sz w:val="11"/>
        </w:rPr>
        <w:t> </w:t>
      </w:r>
      <w:r>
        <w:rPr>
          <w:i/>
          <w:sz w:val="20"/>
        </w:rPr>
        <w:t>storage</w:t>
      </w:r>
    </w:p>
    <w:p>
      <w:pPr>
        <w:pStyle w:val="BodyText"/>
        <w:spacing w:line="181" w:lineRule="exact"/>
        <w:ind w:left="157"/>
        <w:jc w:val="both"/>
      </w:pPr>
      <w:r>
        <w:rPr/>
        <w:t>When</w:t>
      </w:r>
      <w:r>
        <w:rPr>
          <w:spacing w:val="-23"/>
        </w:rPr>
        <w:t> </w:t>
      </w:r>
      <w:r>
        <w:rPr/>
        <w:t>interpreting</w:t>
      </w:r>
      <w:r>
        <w:rPr>
          <w:spacing w:val="-23"/>
        </w:rPr>
        <w:t> </w:t>
      </w:r>
      <w:r>
        <w:rPr/>
        <w:t>the</w:t>
      </w:r>
      <w:r>
        <w:rPr>
          <w:spacing w:val="-23"/>
        </w:rPr>
        <w:t> </w:t>
      </w:r>
      <w:r>
        <w:rPr/>
        <w:t>treaties</w:t>
      </w:r>
      <w:r>
        <w:rPr>
          <w:spacing w:val="-23"/>
        </w:rPr>
        <w:t> </w:t>
      </w:r>
      <w:r>
        <w:rPr/>
        <w:t>for</w:t>
      </w:r>
      <w:r>
        <w:rPr>
          <w:spacing w:val="-23"/>
        </w:rPr>
        <w:t> </w:t>
      </w:r>
      <w:r>
        <w:rPr/>
        <w:t>the</w:t>
      </w:r>
      <w:r>
        <w:rPr>
          <w:spacing w:val="-23"/>
        </w:rPr>
        <w:t> </w:t>
      </w:r>
      <w:r>
        <w:rPr/>
        <w:t>purposes</w:t>
      </w:r>
      <w:r>
        <w:rPr>
          <w:spacing w:val="-23"/>
        </w:rPr>
        <w:t> </w:t>
      </w:r>
      <w:r>
        <w:rPr/>
        <w:t>of</w:t>
      </w:r>
      <w:r>
        <w:rPr>
          <w:spacing w:val="-23"/>
        </w:rPr>
        <w:t> </w:t>
      </w:r>
      <w:r>
        <w:rPr/>
        <w:t>determining</w:t>
      </w:r>
      <w:r>
        <w:rPr>
          <w:spacing w:val="-23"/>
        </w:rPr>
        <w:t> </w:t>
      </w:r>
      <w:r>
        <w:rPr/>
        <w:t>the</w:t>
      </w:r>
    </w:p>
    <w:p>
      <w:pPr>
        <w:pStyle w:val="BodyText"/>
        <w:spacing w:line="240" w:lineRule="exact" w:before="5"/>
        <w:ind w:left="157" w:right="39"/>
        <w:jc w:val="both"/>
      </w:pPr>
      <w:r>
        <w:rPr/>
        <w:t>permissibility of CO</w:t>
      </w:r>
      <w:r>
        <w:rPr>
          <w:position w:val="-6"/>
          <w:sz w:val="11"/>
        </w:rPr>
        <w:t>2 </w:t>
      </w:r>
      <w:r>
        <w:rPr/>
        <w:t>storage, particularly offshore geological storage,</w:t>
      </w:r>
      <w:r>
        <w:rPr>
          <w:spacing w:val="-5"/>
        </w:rPr>
        <w:t> </w:t>
      </w:r>
      <w:r>
        <w:rPr/>
        <w:t>it</w:t>
      </w:r>
      <w:r>
        <w:rPr>
          <w:spacing w:val="-5"/>
        </w:rPr>
        <w:t> </w:t>
      </w:r>
      <w:r>
        <w:rPr/>
        <w:t>is</w:t>
      </w:r>
      <w:r>
        <w:rPr>
          <w:spacing w:val="-5"/>
        </w:rPr>
        <w:t> </w:t>
      </w:r>
      <w:r>
        <w:rPr/>
        <w:t>important</w:t>
      </w:r>
      <w:r>
        <w:rPr>
          <w:spacing w:val="-5"/>
        </w:rPr>
        <w:t> </w:t>
      </w:r>
      <w:r>
        <w:rPr/>
        <w:t>to</w:t>
      </w:r>
      <w:r>
        <w:rPr>
          <w:spacing w:val="-4"/>
        </w:rPr>
        <w:t> </w:t>
      </w:r>
      <w:r>
        <w:rPr/>
        <w:t>bear</w:t>
      </w:r>
      <w:r>
        <w:rPr>
          <w:spacing w:val="-5"/>
        </w:rPr>
        <w:t> </w:t>
      </w:r>
      <w:r>
        <w:rPr/>
        <w:t>in</w:t>
      </w:r>
      <w:r>
        <w:rPr>
          <w:spacing w:val="-5"/>
        </w:rPr>
        <w:t> </w:t>
      </w:r>
      <w:r>
        <w:rPr/>
        <w:t>mind</w:t>
      </w:r>
      <w:r>
        <w:rPr>
          <w:spacing w:val="-5"/>
        </w:rPr>
        <w:t> </w:t>
      </w:r>
      <w:r>
        <w:rPr/>
        <w:t>that</w:t>
      </w:r>
      <w:r>
        <w:rPr>
          <w:spacing w:val="-5"/>
        </w:rPr>
        <w:t> </w:t>
      </w:r>
      <w:r>
        <w:rPr/>
        <w:t>the</w:t>
      </w:r>
      <w:r>
        <w:rPr>
          <w:spacing w:val="-5"/>
        </w:rPr>
        <w:t> </w:t>
      </w:r>
      <w:r>
        <w:rPr/>
        <w:t>treaties</w:t>
      </w:r>
      <w:r>
        <w:rPr>
          <w:spacing w:val="-4"/>
        </w:rPr>
        <w:t> </w:t>
      </w:r>
      <w:r>
        <w:rPr/>
        <w:t>were</w:t>
      </w:r>
      <w:r>
        <w:rPr>
          <w:spacing w:val="-5"/>
        </w:rPr>
        <w:t> </w:t>
      </w:r>
      <w:r>
        <w:rPr/>
        <w:t>not drafted to facilitate geological storage but to prohibit marine dumping. Issues to bear in mind include the following:</w:t>
      </w:r>
    </w:p>
    <w:p>
      <w:pPr>
        <w:pStyle w:val="ListParagraph"/>
        <w:numPr>
          <w:ilvl w:val="2"/>
          <w:numId w:val="16"/>
        </w:numPr>
        <w:tabs>
          <w:tab w:pos="441" w:val="left" w:leader="none"/>
        </w:tabs>
        <w:spacing w:line="240" w:lineRule="exact" w:before="0" w:after="0"/>
        <w:ind w:left="440" w:right="38" w:hanging="284"/>
        <w:jc w:val="both"/>
        <w:rPr>
          <w:sz w:val="20"/>
        </w:rPr>
      </w:pPr>
      <w:r>
        <w:rPr>
          <w:sz w:val="20"/>
        </w:rPr>
        <w:t>Whether storage constitutes ‘dumping’, that is, it does not if the placement of the CO</w:t>
      </w:r>
      <w:r>
        <w:rPr>
          <w:position w:val="-6"/>
          <w:sz w:val="11"/>
        </w:rPr>
        <w:t>2 </w:t>
      </w:r>
      <w:r>
        <w:rPr>
          <w:sz w:val="20"/>
        </w:rPr>
        <w:t>is ‘other than for the purposes of the mere disposal thereof’ in accordance with the United Nations Convention on the Law of the Sea (UNCLOS), the London</w:t>
      </w:r>
      <w:r>
        <w:rPr>
          <w:spacing w:val="-11"/>
          <w:sz w:val="20"/>
        </w:rPr>
        <w:t> </w:t>
      </w:r>
      <w:r>
        <w:rPr>
          <w:sz w:val="20"/>
        </w:rPr>
        <w:t>Convention</w:t>
      </w:r>
      <w:r>
        <w:rPr>
          <w:spacing w:val="-11"/>
          <w:sz w:val="20"/>
        </w:rPr>
        <w:t> </w:t>
      </w:r>
      <w:r>
        <w:rPr>
          <w:sz w:val="20"/>
        </w:rPr>
        <w:t>(LC),</w:t>
      </w:r>
      <w:r>
        <w:rPr>
          <w:spacing w:val="-11"/>
          <w:sz w:val="20"/>
        </w:rPr>
        <w:t> </w:t>
      </w:r>
      <w:r>
        <w:rPr>
          <w:sz w:val="20"/>
        </w:rPr>
        <w:t>the</w:t>
      </w:r>
      <w:r>
        <w:rPr>
          <w:spacing w:val="-11"/>
          <w:sz w:val="20"/>
        </w:rPr>
        <w:t> </w:t>
      </w:r>
      <w:r>
        <w:rPr>
          <w:sz w:val="20"/>
        </w:rPr>
        <w:t>London</w:t>
      </w:r>
      <w:r>
        <w:rPr>
          <w:spacing w:val="-11"/>
          <w:sz w:val="20"/>
        </w:rPr>
        <w:t> </w:t>
      </w:r>
      <w:r>
        <w:rPr>
          <w:sz w:val="20"/>
        </w:rPr>
        <w:t>Protocol</w:t>
      </w:r>
      <w:r>
        <w:rPr>
          <w:spacing w:val="-12"/>
          <w:sz w:val="20"/>
        </w:rPr>
        <w:t> </w:t>
      </w:r>
      <w:r>
        <w:rPr>
          <w:sz w:val="20"/>
        </w:rPr>
        <w:t>(LP)</w:t>
      </w:r>
      <w:r>
        <w:rPr>
          <w:spacing w:val="-10"/>
          <w:sz w:val="20"/>
        </w:rPr>
        <w:t> </w:t>
      </w:r>
      <w:r>
        <w:rPr>
          <w:sz w:val="20"/>
        </w:rPr>
        <w:t>and</w:t>
      </w:r>
      <w:r>
        <w:rPr>
          <w:spacing w:val="-11"/>
          <w:sz w:val="20"/>
        </w:rPr>
        <w:t> </w:t>
      </w:r>
      <w:r>
        <w:rPr>
          <w:sz w:val="20"/>
        </w:rPr>
        <w:t>the Convention for the Protection of the Marine Environment of the North-East Atlantic </w:t>
      </w:r>
      <w:r>
        <w:rPr>
          <w:spacing w:val="-3"/>
          <w:sz w:val="20"/>
        </w:rPr>
        <w:t>(OSPAR). </w:t>
      </w:r>
      <w:r>
        <w:rPr>
          <w:sz w:val="20"/>
        </w:rPr>
        <w:t>Alternative scenarios include experiments and storage for the purposes of enhanced oil recovery;</w:t>
      </w:r>
    </w:p>
    <w:p>
      <w:pPr>
        <w:pStyle w:val="BodyText"/>
        <w:spacing w:line="240" w:lineRule="exact" w:before="4"/>
        <w:ind w:left="157" w:right="524" w:firstLine="283"/>
        <w:jc w:val="both"/>
      </w:pPr>
      <w:r>
        <w:rPr/>
        <w:br w:type="column"/>
      </w:r>
      <w:r>
        <w:rPr/>
        <w:t>In their analysis, Purdy and Macrory (2004) conclude that since stored CO</w:t>
      </w:r>
      <w:r>
        <w:rPr>
          <w:position w:val="-6"/>
          <w:sz w:val="11"/>
        </w:rPr>
        <w:t>2 </w:t>
      </w:r>
      <w:r>
        <w:rPr/>
        <w:t>does not enter the atmosphere, it will not be classed as an ‘emission’ for the purposes of the UNFCCC/KP, but as an ‘emission reduction’. Emission reductions by CO</w:t>
      </w:r>
      <w:r>
        <w:rPr>
          <w:position w:val="-6"/>
          <w:sz w:val="11"/>
        </w:rPr>
        <w:t>2 </w:t>
      </w:r>
      <w:r>
        <w:rPr/>
        <w:t>storage are permitted under the UNFCCC/KP, which allows projects that reduce greenhouse gases at the source. However, the authors consider a potential problem in UNFCCC/KP providing for transparent verification of emission reductions and there could be concerns over permanence, leakage and security.</w:t>
      </w:r>
    </w:p>
    <w:p>
      <w:pPr>
        <w:pStyle w:val="BodyText"/>
        <w:spacing w:line="240" w:lineRule="exact"/>
        <w:ind w:left="157" w:right="517" w:firstLine="283"/>
        <w:jc w:val="both"/>
      </w:pPr>
      <w:r>
        <w:rPr/>
        <w:t>In terms of marine treaties and in relation to </w:t>
      </w:r>
      <w:r>
        <w:rPr>
          <w:spacing w:val="-4"/>
        </w:rPr>
        <w:t>OSPAR, </w:t>
      </w:r>
      <w:r>
        <w:rPr/>
        <w:t>which applies to the North East Atlantic, a report from the </w:t>
      </w:r>
      <w:r>
        <w:rPr>
          <w:spacing w:val="-5"/>
        </w:rPr>
        <w:t>OSPAR </w:t>
      </w:r>
      <w:r>
        <w:rPr/>
        <w:t>Group of Jurists and Linguists contains the State Parties’ interpretation of </w:t>
      </w:r>
      <w:r>
        <w:rPr>
          <w:spacing w:val="-5"/>
        </w:rPr>
        <w:t>OSPAR </w:t>
      </w:r>
      <w:r>
        <w:rPr/>
        <w:t>on the issue of geological (and ocean) offshore storage </w:t>
      </w:r>
      <w:r>
        <w:rPr>
          <w:spacing w:val="-4"/>
        </w:rPr>
        <w:t>(OSPAR </w:t>
      </w:r>
      <w:r>
        <w:rPr/>
        <w:t>Commission, 2004). It concludes that, as there is the possibility of pollution or of other adverse environmental effects, the precautionary principle must be applied. More specifically, the report interprets </w:t>
      </w:r>
      <w:r>
        <w:rPr>
          <w:spacing w:val="-5"/>
        </w:rPr>
        <w:t>OSPAR </w:t>
      </w:r>
      <w:r>
        <w:rPr/>
        <w:t>as allowing CO</w:t>
      </w:r>
      <w:r>
        <w:rPr>
          <w:position w:val="-6"/>
          <w:sz w:val="11"/>
        </w:rPr>
        <w:t>2 </w:t>
      </w:r>
      <w:r>
        <w:rPr/>
        <w:t>placement in the North East Atlantic (including seabed and subsoil) through a </w:t>
      </w:r>
      <w:r>
        <w:rPr>
          <w:i/>
        </w:rPr>
        <w:t>pipeline from land</w:t>
      </w:r>
      <w:r>
        <w:rPr/>
        <w:t>, provided it does not involve subsequent activities through a vessel or an</w:t>
      </w:r>
    </w:p>
    <w:p>
      <w:pPr>
        <w:spacing w:after="0" w:line="240" w:lineRule="exact"/>
        <w:jc w:val="both"/>
        <w:sectPr>
          <w:type w:val="continuous"/>
          <w:pgSz w:w="12240" w:h="15840"/>
          <w:pgMar w:top="400" w:bottom="280" w:left="580" w:right="600"/>
          <w:cols w:num="2" w:equalWidth="0">
            <w:col w:w="5242" w:space="84"/>
            <w:col w:w="5734"/>
          </w:cols>
        </w:sectPr>
      </w:pPr>
    </w:p>
    <w:p>
      <w:pPr>
        <w:pStyle w:val="ListParagraph"/>
        <w:numPr>
          <w:ilvl w:val="2"/>
          <w:numId w:val="16"/>
        </w:numPr>
        <w:tabs>
          <w:tab w:pos="441" w:val="left" w:leader="none"/>
        </w:tabs>
        <w:spacing w:line="236" w:lineRule="exact" w:before="0" w:after="0"/>
        <w:ind w:left="440" w:right="0" w:hanging="284"/>
        <w:jc w:val="left"/>
        <w:rPr>
          <w:sz w:val="20"/>
        </w:rPr>
      </w:pPr>
      <w:r>
        <w:rPr/>
        <w:pict>
          <v:shape style="position:absolute;margin-left:103.404999pt;margin-top:8.551299pt;width:2.95pt;height:5.85pt;mso-position-horizontal-relative:page;mso-position-vertical-relative:paragraph;z-index:-25882316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Whether</w:t>
      </w:r>
      <w:r>
        <w:rPr>
          <w:spacing w:val="31"/>
          <w:sz w:val="20"/>
        </w:rPr>
        <w:t> </w:t>
      </w:r>
      <w:r>
        <w:rPr>
          <w:spacing w:val="-10"/>
          <w:sz w:val="20"/>
        </w:rPr>
        <w:t>CO</w:t>
      </w:r>
    </w:p>
    <w:p>
      <w:pPr>
        <w:pStyle w:val="BodyText"/>
        <w:spacing w:before="5"/>
        <w:ind w:left="99"/>
      </w:pPr>
      <w:r>
        <w:rPr/>
        <w:br w:type="column"/>
      </w:r>
      <w:r>
        <w:rPr/>
        <w:t>storage can benefit from treaty exemptions</w:t>
      </w:r>
    </w:p>
    <w:p>
      <w:pPr>
        <w:pStyle w:val="BodyText"/>
        <w:spacing w:before="5"/>
        <w:ind w:left="157"/>
      </w:pPr>
      <w:r>
        <w:rPr/>
        <w:br w:type="column"/>
      </w:r>
      <w:r>
        <w:rPr/>
        <w:t>offshore installation (e.g., an oil or gas platform). The report</w:t>
      </w:r>
    </w:p>
    <w:p>
      <w:pPr>
        <w:spacing w:after="0"/>
        <w:sectPr>
          <w:type w:val="continuous"/>
          <w:pgSz w:w="12240" w:h="15840"/>
          <w:pgMar w:top="400" w:bottom="280" w:left="580" w:right="600"/>
          <w:cols w:num="3" w:equalWidth="0">
            <w:col w:w="1489" w:space="40"/>
            <w:col w:w="3712" w:space="85"/>
            <w:col w:w="5734"/>
          </w:cols>
        </w:sectPr>
      </w:pPr>
    </w:p>
    <w:p>
      <w:pPr>
        <w:pStyle w:val="BodyText"/>
        <w:spacing w:line="249" w:lineRule="auto" w:before="9"/>
        <w:ind w:left="440" w:right="38"/>
        <w:jc w:val="both"/>
      </w:pPr>
      <w:r>
        <w:rPr/>
        <w:t>concerning wastes arising from the normal operations of offshore</w:t>
      </w:r>
      <w:r>
        <w:rPr>
          <w:spacing w:val="-7"/>
        </w:rPr>
        <w:t> </w:t>
      </w:r>
      <w:r>
        <w:rPr/>
        <w:t>installations</w:t>
      </w:r>
      <w:r>
        <w:rPr>
          <w:spacing w:val="-8"/>
        </w:rPr>
        <w:t> </w:t>
      </w:r>
      <w:r>
        <w:rPr/>
        <w:t>(LC/LP)</w:t>
      </w:r>
      <w:r>
        <w:rPr>
          <w:spacing w:val="-7"/>
        </w:rPr>
        <w:t> </w:t>
      </w:r>
      <w:r>
        <w:rPr/>
        <w:t>or</w:t>
      </w:r>
      <w:r>
        <w:rPr>
          <w:spacing w:val="-7"/>
        </w:rPr>
        <w:t> </w:t>
      </w:r>
      <w:r>
        <w:rPr/>
        <w:t>as</w:t>
      </w:r>
      <w:r>
        <w:rPr>
          <w:spacing w:val="-7"/>
        </w:rPr>
        <w:t> </w:t>
      </w:r>
      <w:r>
        <w:rPr/>
        <w:t>discharges</w:t>
      </w:r>
      <w:r>
        <w:rPr>
          <w:spacing w:val="-7"/>
        </w:rPr>
        <w:t> </w:t>
      </w:r>
      <w:r>
        <w:rPr/>
        <w:t>or</w:t>
      </w:r>
      <w:r>
        <w:rPr>
          <w:spacing w:val="-7"/>
        </w:rPr>
        <w:t> </w:t>
      </w:r>
      <w:r>
        <w:rPr/>
        <w:t>emissions from them </w:t>
      </w:r>
      <w:r>
        <w:rPr>
          <w:spacing w:val="-3"/>
        </w:rPr>
        <w:t>(OSPAR);</w:t>
      </w:r>
    </w:p>
    <w:p>
      <w:pPr>
        <w:pStyle w:val="ListParagraph"/>
        <w:numPr>
          <w:ilvl w:val="2"/>
          <w:numId w:val="16"/>
        </w:numPr>
        <w:tabs>
          <w:tab w:pos="441" w:val="left" w:leader="none"/>
        </w:tabs>
        <w:spacing w:line="249" w:lineRule="auto" w:before="0" w:after="0"/>
        <w:ind w:left="440" w:right="38" w:hanging="284"/>
        <w:jc w:val="both"/>
        <w:rPr>
          <w:sz w:val="20"/>
        </w:rPr>
      </w:pPr>
      <w:r>
        <w:rPr>
          <w:sz w:val="20"/>
        </w:rPr>
        <w:t>Is storage in the seabed expressly covered in the treaties   or is it limited to the water column (UNCLOS, </w:t>
      </w:r>
      <w:r>
        <w:rPr>
          <w:spacing w:val="-4"/>
          <w:sz w:val="20"/>
        </w:rPr>
        <w:t>LC/LP, OSPAR)?</w:t>
      </w:r>
    </w:p>
    <w:p>
      <w:pPr>
        <w:pStyle w:val="ListParagraph"/>
        <w:numPr>
          <w:ilvl w:val="2"/>
          <w:numId w:val="16"/>
        </w:numPr>
        <w:tabs>
          <w:tab w:pos="441" w:val="left" w:leader="none"/>
        </w:tabs>
        <w:spacing w:line="232" w:lineRule="exact" w:before="0" w:after="0"/>
        <w:ind w:left="440" w:right="0" w:hanging="284"/>
        <w:jc w:val="left"/>
        <w:rPr>
          <w:sz w:val="20"/>
        </w:rPr>
      </w:pPr>
      <w:r>
        <w:rPr/>
        <w:pict>
          <v:shape style="position:absolute;margin-left:75.207001pt;margin-top:8.352226pt;width:2.95pt;height:5.85pt;mso-position-horizontal-relative:page;mso-position-vertical-relative:paragraph;z-index:-25882112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Is CO (or the substance captured if containing</w:t>
      </w:r>
      <w:r>
        <w:rPr>
          <w:spacing w:val="39"/>
          <w:sz w:val="20"/>
        </w:rPr>
        <w:t> </w:t>
      </w:r>
      <w:r>
        <w:rPr>
          <w:sz w:val="20"/>
        </w:rPr>
        <w:t>impurities)</w:t>
      </w:r>
    </w:p>
    <w:p>
      <w:pPr>
        <w:pStyle w:val="BodyText"/>
        <w:spacing w:line="240" w:lineRule="exact" w:before="4"/>
        <w:ind w:left="157" w:right="531"/>
        <w:jc w:val="both"/>
      </w:pPr>
      <w:r>
        <w:rPr/>
        <w:br w:type="column"/>
      </w:r>
      <w:r>
        <w:rPr/>
        <w:t>states, however, that placement from a vessel is prohibited, unless for the purpose of experimentation (which would then require being carried out in accordance with other relevant provisions of </w:t>
      </w:r>
      <w:r>
        <w:rPr>
          <w:spacing w:val="-4"/>
        </w:rPr>
        <w:t>OSPAR). </w:t>
      </w:r>
      <w:r>
        <w:rPr/>
        <w:t>In the case of placement in the </w:t>
      </w:r>
      <w:r>
        <w:rPr>
          <w:spacing w:val="-5"/>
        </w:rPr>
        <w:t>OSPAR </w:t>
      </w:r>
      <w:r>
        <w:rPr/>
        <w:t>maritime area from an </w:t>
      </w:r>
      <w:r>
        <w:rPr>
          <w:i/>
        </w:rPr>
        <w:t>offshore installation</w:t>
      </w:r>
      <w:r>
        <w:rPr/>
        <w:t>, this depends </w:t>
      </w:r>
      <w:r>
        <w:rPr>
          <w:spacing w:val="-4"/>
        </w:rPr>
        <w:t>upon </w:t>
      </w:r>
      <w:r>
        <w:rPr/>
        <w:t>whether</w:t>
      </w:r>
      <w:r>
        <w:rPr>
          <w:spacing w:val="-15"/>
        </w:rPr>
        <w:t> </w:t>
      </w:r>
      <w:r>
        <w:rPr/>
        <w:t>the</w:t>
      </w:r>
      <w:r>
        <w:rPr>
          <w:spacing w:val="-14"/>
        </w:rPr>
        <w:t> </w:t>
      </w:r>
      <w:r>
        <w:rPr/>
        <w:t>CO</w:t>
      </w:r>
      <w:r>
        <w:rPr>
          <w:position w:val="-6"/>
          <w:sz w:val="11"/>
        </w:rPr>
        <w:t>2</w:t>
      </w:r>
      <w:r>
        <w:rPr>
          <w:spacing w:val="9"/>
          <w:position w:val="-6"/>
          <w:sz w:val="11"/>
        </w:rPr>
        <w:t> </w:t>
      </w:r>
      <w:r>
        <w:rPr/>
        <w:t>to</w:t>
      </w:r>
      <w:r>
        <w:rPr>
          <w:spacing w:val="-14"/>
        </w:rPr>
        <w:t> </w:t>
      </w:r>
      <w:r>
        <w:rPr/>
        <w:t>be</w:t>
      </w:r>
      <w:r>
        <w:rPr>
          <w:spacing w:val="-14"/>
        </w:rPr>
        <w:t> </w:t>
      </w:r>
      <w:r>
        <w:rPr/>
        <w:t>stored</w:t>
      </w:r>
      <w:r>
        <w:rPr>
          <w:spacing w:val="-14"/>
        </w:rPr>
        <w:t> </w:t>
      </w:r>
      <w:r>
        <w:rPr/>
        <w:t>results</w:t>
      </w:r>
      <w:r>
        <w:rPr>
          <w:spacing w:val="-14"/>
        </w:rPr>
        <w:t> </w:t>
      </w:r>
      <w:r>
        <w:rPr/>
        <w:t>from</w:t>
      </w:r>
      <w:r>
        <w:rPr>
          <w:spacing w:val="-14"/>
        </w:rPr>
        <w:t> </w:t>
      </w:r>
      <w:r>
        <w:rPr/>
        <w:t>offshore</w:t>
      </w:r>
      <w:r>
        <w:rPr>
          <w:spacing w:val="-14"/>
        </w:rPr>
        <w:t> </w:t>
      </w:r>
      <w:r>
        <w:rPr/>
        <w:t>or</w:t>
      </w:r>
      <w:r>
        <w:rPr>
          <w:spacing w:val="-15"/>
        </w:rPr>
        <w:t> </w:t>
      </w:r>
      <w:r>
        <w:rPr/>
        <w:t>land-based activities.</w:t>
      </w:r>
      <w:r>
        <w:rPr>
          <w:spacing w:val="35"/>
        </w:rPr>
        <w:t> </w:t>
      </w:r>
      <w:r>
        <w:rPr/>
        <w:t>In</w:t>
      </w:r>
      <w:r>
        <w:rPr>
          <w:spacing w:val="35"/>
        </w:rPr>
        <w:t> </w:t>
      </w:r>
      <w:r>
        <w:rPr/>
        <w:t>the</w:t>
      </w:r>
      <w:r>
        <w:rPr>
          <w:spacing w:val="35"/>
        </w:rPr>
        <w:t> </w:t>
      </w:r>
      <w:r>
        <w:rPr/>
        <w:t>case</w:t>
      </w:r>
      <w:r>
        <w:rPr>
          <w:spacing w:val="35"/>
        </w:rPr>
        <w:t> </w:t>
      </w:r>
      <w:r>
        <w:rPr/>
        <w:t>of</w:t>
      </w:r>
      <w:r>
        <w:rPr>
          <w:spacing w:val="35"/>
        </w:rPr>
        <w:t> </w:t>
      </w:r>
      <w:r>
        <w:rPr/>
        <w:t>offshore-derived</w:t>
      </w:r>
      <w:r>
        <w:rPr>
          <w:spacing w:val="36"/>
        </w:rPr>
        <w:t> </w:t>
      </w:r>
      <w:r>
        <w:rPr/>
        <w:t>CO</w:t>
      </w:r>
      <w:r>
        <w:rPr>
          <w:position w:val="-6"/>
          <w:sz w:val="11"/>
        </w:rPr>
        <w:t>2</w:t>
      </w:r>
      <w:r>
        <w:rPr/>
        <w:t>,</w:t>
      </w:r>
      <w:r>
        <w:rPr>
          <w:spacing w:val="35"/>
        </w:rPr>
        <w:t> </w:t>
      </w:r>
      <w:r>
        <w:rPr>
          <w:spacing w:val="-2"/>
        </w:rPr>
        <w:t>experimental</w:t>
      </w:r>
    </w:p>
    <w:p>
      <w:pPr>
        <w:spacing w:after="0" w:line="240" w:lineRule="exact"/>
        <w:jc w:val="both"/>
        <w:sectPr>
          <w:type w:val="continuous"/>
          <w:pgSz w:w="12240" w:h="15840"/>
          <w:pgMar w:top="400" w:bottom="280" w:left="580" w:right="600"/>
          <w:cols w:num="2" w:equalWidth="0">
            <w:col w:w="5242" w:space="85"/>
            <w:col w:w="5733"/>
          </w:cols>
        </w:sectPr>
      </w:pPr>
    </w:p>
    <w:p>
      <w:pPr>
        <w:pStyle w:val="BodyText"/>
        <w:tabs>
          <w:tab w:pos="5483" w:val="left" w:leader="none"/>
        </w:tabs>
        <w:spacing w:line="228" w:lineRule="exact"/>
        <w:ind w:left="440"/>
      </w:pPr>
      <w:r>
        <w:rPr/>
        <w:t>an   ‘industrial   waste’   (LC),   ‘hazardous </w:t>
      </w:r>
      <w:r>
        <w:rPr>
          <w:spacing w:val="32"/>
        </w:rPr>
        <w:t> </w:t>
      </w:r>
      <w:r>
        <w:rPr/>
        <w:t>waste’ </w:t>
      </w:r>
      <w:r>
        <w:rPr>
          <w:spacing w:val="35"/>
        </w:rPr>
        <w:t> </w:t>
      </w:r>
      <w:r>
        <w:rPr/>
        <w:t>(Basel</w:t>
        <w:tab/>
        <w:t>placement</w:t>
      </w:r>
      <w:r>
        <w:rPr>
          <w:spacing w:val="-5"/>
        </w:rPr>
        <w:t> </w:t>
      </w:r>
      <w:r>
        <w:rPr/>
        <w:t>will</w:t>
      </w:r>
      <w:r>
        <w:rPr>
          <w:spacing w:val="-5"/>
        </w:rPr>
        <w:t> </w:t>
      </w:r>
      <w:r>
        <w:rPr/>
        <w:t>again</w:t>
      </w:r>
      <w:r>
        <w:rPr>
          <w:spacing w:val="-5"/>
        </w:rPr>
        <w:t> </w:t>
      </w:r>
      <w:r>
        <w:rPr/>
        <w:t>be</w:t>
      </w:r>
      <w:r>
        <w:rPr>
          <w:spacing w:val="-5"/>
        </w:rPr>
        <w:t> </w:t>
      </w:r>
      <w:r>
        <w:rPr/>
        <w:t>subject</w:t>
      </w:r>
      <w:r>
        <w:rPr>
          <w:spacing w:val="-5"/>
        </w:rPr>
        <w:t> </w:t>
      </w:r>
      <w:r>
        <w:rPr/>
        <w:t>to</w:t>
      </w:r>
      <w:r>
        <w:rPr>
          <w:spacing w:val="-5"/>
        </w:rPr>
        <w:t> </w:t>
      </w:r>
      <w:r>
        <w:rPr/>
        <w:t>the</w:t>
      </w:r>
      <w:r>
        <w:rPr>
          <w:spacing w:val="-5"/>
        </w:rPr>
        <w:t> </w:t>
      </w:r>
      <w:r>
        <w:rPr/>
        <w:t>Convention’s</w:t>
      </w:r>
      <w:r>
        <w:rPr>
          <w:spacing w:val="-5"/>
        </w:rPr>
        <w:t> </w:t>
      </w:r>
      <w:r>
        <w:rPr/>
        <w:t>provisions,</w:t>
      </w:r>
    </w:p>
    <w:p>
      <w:pPr>
        <w:spacing w:after="0" w:line="228" w:lineRule="exact"/>
        <w:sectPr>
          <w:type w:val="continuous"/>
          <w:pgSz w:w="12240" w:h="15840"/>
          <w:pgMar w:top="40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553"/>
        <w:jc w:val="both"/>
      </w:pPr>
      <w:bookmarkStart w:name="5.8.2 National regulations and standards" w:id="103"/>
      <w:bookmarkEnd w:id="103"/>
      <w:r>
        <w:rPr/>
      </w:r>
      <w:r>
        <w:rPr/>
        <w:t>while placement for EOR, climate change mitigation or indeed mere disposal will be strictly subject to authorization or regulation.</w:t>
      </w:r>
      <w:r>
        <w:rPr>
          <w:spacing w:val="-21"/>
        </w:rPr>
        <w:t> </w:t>
      </w:r>
      <w:r>
        <w:rPr/>
        <w:t>As</w:t>
      </w:r>
      <w:r>
        <w:rPr>
          <w:spacing w:val="-10"/>
        </w:rPr>
        <w:t> </w:t>
      </w:r>
      <w:r>
        <w:rPr/>
        <w:t>regards</w:t>
      </w:r>
      <w:r>
        <w:rPr>
          <w:spacing w:val="-10"/>
        </w:rPr>
        <w:t> </w:t>
      </w:r>
      <w:r>
        <w:rPr/>
        <w:t>onshore-derived</w:t>
      </w:r>
      <w:r>
        <w:rPr>
          <w:spacing w:val="-9"/>
        </w:rPr>
        <w:t> </w:t>
      </w:r>
      <w:r>
        <w:rPr/>
        <w:t>CO</w:t>
      </w:r>
      <w:r>
        <w:rPr>
          <w:position w:val="-6"/>
          <w:sz w:val="11"/>
        </w:rPr>
        <w:t>2</w:t>
      </w:r>
      <w:r>
        <w:rPr/>
        <w:t>,</w:t>
      </w:r>
      <w:r>
        <w:rPr>
          <w:spacing w:val="-10"/>
        </w:rPr>
        <w:t> </w:t>
      </w:r>
      <w:r>
        <w:rPr/>
        <w:t>placement</w:t>
      </w:r>
      <w:r>
        <w:rPr>
          <w:spacing w:val="-10"/>
        </w:rPr>
        <w:t> </w:t>
      </w:r>
      <w:r>
        <w:rPr/>
        <w:t>only</w:t>
      </w:r>
      <w:r>
        <w:rPr>
          <w:spacing w:val="-9"/>
        </w:rPr>
        <w:t> </w:t>
      </w:r>
      <w:r>
        <w:rPr/>
        <w:t>for experimental or EOR purposes will be allowed, subject to the same</w:t>
      </w:r>
      <w:r>
        <w:rPr>
          <w:spacing w:val="-9"/>
        </w:rPr>
        <w:t> </w:t>
      </w:r>
      <w:r>
        <w:rPr/>
        <w:t>caveats</w:t>
      </w:r>
      <w:r>
        <w:rPr>
          <w:spacing w:val="-8"/>
        </w:rPr>
        <w:t> </w:t>
      </w:r>
      <w:r>
        <w:rPr/>
        <w:t>as</w:t>
      </w:r>
      <w:r>
        <w:rPr>
          <w:spacing w:val="-8"/>
        </w:rPr>
        <w:t> </w:t>
      </w:r>
      <w:r>
        <w:rPr/>
        <w:t>for</w:t>
      </w:r>
      <w:r>
        <w:rPr>
          <w:spacing w:val="-7"/>
        </w:rPr>
        <w:t> </w:t>
      </w:r>
      <w:r>
        <w:rPr/>
        <w:t>offshore-derived</w:t>
      </w:r>
      <w:r>
        <w:rPr>
          <w:spacing w:val="-9"/>
        </w:rPr>
        <w:t> </w:t>
      </w:r>
      <w:r>
        <w:rPr/>
        <w:t>CO</w:t>
      </w:r>
      <w:r>
        <w:rPr>
          <w:position w:val="-6"/>
          <w:sz w:val="11"/>
        </w:rPr>
        <w:t>2</w:t>
      </w:r>
      <w:r>
        <w:rPr/>
        <w:t>.</w:t>
      </w:r>
      <w:r>
        <w:rPr>
          <w:spacing w:val="-11"/>
        </w:rPr>
        <w:t> </w:t>
      </w:r>
      <w:r>
        <w:rPr/>
        <w:t>The</w:t>
      </w:r>
      <w:r>
        <w:rPr>
          <w:spacing w:val="-9"/>
        </w:rPr>
        <w:t> </w:t>
      </w:r>
      <w:r>
        <w:rPr/>
        <w:t>report</w:t>
      </w:r>
      <w:r>
        <w:rPr>
          <w:spacing w:val="-8"/>
        </w:rPr>
        <w:t> </w:t>
      </w:r>
      <w:r>
        <w:rPr/>
        <w:t>concludes that, since the applicable </w:t>
      </w:r>
      <w:r>
        <w:rPr>
          <w:spacing w:val="-5"/>
        </w:rPr>
        <w:t>OSPAR </w:t>
      </w:r>
      <w:r>
        <w:rPr/>
        <w:t>regime  is  determined  by the method and purpose of placement and not by the effect of placement on the marine environment, the results may well   be that placements with different impacts on the environment (for example, placement in the water column and placement in underground strata) may not be distinguished, while different methods of placement having the same impact may be treated differently. A similar analytical exercise concerning the</w:t>
      </w:r>
      <w:r>
        <w:rPr>
          <w:spacing w:val="-17"/>
        </w:rPr>
        <w:t> </w:t>
      </w:r>
      <w:r>
        <w:rPr/>
        <w:t>LC/LP has been initiated by Parties to that</w:t>
      </w:r>
      <w:r>
        <w:rPr>
          <w:spacing w:val="-3"/>
        </w:rPr>
        <w:t> </w:t>
      </w:r>
      <w:r>
        <w:rPr/>
        <w:t>Convention.</w:t>
      </w:r>
    </w:p>
    <w:p>
      <w:pPr>
        <w:pStyle w:val="BodyText"/>
        <w:spacing w:line="240" w:lineRule="exact"/>
        <w:ind w:left="553" w:right="4" w:firstLine="283"/>
        <w:jc w:val="both"/>
      </w:pPr>
      <w:r>
        <w:rPr/>
        <w:t>There is uncertainty regarding the extent to which</w:t>
      </w:r>
      <w:r>
        <w:rPr>
          <w:spacing w:val="25"/>
        </w:rPr>
        <w:t> </w:t>
      </w:r>
      <w:r>
        <w:rPr/>
        <w:t>CO</w:t>
      </w:r>
      <w:r>
        <w:rPr>
          <w:position w:val="-6"/>
          <w:sz w:val="11"/>
        </w:rPr>
        <w:t>2 </w:t>
      </w:r>
      <w:r>
        <w:rPr/>
        <w:t>storage falls under the jurisdiction of the marine treaties. Some authors argue they will probably not allow such storage or that the</w:t>
      </w:r>
      <w:r>
        <w:rPr>
          <w:spacing w:val="-10"/>
        </w:rPr>
        <w:t> </w:t>
      </w:r>
      <w:r>
        <w:rPr/>
        <w:t>LC</w:t>
      </w:r>
      <w:r>
        <w:rPr>
          <w:spacing w:val="-10"/>
        </w:rPr>
        <w:t> </w:t>
      </w:r>
      <w:r>
        <w:rPr/>
        <w:t>(globally)</w:t>
      </w:r>
      <w:r>
        <w:rPr>
          <w:spacing w:val="-10"/>
        </w:rPr>
        <w:t> </w:t>
      </w:r>
      <w:r>
        <w:rPr/>
        <w:t>and</w:t>
      </w:r>
      <w:r>
        <w:rPr>
          <w:spacing w:val="-10"/>
        </w:rPr>
        <w:t> </w:t>
      </w:r>
      <w:r>
        <w:rPr>
          <w:spacing w:val="-5"/>
        </w:rPr>
        <w:t>OSPAR</w:t>
      </w:r>
      <w:r>
        <w:rPr>
          <w:spacing w:val="-10"/>
        </w:rPr>
        <w:t> </w:t>
      </w:r>
      <w:r>
        <w:rPr/>
        <w:t>(in</w:t>
      </w:r>
      <w:r>
        <w:rPr>
          <w:spacing w:val="-10"/>
        </w:rPr>
        <w:t> </w:t>
      </w:r>
      <w:r>
        <w:rPr/>
        <w:t>the</w:t>
      </w:r>
      <w:r>
        <w:rPr>
          <w:spacing w:val="-10"/>
        </w:rPr>
        <w:t> </w:t>
      </w:r>
      <w:r>
        <w:rPr/>
        <w:t>North</w:t>
      </w:r>
      <w:r>
        <w:rPr>
          <w:spacing w:val="-9"/>
        </w:rPr>
        <w:t> </w:t>
      </w:r>
      <w:r>
        <w:rPr/>
        <w:t>East</w:t>
      </w:r>
      <w:r>
        <w:rPr>
          <w:spacing w:val="-21"/>
        </w:rPr>
        <w:t> </w:t>
      </w:r>
      <w:r>
        <w:rPr/>
        <w:t>Atlantic)</w:t>
      </w:r>
      <w:r>
        <w:rPr>
          <w:spacing w:val="-10"/>
        </w:rPr>
        <w:t> </w:t>
      </w:r>
      <w:r>
        <w:rPr/>
        <w:t>could significantly restrict geological offshore storage (Lenstra and van Engelenburg, 2002; Bewers, 2003). Specifically regarding the issues raised above, the following propositions have </w:t>
      </w:r>
      <w:r>
        <w:rPr>
          <w:spacing w:val="-3"/>
        </w:rPr>
        <w:t>been </w:t>
      </w:r>
      <w:r>
        <w:rPr/>
        <w:t>suggested:</w:t>
      </w:r>
    </w:p>
    <w:p>
      <w:pPr>
        <w:pStyle w:val="ListParagraph"/>
        <w:numPr>
          <w:ilvl w:val="3"/>
          <w:numId w:val="16"/>
        </w:numPr>
        <w:tabs>
          <w:tab w:pos="838" w:val="left" w:leader="none"/>
        </w:tabs>
        <w:spacing w:line="240" w:lineRule="exact" w:before="0" w:after="0"/>
        <w:ind w:left="837" w:right="4" w:hanging="284"/>
        <w:jc w:val="both"/>
        <w:rPr>
          <w:sz w:val="20"/>
        </w:rPr>
      </w:pPr>
      <w:r>
        <w:rPr/>
        <w:pict>
          <v:shape style="position:absolute;margin-left:188.475906pt;margin-top:8.557500pt;width:2.95pt;height:5.85pt;mso-position-horizontal-relative:page;mso-position-vertical-relative:paragraph;z-index:-25882009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The long-term storage of CO amounts to ‘dumping’ under the conventions (Purdy and </w:t>
      </w:r>
      <w:r>
        <w:rPr>
          <w:spacing w:val="-3"/>
          <w:sz w:val="20"/>
        </w:rPr>
        <w:t>Macrory, </w:t>
      </w:r>
      <w:r>
        <w:rPr>
          <w:sz w:val="20"/>
        </w:rPr>
        <w:t>2004); if CO</w:t>
      </w:r>
      <w:r>
        <w:rPr>
          <w:position w:val="-6"/>
          <w:sz w:val="11"/>
        </w:rPr>
        <w:t>2 </w:t>
      </w:r>
      <w:r>
        <w:rPr>
          <w:sz w:val="20"/>
        </w:rPr>
        <w:t>were to be injected for an industrial purpose, that is, EOR, it would not be considered dumping of waste and would be allowed under the LC </w:t>
      </w:r>
      <w:r>
        <w:rPr>
          <w:spacing w:val="-4"/>
          <w:sz w:val="20"/>
        </w:rPr>
        <w:t>(Wall </w:t>
      </w:r>
      <w:r>
        <w:rPr>
          <w:i/>
          <w:sz w:val="20"/>
        </w:rPr>
        <w:t>et al.</w:t>
      </w:r>
      <w:r>
        <w:rPr>
          <w:sz w:val="20"/>
        </w:rPr>
        <w:t>,</w:t>
      </w:r>
      <w:r>
        <w:rPr>
          <w:spacing w:val="3"/>
          <w:sz w:val="20"/>
        </w:rPr>
        <w:t> </w:t>
      </w:r>
      <w:r>
        <w:rPr>
          <w:sz w:val="20"/>
        </w:rPr>
        <w:t>2005);</w:t>
      </w:r>
    </w:p>
    <w:p>
      <w:pPr>
        <w:pStyle w:val="BodyText"/>
        <w:spacing w:line="249" w:lineRule="auto" w:before="63"/>
        <w:ind w:left="235" w:right="120"/>
        <w:jc w:val="both"/>
      </w:pPr>
      <w:r>
        <w:rPr/>
        <w:br w:type="column"/>
      </w:r>
      <w:r>
        <w:rPr/>
        <w:t>sources.</w:t>
      </w:r>
      <w:r>
        <w:rPr>
          <w:spacing w:val="-21"/>
        </w:rPr>
        <w:t> </w:t>
      </w:r>
      <w:r>
        <w:rPr/>
        <w:t>Any</w:t>
      </w:r>
      <w:r>
        <w:rPr>
          <w:spacing w:val="-10"/>
        </w:rPr>
        <w:t> </w:t>
      </w:r>
      <w:r>
        <w:rPr/>
        <w:t>such</w:t>
      </w:r>
      <w:r>
        <w:rPr>
          <w:spacing w:val="-11"/>
        </w:rPr>
        <w:t> </w:t>
      </w:r>
      <w:r>
        <w:rPr/>
        <w:t>discharges</w:t>
      </w:r>
      <w:r>
        <w:rPr>
          <w:spacing w:val="-10"/>
        </w:rPr>
        <w:t> </w:t>
      </w:r>
      <w:r>
        <w:rPr/>
        <w:t>would</w:t>
      </w:r>
      <w:r>
        <w:rPr>
          <w:spacing w:val="-10"/>
        </w:rPr>
        <w:t> </w:t>
      </w:r>
      <w:r>
        <w:rPr/>
        <w:t>probably</w:t>
      </w:r>
      <w:r>
        <w:rPr>
          <w:spacing w:val="-11"/>
        </w:rPr>
        <w:t> </w:t>
      </w:r>
      <w:r>
        <w:rPr/>
        <w:t>be</w:t>
      </w:r>
      <w:r>
        <w:rPr>
          <w:spacing w:val="-10"/>
        </w:rPr>
        <w:t> </w:t>
      </w:r>
      <w:r>
        <w:rPr/>
        <w:t>excluded</w:t>
      </w:r>
      <w:r>
        <w:rPr>
          <w:spacing w:val="-10"/>
        </w:rPr>
        <w:t> </w:t>
      </w:r>
      <w:r>
        <w:rPr/>
        <w:t>from control</w:t>
      </w:r>
      <w:r>
        <w:rPr>
          <w:spacing w:val="-6"/>
        </w:rPr>
        <w:t> </w:t>
      </w:r>
      <w:r>
        <w:rPr/>
        <w:t>by</w:t>
      </w:r>
      <w:r>
        <w:rPr>
          <w:spacing w:val="-6"/>
        </w:rPr>
        <w:t> </w:t>
      </w:r>
      <w:r>
        <w:rPr/>
        <w:t>the</w:t>
      </w:r>
      <w:r>
        <w:rPr>
          <w:spacing w:val="-6"/>
        </w:rPr>
        <w:t> </w:t>
      </w:r>
      <w:r>
        <w:rPr/>
        <w:t>LC</w:t>
      </w:r>
      <w:r>
        <w:rPr>
          <w:spacing w:val="-5"/>
        </w:rPr>
        <w:t> </w:t>
      </w:r>
      <w:r>
        <w:rPr/>
        <w:t>because</w:t>
      </w:r>
      <w:r>
        <w:rPr>
          <w:spacing w:val="-6"/>
        </w:rPr>
        <w:t> </w:t>
      </w:r>
      <w:r>
        <w:rPr/>
        <w:t>it</w:t>
      </w:r>
      <w:r>
        <w:rPr>
          <w:spacing w:val="-6"/>
        </w:rPr>
        <w:t> </w:t>
      </w:r>
      <w:r>
        <w:rPr/>
        <w:t>would</w:t>
      </w:r>
      <w:r>
        <w:rPr>
          <w:spacing w:val="-5"/>
        </w:rPr>
        <w:t> </w:t>
      </w:r>
      <w:r>
        <w:rPr/>
        <w:t>not</w:t>
      </w:r>
      <w:r>
        <w:rPr>
          <w:spacing w:val="-6"/>
        </w:rPr>
        <w:t> </w:t>
      </w:r>
      <w:r>
        <w:rPr/>
        <w:t>involve</w:t>
      </w:r>
      <w:r>
        <w:rPr>
          <w:spacing w:val="-6"/>
        </w:rPr>
        <w:t> </w:t>
      </w:r>
      <w:r>
        <w:rPr/>
        <w:t>‘disposal</w:t>
      </w:r>
      <w:r>
        <w:rPr>
          <w:spacing w:val="-5"/>
        </w:rPr>
        <w:t> </w:t>
      </w:r>
      <w:r>
        <w:rPr/>
        <w:t>at</w:t>
      </w:r>
      <w:r>
        <w:rPr>
          <w:spacing w:val="-6"/>
        </w:rPr>
        <w:t> </w:t>
      </w:r>
      <w:r>
        <w:rPr/>
        <w:t>sea’ </w:t>
      </w:r>
      <w:r>
        <w:rPr>
          <w:spacing w:val="-4"/>
        </w:rPr>
        <w:t>(Wall</w:t>
      </w:r>
      <w:r>
        <w:rPr>
          <w:spacing w:val="-15"/>
        </w:rPr>
        <w:t> </w:t>
      </w:r>
      <w:r>
        <w:rPr>
          <w:i/>
        </w:rPr>
        <w:t>et</w:t>
      </w:r>
      <w:r>
        <w:rPr>
          <w:i/>
          <w:spacing w:val="-14"/>
        </w:rPr>
        <w:t> </w:t>
      </w:r>
      <w:r>
        <w:rPr>
          <w:i/>
        </w:rPr>
        <w:t>al.</w:t>
      </w:r>
      <w:r>
        <w:rPr/>
        <w:t>,</w:t>
      </w:r>
      <w:r>
        <w:rPr>
          <w:spacing w:val="-14"/>
        </w:rPr>
        <w:t> </w:t>
      </w:r>
      <w:r>
        <w:rPr/>
        <w:t>2005).</w:t>
      </w:r>
      <w:r>
        <w:rPr>
          <w:spacing w:val="-15"/>
        </w:rPr>
        <w:t> </w:t>
      </w:r>
      <w:r>
        <w:rPr/>
        <w:t>Under</w:t>
      </w:r>
      <w:r>
        <w:rPr>
          <w:spacing w:val="-14"/>
        </w:rPr>
        <w:t> </w:t>
      </w:r>
      <w:r>
        <w:rPr>
          <w:spacing w:val="-4"/>
        </w:rPr>
        <w:t>OSPAR,</w:t>
      </w:r>
      <w:r>
        <w:rPr>
          <w:spacing w:val="-14"/>
        </w:rPr>
        <w:t> </w:t>
      </w:r>
      <w:r>
        <w:rPr/>
        <w:t>however,</w:t>
      </w:r>
      <w:r>
        <w:rPr>
          <w:spacing w:val="-15"/>
        </w:rPr>
        <w:t> </w:t>
      </w:r>
      <w:r>
        <w:rPr/>
        <w:t>States</w:t>
      </w:r>
      <w:r>
        <w:rPr>
          <w:spacing w:val="-14"/>
        </w:rPr>
        <w:t> </w:t>
      </w:r>
      <w:r>
        <w:rPr/>
        <w:t>have</w:t>
      </w:r>
      <w:r>
        <w:rPr>
          <w:spacing w:val="-14"/>
        </w:rPr>
        <w:t> </w:t>
      </w:r>
      <w:r>
        <w:rPr/>
        <w:t>general environmental obligations with respect to land-based sources (Purdy</w:t>
      </w:r>
      <w:r>
        <w:rPr>
          <w:spacing w:val="-10"/>
        </w:rPr>
        <w:t> </w:t>
      </w:r>
      <w:r>
        <w:rPr/>
        <w:t>and</w:t>
      </w:r>
      <w:r>
        <w:rPr>
          <w:spacing w:val="-10"/>
        </w:rPr>
        <w:t> </w:t>
      </w:r>
      <w:r>
        <w:rPr>
          <w:spacing w:val="-3"/>
        </w:rPr>
        <w:t>Macrory,</w:t>
      </w:r>
      <w:r>
        <w:rPr>
          <w:spacing w:val="-10"/>
        </w:rPr>
        <w:t> </w:t>
      </w:r>
      <w:r>
        <w:rPr/>
        <w:t>2004)</w:t>
      </w:r>
      <w:r>
        <w:rPr>
          <w:spacing w:val="-10"/>
        </w:rPr>
        <w:t> </w:t>
      </w:r>
      <w:r>
        <w:rPr/>
        <w:t>(and</w:t>
      </w:r>
      <w:r>
        <w:rPr>
          <w:spacing w:val="-10"/>
        </w:rPr>
        <w:t> </w:t>
      </w:r>
      <w:r>
        <w:rPr/>
        <w:t>discharges</w:t>
      </w:r>
      <w:r>
        <w:rPr>
          <w:spacing w:val="-10"/>
        </w:rPr>
        <w:t> </w:t>
      </w:r>
      <w:r>
        <w:rPr/>
        <w:t>from</w:t>
      </w:r>
      <w:r>
        <w:rPr>
          <w:spacing w:val="-10"/>
        </w:rPr>
        <w:t> </w:t>
      </w:r>
      <w:r>
        <w:rPr/>
        <w:t>pipelines</w:t>
      </w:r>
      <w:r>
        <w:rPr>
          <w:spacing w:val="-10"/>
        </w:rPr>
        <w:t> </w:t>
      </w:r>
      <w:r>
        <w:rPr/>
        <w:t>from land will be regulated, although not</w:t>
      </w:r>
      <w:r>
        <w:rPr>
          <w:spacing w:val="-2"/>
        </w:rPr>
        <w:t> </w:t>
      </w:r>
      <w:r>
        <w:rPr/>
        <w:t>prohibited).</w:t>
      </w:r>
    </w:p>
    <w:p>
      <w:pPr>
        <w:pStyle w:val="BodyText"/>
        <w:spacing w:before="3"/>
        <w:rPr>
          <w:sz w:val="21"/>
        </w:rPr>
      </w:pPr>
    </w:p>
    <w:p>
      <w:pPr>
        <w:pStyle w:val="Heading2"/>
        <w:numPr>
          <w:ilvl w:val="2"/>
          <w:numId w:val="7"/>
        </w:numPr>
        <w:tabs>
          <w:tab w:pos="1055" w:val="left" w:leader="none"/>
          <w:tab w:pos="1056" w:val="left" w:leader="none"/>
        </w:tabs>
        <w:spacing w:line="240" w:lineRule="auto" w:before="1" w:after="0"/>
        <w:ind w:left="1055" w:right="0" w:hanging="821"/>
        <w:jc w:val="left"/>
        <w:rPr>
          <w:i/>
        </w:rPr>
      </w:pPr>
      <w:r>
        <w:rPr>
          <w:i/>
        </w:rPr>
        <w:t>National regulations and</w:t>
      </w:r>
      <w:r>
        <w:rPr>
          <w:i/>
          <w:spacing w:val="-5"/>
        </w:rPr>
        <w:t> </w:t>
      </w:r>
      <w:r>
        <w:rPr>
          <w:i/>
        </w:rPr>
        <w:t>standards</w:t>
      </w:r>
    </w:p>
    <w:p>
      <w:pPr>
        <w:pStyle w:val="BodyText"/>
        <w:spacing w:before="3"/>
        <w:rPr>
          <w:b/>
          <w:i/>
          <w:sz w:val="21"/>
        </w:rPr>
      </w:pPr>
    </w:p>
    <w:p>
      <w:pPr>
        <w:pStyle w:val="BodyText"/>
        <w:spacing w:line="240" w:lineRule="exact"/>
        <w:ind w:left="235" w:right="133"/>
        <w:jc w:val="both"/>
      </w:pPr>
      <w:r>
        <w:rPr/>
        <w:t>States can regulate subsurface injection and storage of CO</w:t>
      </w:r>
      <w:r>
        <w:rPr>
          <w:position w:val="-6"/>
          <w:sz w:val="11"/>
        </w:rPr>
        <w:t>2 </w:t>
      </w:r>
      <w:r>
        <w:rPr/>
        <w:t>within their jurisdiction in accordance with their national rules and</w:t>
      </w:r>
      <w:r>
        <w:rPr>
          <w:spacing w:val="-18"/>
        </w:rPr>
        <w:t> </w:t>
      </w:r>
      <w:r>
        <w:rPr/>
        <w:t>regulations.</w:t>
      </w:r>
      <w:r>
        <w:rPr>
          <w:spacing w:val="-17"/>
        </w:rPr>
        <w:t> </w:t>
      </w:r>
      <w:r>
        <w:rPr/>
        <w:t>Such</w:t>
      </w:r>
      <w:r>
        <w:rPr>
          <w:spacing w:val="-17"/>
        </w:rPr>
        <w:t> </w:t>
      </w:r>
      <w:r>
        <w:rPr/>
        <w:t>rules</w:t>
      </w:r>
      <w:r>
        <w:rPr>
          <w:spacing w:val="-18"/>
        </w:rPr>
        <w:t> </w:t>
      </w:r>
      <w:r>
        <w:rPr/>
        <w:t>and</w:t>
      </w:r>
      <w:r>
        <w:rPr>
          <w:spacing w:val="-17"/>
        </w:rPr>
        <w:t> </w:t>
      </w:r>
      <w:r>
        <w:rPr/>
        <w:t>regulations</w:t>
      </w:r>
      <w:r>
        <w:rPr>
          <w:spacing w:val="-17"/>
        </w:rPr>
        <w:t> </w:t>
      </w:r>
      <w:r>
        <w:rPr/>
        <w:t>could</w:t>
      </w:r>
      <w:r>
        <w:rPr>
          <w:spacing w:val="-18"/>
        </w:rPr>
        <w:t> </w:t>
      </w:r>
      <w:r>
        <w:rPr/>
        <w:t>be</w:t>
      </w:r>
      <w:r>
        <w:rPr>
          <w:spacing w:val="-17"/>
        </w:rPr>
        <w:t> </w:t>
      </w:r>
      <w:r>
        <w:rPr/>
        <w:t>provided</w:t>
      </w:r>
      <w:r>
        <w:rPr>
          <w:spacing w:val="-17"/>
        </w:rPr>
        <w:t> </w:t>
      </w:r>
      <w:r>
        <w:rPr/>
        <w:t>by the mining laws, resource conservation laws, laws on drinking </w:t>
      </w:r>
      <w:r>
        <w:rPr>
          <w:spacing w:val="-3"/>
        </w:rPr>
        <w:t>water,</w:t>
      </w:r>
      <w:r>
        <w:rPr>
          <w:spacing w:val="-9"/>
        </w:rPr>
        <w:t> </w:t>
      </w:r>
      <w:r>
        <w:rPr/>
        <w:t>waste</w:t>
      </w:r>
      <w:r>
        <w:rPr>
          <w:spacing w:val="-10"/>
        </w:rPr>
        <w:t> </w:t>
      </w:r>
      <w:r>
        <w:rPr/>
        <w:t>disposal,</w:t>
      </w:r>
      <w:r>
        <w:rPr>
          <w:spacing w:val="-9"/>
        </w:rPr>
        <w:t> </w:t>
      </w:r>
      <w:r>
        <w:rPr/>
        <w:t>oil</w:t>
      </w:r>
      <w:r>
        <w:rPr>
          <w:spacing w:val="-10"/>
        </w:rPr>
        <w:t> </w:t>
      </w:r>
      <w:r>
        <w:rPr/>
        <w:t>and</w:t>
      </w:r>
      <w:r>
        <w:rPr>
          <w:spacing w:val="-9"/>
        </w:rPr>
        <w:t> </w:t>
      </w:r>
      <w:r>
        <w:rPr/>
        <w:t>gas</w:t>
      </w:r>
      <w:r>
        <w:rPr>
          <w:spacing w:val="-9"/>
        </w:rPr>
        <w:t> </w:t>
      </w:r>
      <w:r>
        <w:rPr/>
        <w:t>production,</w:t>
      </w:r>
      <w:r>
        <w:rPr>
          <w:spacing w:val="-10"/>
        </w:rPr>
        <w:t> </w:t>
      </w:r>
      <w:r>
        <w:rPr/>
        <w:t>treatment</w:t>
      </w:r>
      <w:r>
        <w:rPr>
          <w:spacing w:val="-10"/>
        </w:rPr>
        <w:t> </w:t>
      </w:r>
      <w:r>
        <w:rPr/>
        <w:t>of</w:t>
      </w:r>
      <w:r>
        <w:rPr>
          <w:spacing w:val="-9"/>
        </w:rPr>
        <w:t> </w:t>
      </w:r>
      <w:r>
        <w:rPr/>
        <w:t>high- pressurized</w:t>
      </w:r>
      <w:r>
        <w:rPr>
          <w:spacing w:val="-14"/>
        </w:rPr>
        <w:t> </w:t>
      </w:r>
      <w:r>
        <w:rPr/>
        <w:t>gases</w:t>
      </w:r>
      <w:r>
        <w:rPr>
          <w:spacing w:val="-14"/>
        </w:rPr>
        <w:t> </w:t>
      </w:r>
      <w:r>
        <w:rPr/>
        <w:t>and</w:t>
      </w:r>
      <w:r>
        <w:rPr>
          <w:spacing w:val="-14"/>
        </w:rPr>
        <w:t> </w:t>
      </w:r>
      <w:r>
        <w:rPr/>
        <w:t>others.</w:t>
      </w:r>
      <w:r>
        <w:rPr>
          <w:spacing w:val="-24"/>
        </w:rPr>
        <w:t> </w:t>
      </w:r>
      <w:r>
        <w:rPr/>
        <w:t>An</w:t>
      </w:r>
      <w:r>
        <w:rPr>
          <w:spacing w:val="-14"/>
        </w:rPr>
        <w:t> </w:t>
      </w:r>
      <w:r>
        <w:rPr/>
        <w:t>analysis</w:t>
      </w:r>
      <w:r>
        <w:rPr>
          <w:spacing w:val="-13"/>
        </w:rPr>
        <w:t> </w:t>
      </w:r>
      <w:r>
        <w:rPr/>
        <w:t>of</w:t>
      </w:r>
      <w:r>
        <w:rPr>
          <w:spacing w:val="-14"/>
        </w:rPr>
        <w:t> </w:t>
      </w:r>
      <w:r>
        <w:rPr/>
        <w:t>existing</w:t>
      </w:r>
      <w:r>
        <w:rPr>
          <w:spacing w:val="-14"/>
        </w:rPr>
        <w:t> </w:t>
      </w:r>
      <w:r>
        <w:rPr/>
        <w:t>regulations in North America, Europe, Japan and Australia highlights the lack</w:t>
      </w:r>
      <w:r>
        <w:rPr>
          <w:spacing w:val="-8"/>
        </w:rPr>
        <w:t> </w:t>
      </w:r>
      <w:r>
        <w:rPr/>
        <w:t>of</w:t>
      </w:r>
      <w:r>
        <w:rPr>
          <w:spacing w:val="-8"/>
        </w:rPr>
        <w:t> </w:t>
      </w:r>
      <w:r>
        <w:rPr/>
        <w:t>regulations</w:t>
      </w:r>
      <w:r>
        <w:rPr>
          <w:spacing w:val="-8"/>
        </w:rPr>
        <w:t> </w:t>
      </w:r>
      <w:r>
        <w:rPr/>
        <w:t>that</w:t>
      </w:r>
      <w:r>
        <w:rPr>
          <w:spacing w:val="-7"/>
        </w:rPr>
        <w:t> </w:t>
      </w:r>
      <w:r>
        <w:rPr/>
        <w:t>are</w:t>
      </w:r>
      <w:r>
        <w:rPr>
          <w:spacing w:val="-8"/>
        </w:rPr>
        <w:t> </w:t>
      </w:r>
      <w:r>
        <w:rPr/>
        <w:t>specifically</w:t>
      </w:r>
      <w:r>
        <w:rPr>
          <w:spacing w:val="-8"/>
        </w:rPr>
        <w:t> </w:t>
      </w:r>
      <w:r>
        <w:rPr/>
        <w:t>relevant</w:t>
      </w:r>
      <w:r>
        <w:rPr>
          <w:spacing w:val="-7"/>
        </w:rPr>
        <w:t> </w:t>
      </w:r>
      <w:r>
        <w:rPr/>
        <w:t>for</w:t>
      </w:r>
      <w:r>
        <w:rPr>
          <w:spacing w:val="-8"/>
        </w:rPr>
        <w:t> </w:t>
      </w:r>
      <w:r>
        <w:rPr/>
        <w:t>CO</w:t>
      </w:r>
      <w:r>
        <w:rPr>
          <w:position w:val="-6"/>
          <w:sz w:val="11"/>
        </w:rPr>
        <w:t>2</w:t>
      </w:r>
      <w:r>
        <w:rPr>
          <w:spacing w:val="15"/>
          <w:position w:val="-6"/>
          <w:sz w:val="11"/>
        </w:rPr>
        <w:t> </w:t>
      </w:r>
      <w:r>
        <w:rPr/>
        <w:t>storage and the lack of clarity relating to post-injection responsibilities (IEA-GHG, 2003; IOGCC, 2005).</w:t>
      </w:r>
    </w:p>
    <w:p>
      <w:pPr>
        <w:pStyle w:val="BodyText"/>
        <w:spacing w:line="240" w:lineRule="exact"/>
        <w:ind w:left="235" w:right="134" w:firstLine="283"/>
        <w:jc w:val="both"/>
      </w:pPr>
      <w:r>
        <w:rPr/>
        <w:t>Presently, CO</w:t>
      </w:r>
      <w:r>
        <w:rPr>
          <w:position w:val="-6"/>
          <w:sz w:val="11"/>
        </w:rPr>
        <w:t>2 </w:t>
      </w:r>
      <w:r>
        <w:rPr/>
        <w:t>is injected into the subsurface for EOR and for disposal of acid gas (Section 5.2.4). Most of these recovery or disposal activities inject relatively small quantities of CO</w:t>
      </w:r>
      <w:r>
        <w:rPr>
          <w:position w:val="-6"/>
          <w:sz w:val="11"/>
        </w:rPr>
        <w:t>2 </w:t>
      </w:r>
      <w:r>
        <w:rPr/>
        <w:t>into reasonably well-characterized formations. Generally, the longevity of CO</w:t>
      </w:r>
      <w:r>
        <w:rPr>
          <w:position w:val="-6"/>
          <w:sz w:val="11"/>
        </w:rPr>
        <w:t>2 </w:t>
      </w:r>
      <w:r>
        <w:rPr/>
        <w:t>storage underground and the extent of long- term monitoring of the injected fluids are not specified in the regulation of these activities, which are generally regulated under the larger umbrella of upstream oil and gas production</w:t>
      </w:r>
    </w:p>
    <w:p>
      <w:pPr>
        <w:spacing w:after="0" w:line="240" w:lineRule="exact"/>
        <w:jc w:val="both"/>
        <w:sectPr>
          <w:type w:val="continuous"/>
          <w:pgSz w:w="12240" w:h="15840"/>
          <w:pgMar w:top="400" w:bottom="280" w:left="580" w:right="600"/>
          <w:cols w:num="2" w:equalWidth="0">
            <w:col w:w="5605" w:space="40"/>
            <w:col w:w="5415"/>
          </w:cols>
        </w:sectPr>
      </w:pPr>
    </w:p>
    <w:p>
      <w:pPr>
        <w:pStyle w:val="ListParagraph"/>
        <w:numPr>
          <w:ilvl w:val="0"/>
          <w:numId w:val="25"/>
        </w:numPr>
        <w:tabs>
          <w:tab w:pos="838" w:val="left" w:leader="none"/>
        </w:tabs>
        <w:spacing w:line="236" w:lineRule="exact" w:before="0" w:after="0"/>
        <w:ind w:left="837" w:right="0" w:hanging="285"/>
        <w:jc w:val="left"/>
        <w:rPr>
          <w:sz w:val="20"/>
        </w:rPr>
      </w:pPr>
      <w:r>
        <w:rPr/>
        <w:pict>
          <v:shape style="position:absolute;margin-left:84.757698pt;margin-top:8.561979pt;width:2.95pt;height:5.85pt;mso-position-horizontal-relative:page;mso-position-vertical-relative:paragraph;z-index:-25881907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pacing w:val="-10"/>
          <w:sz w:val="20"/>
        </w:rPr>
        <w:t>CO</w:t>
      </w:r>
    </w:p>
    <w:p>
      <w:pPr>
        <w:pStyle w:val="BodyText"/>
        <w:spacing w:before="5"/>
        <w:ind w:left="63"/>
      </w:pPr>
      <w:r>
        <w:rPr/>
        <w:br w:type="column"/>
      </w:r>
      <w:r>
        <w:rPr/>
        <w:t>captured</w:t>
      </w:r>
      <w:r>
        <w:rPr>
          <w:spacing w:val="-8"/>
        </w:rPr>
        <w:t> </w:t>
      </w:r>
      <w:r>
        <w:rPr/>
        <w:t>from</w:t>
      </w:r>
      <w:r>
        <w:rPr>
          <w:spacing w:val="-8"/>
        </w:rPr>
        <w:t> </w:t>
      </w:r>
      <w:r>
        <w:rPr/>
        <w:t>an</w:t>
      </w:r>
      <w:r>
        <w:rPr>
          <w:spacing w:val="-7"/>
        </w:rPr>
        <w:t> </w:t>
      </w:r>
      <w:r>
        <w:rPr/>
        <w:t>oil</w:t>
      </w:r>
      <w:r>
        <w:rPr>
          <w:spacing w:val="-8"/>
        </w:rPr>
        <w:t> </w:t>
      </w:r>
      <w:r>
        <w:rPr/>
        <w:t>or</w:t>
      </w:r>
      <w:r>
        <w:rPr>
          <w:spacing w:val="-7"/>
        </w:rPr>
        <w:t> </w:t>
      </w:r>
      <w:r>
        <w:rPr/>
        <w:t>natural</w:t>
      </w:r>
      <w:r>
        <w:rPr>
          <w:spacing w:val="-8"/>
        </w:rPr>
        <w:t> </w:t>
      </w:r>
      <w:r>
        <w:rPr/>
        <w:t>gas</w:t>
      </w:r>
      <w:r>
        <w:rPr>
          <w:spacing w:val="-7"/>
        </w:rPr>
        <w:t> </w:t>
      </w:r>
      <w:r>
        <w:rPr/>
        <w:t>extraction</w:t>
      </w:r>
      <w:r>
        <w:rPr>
          <w:spacing w:val="-8"/>
        </w:rPr>
        <w:t> </w:t>
      </w:r>
      <w:r>
        <w:rPr/>
        <w:t>operation</w:t>
      </w:r>
    </w:p>
    <w:p>
      <w:pPr>
        <w:pStyle w:val="BodyText"/>
        <w:spacing w:before="5"/>
        <w:ind w:left="242"/>
      </w:pPr>
      <w:r>
        <w:rPr/>
        <w:br w:type="column"/>
      </w:r>
      <w:r>
        <w:rPr/>
        <w:t>and waste disposal regulations that do not specify storage time</w:t>
      </w:r>
    </w:p>
    <w:p>
      <w:pPr>
        <w:spacing w:after="0"/>
        <w:sectPr>
          <w:type w:val="continuous"/>
          <w:pgSz w:w="12240" w:h="15840"/>
          <w:pgMar w:top="400" w:bottom="280" w:left="580" w:right="600"/>
          <w:cols w:num="3" w:equalWidth="0">
            <w:col w:w="1116" w:space="40"/>
            <w:col w:w="4443" w:space="39"/>
            <w:col w:w="5422"/>
          </w:cols>
        </w:sectPr>
      </w:pPr>
    </w:p>
    <w:p>
      <w:pPr>
        <w:pStyle w:val="BodyText"/>
        <w:spacing w:before="9"/>
        <w:ind w:left="837"/>
        <w:jc w:val="both"/>
      </w:pPr>
      <w:r>
        <w:rPr/>
        <w:t>and stored offshore in a geological formation would not be</w:t>
      </w:r>
    </w:p>
    <w:p>
      <w:pPr>
        <w:pStyle w:val="BodyText"/>
        <w:spacing w:line="228" w:lineRule="exact" w:before="10"/>
        <w:ind w:left="837"/>
        <w:jc w:val="both"/>
      </w:pPr>
      <w:r>
        <w:rPr/>
        <w:t>considered ‘dumping’ under the LC (Wall </w:t>
      </w:r>
      <w:r>
        <w:rPr>
          <w:i/>
        </w:rPr>
        <w:t>et al.</w:t>
      </w:r>
      <w:r>
        <w:rPr/>
        <w:t>, 2005);</w:t>
      </w:r>
    </w:p>
    <w:p>
      <w:pPr>
        <w:pStyle w:val="ListParagraph"/>
        <w:numPr>
          <w:ilvl w:val="0"/>
          <w:numId w:val="25"/>
        </w:numPr>
        <w:tabs>
          <w:tab w:pos="838" w:val="left" w:leader="none"/>
        </w:tabs>
        <w:spacing w:line="240" w:lineRule="exact" w:before="7" w:after="0"/>
        <w:ind w:left="837" w:right="11" w:hanging="284"/>
        <w:jc w:val="both"/>
        <w:rPr>
          <w:sz w:val="20"/>
        </w:rPr>
      </w:pPr>
      <w:r>
        <w:rPr>
          <w:sz w:val="20"/>
        </w:rPr>
        <w:t>There remain some ambiguities in the provisions of some conventions,</w:t>
      </w:r>
      <w:r>
        <w:rPr>
          <w:spacing w:val="-19"/>
          <w:sz w:val="20"/>
        </w:rPr>
        <w:t> </w:t>
      </w:r>
      <w:r>
        <w:rPr>
          <w:sz w:val="20"/>
        </w:rPr>
        <w:t>especially</w:t>
      </w:r>
      <w:r>
        <w:rPr>
          <w:spacing w:val="-19"/>
          <w:sz w:val="20"/>
        </w:rPr>
        <w:t> </w:t>
      </w:r>
      <w:r>
        <w:rPr>
          <w:sz w:val="20"/>
        </w:rPr>
        <w:t>in</w:t>
      </w:r>
      <w:r>
        <w:rPr>
          <w:spacing w:val="-18"/>
          <w:sz w:val="20"/>
        </w:rPr>
        <w:t> </w:t>
      </w:r>
      <w:r>
        <w:rPr>
          <w:sz w:val="20"/>
        </w:rPr>
        <w:t>relation</w:t>
      </w:r>
      <w:r>
        <w:rPr>
          <w:spacing w:val="-19"/>
          <w:sz w:val="20"/>
        </w:rPr>
        <w:t> </w:t>
      </w:r>
      <w:r>
        <w:rPr>
          <w:sz w:val="20"/>
        </w:rPr>
        <w:t>to</w:t>
      </w:r>
      <w:r>
        <w:rPr>
          <w:spacing w:val="-19"/>
          <w:sz w:val="20"/>
        </w:rPr>
        <w:t> </w:t>
      </w:r>
      <w:r>
        <w:rPr>
          <w:sz w:val="20"/>
        </w:rPr>
        <w:t>the</w:t>
      </w:r>
      <w:r>
        <w:rPr>
          <w:spacing w:val="-18"/>
          <w:sz w:val="20"/>
        </w:rPr>
        <w:t> </w:t>
      </w:r>
      <w:r>
        <w:rPr>
          <w:sz w:val="20"/>
        </w:rPr>
        <w:t>option</w:t>
      </w:r>
      <w:r>
        <w:rPr>
          <w:spacing w:val="-19"/>
          <w:sz w:val="20"/>
        </w:rPr>
        <w:t> </w:t>
      </w:r>
      <w:r>
        <w:rPr>
          <w:sz w:val="20"/>
        </w:rPr>
        <w:t>of</w:t>
      </w:r>
      <w:r>
        <w:rPr>
          <w:spacing w:val="-18"/>
          <w:sz w:val="20"/>
        </w:rPr>
        <w:t> </w:t>
      </w:r>
      <w:r>
        <w:rPr>
          <w:sz w:val="20"/>
        </w:rPr>
        <w:t>geological storage under the seabed (Ducroux and Bewers, 2005). UNCLOS provides the international legal basis for a range of future uses for the seafloor that could potentially include geological storage of CO</w:t>
      </w:r>
      <w:r>
        <w:rPr>
          <w:position w:val="-6"/>
          <w:sz w:val="11"/>
        </w:rPr>
        <w:t>2 </w:t>
      </w:r>
      <w:r>
        <w:rPr>
          <w:sz w:val="20"/>
        </w:rPr>
        <w:t>(Cook and Carleton,</w:t>
      </w:r>
      <w:r>
        <w:rPr>
          <w:spacing w:val="-8"/>
          <w:sz w:val="20"/>
        </w:rPr>
        <w:t> </w:t>
      </w:r>
      <w:r>
        <w:rPr>
          <w:sz w:val="20"/>
        </w:rPr>
        <w:t>2000);</w:t>
      </w:r>
    </w:p>
    <w:p>
      <w:pPr>
        <w:pStyle w:val="ListParagraph"/>
        <w:numPr>
          <w:ilvl w:val="0"/>
          <w:numId w:val="25"/>
        </w:numPr>
        <w:tabs>
          <w:tab w:pos="838" w:val="left" w:leader="none"/>
        </w:tabs>
        <w:spacing w:line="249" w:lineRule="auto" w:before="0" w:after="0"/>
        <w:ind w:left="837" w:right="0" w:hanging="284"/>
        <w:jc w:val="both"/>
        <w:rPr>
          <w:sz w:val="20"/>
        </w:rPr>
      </w:pPr>
      <w:r>
        <w:rPr/>
        <w:pict>
          <v:shape style="position:absolute;margin-left:147.431900pt;margin-top:9.011211pt;width:2.95pt;height:5.85pt;mso-position-horizontal-relative:page;mso-position-vertical-relative:paragraph;z-index:-25881804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Under the LC, CO might fall under the ‘industrial waste’ category in the list of wastes prohibited for disposal, while under the LP and </w:t>
      </w:r>
      <w:r>
        <w:rPr>
          <w:spacing w:val="-4"/>
          <w:sz w:val="20"/>
        </w:rPr>
        <w:t>OSPAR, </w:t>
      </w:r>
      <w:r>
        <w:rPr>
          <w:sz w:val="20"/>
        </w:rPr>
        <w:t>it would probably not fall under the categories approved for dumping and should therefore be considered as waste and this is prohibited (Purdy and </w:t>
      </w:r>
      <w:r>
        <w:rPr>
          <w:spacing w:val="-3"/>
          <w:sz w:val="20"/>
        </w:rPr>
        <w:t>Macrory,</w:t>
      </w:r>
      <w:r>
        <w:rPr>
          <w:sz w:val="20"/>
        </w:rPr>
        <w:t> 2004).</w:t>
      </w:r>
    </w:p>
    <w:p>
      <w:pPr>
        <w:pStyle w:val="BodyText"/>
        <w:spacing w:before="11"/>
        <w:rPr>
          <w:sz w:val="19"/>
        </w:rPr>
      </w:pPr>
    </w:p>
    <w:p>
      <w:pPr>
        <w:pStyle w:val="BodyText"/>
        <w:spacing w:line="240" w:lineRule="exact"/>
        <w:ind w:left="553" w:right="11"/>
        <w:jc w:val="both"/>
      </w:pPr>
      <w:r>
        <w:rPr/>
        <w:t>If CO</w:t>
      </w:r>
      <w:r>
        <w:rPr>
          <w:position w:val="-6"/>
          <w:sz w:val="11"/>
        </w:rPr>
        <w:t>2 </w:t>
      </w:r>
      <w:r>
        <w:rPr/>
        <w:t>is transported </w:t>
      </w:r>
      <w:r>
        <w:rPr>
          <w:i/>
        </w:rPr>
        <w:t>by ship </w:t>
      </w:r>
      <w:r>
        <w:rPr/>
        <w:t>and then disposed of, either directly from the ship or from an offshore installation, this will be prohibited under the LC/LP </w:t>
      </w:r>
      <w:r>
        <w:rPr>
          <w:spacing w:val="-4"/>
        </w:rPr>
        <w:t>(Wall </w:t>
      </w:r>
      <w:r>
        <w:rPr>
          <w:i/>
        </w:rPr>
        <w:t>et al.</w:t>
      </w:r>
      <w:r>
        <w:rPr/>
        <w:t>, 2005) and </w:t>
      </w:r>
      <w:r>
        <w:rPr>
          <w:spacing w:val="-5"/>
        </w:rPr>
        <w:t>OSPAR </w:t>
      </w:r>
      <w:r>
        <w:rPr/>
        <w:t>(Purdy and </w:t>
      </w:r>
      <w:r>
        <w:rPr>
          <w:spacing w:val="-3"/>
        </w:rPr>
        <w:t>Macrory, </w:t>
      </w:r>
      <w:r>
        <w:rPr/>
        <w:t>2004). If CO</w:t>
      </w:r>
      <w:r>
        <w:rPr>
          <w:position w:val="-6"/>
          <w:sz w:val="11"/>
        </w:rPr>
        <w:t>2 </w:t>
      </w:r>
      <w:r>
        <w:rPr/>
        <w:t>is transported </w:t>
      </w:r>
      <w:r>
        <w:rPr>
          <w:i/>
        </w:rPr>
        <w:t>by pipeline  </w:t>
      </w:r>
      <w:r>
        <w:rPr/>
        <w:t>to an offshore installation and then disposed of, that would be prohibited under the </w:t>
      </w:r>
      <w:r>
        <w:rPr>
          <w:spacing w:val="-4"/>
        </w:rPr>
        <w:t>LC/LP, </w:t>
      </w:r>
      <w:r>
        <w:rPr/>
        <w:t>but not necessarily under </w:t>
      </w:r>
      <w:r>
        <w:rPr>
          <w:spacing w:val="-4"/>
        </w:rPr>
        <w:t>OSPAR, </w:t>
      </w:r>
      <w:r>
        <w:rPr/>
        <w:t>where prohibition against dumping applies only to</w:t>
      </w:r>
      <w:r>
        <w:rPr>
          <w:spacing w:val="-22"/>
        </w:rPr>
        <w:t> </w:t>
      </w:r>
      <w:r>
        <w:rPr/>
        <w:t>installations carrying out activities concerning hydrocarbons (Purdy </w:t>
      </w:r>
      <w:r>
        <w:rPr>
          <w:spacing w:val="-5"/>
        </w:rPr>
        <w:t>and </w:t>
      </w:r>
      <w:r>
        <w:rPr>
          <w:spacing w:val="-3"/>
        </w:rPr>
        <w:t>Macrory, </w:t>
      </w:r>
      <w:r>
        <w:rPr/>
        <w:t>2004). The option of storing CO</w:t>
      </w:r>
      <w:r>
        <w:rPr>
          <w:position w:val="-6"/>
          <w:sz w:val="11"/>
        </w:rPr>
        <w:t>2 </w:t>
      </w:r>
      <w:r>
        <w:rPr/>
        <w:t>transported through a pipeline from land appears to remain open under </w:t>
      </w:r>
      <w:r>
        <w:rPr>
          <w:spacing w:val="-3"/>
        </w:rPr>
        <w:t>most </w:t>
      </w:r>
      <w:r>
        <w:rPr/>
        <w:t>conventions (Ducroux and Bewers, 2005); the LC/LP </w:t>
      </w:r>
      <w:r>
        <w:rPr>
          <w:spacing w:val="-3"/>
        </w:rPr>
        <w:t>apply </w:t>
      </w:r>
      <w:r>
        <w:rPr/>
        <w:t>only to activities that involve ships or platforms and contain</w:t>
      </w:r>
      <w:r>
        <w:rPr>
          <w:spacing w:val="-24"/>
        </w:rPr>
        <w:t> </w:t>
      </w:r>
      <w:r>
        <w:rPr/>
        <w:t>no further controls governing pipeline discharges from</w:t>
      </w:r>
      <w:r>
        <w:rPr>
          <w:spacing w:val="-15"/>
        </w:rPr>
        <w:t> </w:t>
      </w:r>
      <w:r>
        <w:rPr/>
        <w:t>land-based</w:t>
      </w:r>
    </w:p>
    <w:p>
      <w:pPr>
        <w:pStyle w:val="BodyText"/>
        <w:spacing w:before="9"/>
        <w:ind w:left="228"/>
        <w:jc w:val="both"/>
      </w:pPr>
      <w:r>
        <w:rPr/>
        <w:br w:type="column"/>
      </w:r>
      <w:r>
        <w:rPr/>
        <w:t>and need for post-operational monitoring.</w:t>
      </w:r>
    </w:p>
    <w:p>
      <w:pPr>
        <w:pStyle w:val="BodyText"/>
        <w:spacing w:line="240" w:lineRule="exact" w:before="5"/>
        <w:ind w:left="228" w:right="133" w:firstLine="283"/>
        <w:jc w:val="both"/>
      </w:pPr>
      <w:r>
        <w:rPr/>
        <w:t>In Canada, the practice of deep-well injection of fluids in the subsurface, including disposal of liquid wastes, is legal and regulated.</w:t>
      </w:r>
      <w:r>
        <w:rPr>
          <w:spacing w:val="-15"/>
        </w:rPr>
        <w:t> </w:t>
      </w:r>
      <w:r>
        <w:rPr/>
        <w:t>As</w:t>
      </w:r>
      <w:r>
        <w:rPr>
          <w:spacing w:val="-3"/>
        </w:rPr>
        <w:t> </w:t>
      </w:r>
      <w:r>
        <w:rPr/>
        <w:t>a</w:t>
      </w:r>
      <w:r>
        <w:rPr>
          <w:spacing w:val="-4"/>
        </w:rPr>
        <w:t> </w:t>
      </w:r>
      <w:r>
        <w:rPr/>
        <w:t>result</w:t>
      </w:r>
      <w:r>
        <w:rPr>
          <w:spacing w:val="-4"/>
        </w:rPr>
        <w:t> </w:t>
      </w:r>
      <w:r>
        <w:rPr/>
        <w:t>of</w:t>
      </w:r>
      <w:r>
        <w:rPr>
          <w:spacing w:val="-3"/>
        </w:rPr>
        <w:t> </w:t>
      </w:r>
      <w:r>
        <w:rPr/>
        <w:t>provincial</w:t>
      </w:r>
      <w:r>
        <w:rPr>
          <w:spacing w:val="-4"/>
        </w:rPr>
        <w:t> </w:t>
      </w:r>
      <w:r>
        <w:rPr/>
        <w:t>jurisdiction</w:t>
      </w:r>
      <w:r>
        <w:rPr>
          <w:spacing w:val="-3"/>
        </w:rPr>
        <w:t> </w:t>
      </w:r>
      <w:r>
        <w:rPr/>
        <w:t>over</w:t>
      </w:r>
      <w:r>
        <w:rPr>
          <w:spacing w:val="-4"/>
        </w:rPr>
        <w:t> </w:t>
      </w:r>
      <w:r>
        <w:rPr/>
        <w:t>energy</w:t>
      </w:r>
      <w:r>
        <w:rPr>
          <w:spacing w:val="-3"/>
        </w:rPr>
        <w:t> </w:t>
      </w:r>
      <w:r>
        <w:rPr/>
        <w:t>and mineral resources, there are no generally applicable national laws that specifically regulate deep-well injection of fluids. Onshore CO</w:t>
      </w:r>
      <w:r>
        <w:rPr>
          <w:position w:val="-6"/>
          <w:sz w:val="11"/>
        </w:rPr>
        <w:t>2 </w:t>
      </w:r>
      <w:r>
        <w:rPr/>
        <w:t>geological storage would fall under provincial laws and regulations, while storage offshore and in federally administered territories would fall under federal laws and regulations. In the western provinces that are major oil and  gas producers, substantive regulations specifically  manage  the use of injection wells. In Alberta, for example, there are detailed procedural regulations regarding well construction, operation and abandonment, within which specific standards are</w:t>
      </w:r>
      <w:r>
        <w:rPr>
          <w:spacing w:val="-14"/>
        </w:rPr>
        <w:t> </w:t>
      </w:r>
      <w:r>
        <w:rPr/>
        <w:t>delineated</w:t>
      </w:r>
      <w:r>
        <w:rPr>
          <w:spacing w:val="-13"/>
        </w:rPr>
        <w:t> </w:t>
      </w:r>
      <w:r>
        <w:rPr/>
        <w:t>for</w:t>
      </w:r>
      <w:r>
        <w:rPr>
          <w:spacing w:val="-12"/>
        </w:rPr>
        <w:t> </w:t>
      </w:r>
      <w:r>
        <w:rPr/>
        <w:t>five</w:t>
      </w:r>
      <w:r>
        <w:rPr>
          <w:spacing w:val="-14"/>
        </w:rPr>
        <w:t> </w:t>
      </w:r>
      <w:r>
        <w:rPr/>
        <w:t>classes</w:t>
      </w:r>
      <w:r>
        <w:rPr>
          <w:spacing w:val="-13"/>
        </w:rPr>
        <w:t> </w:t>
      </w:r>
      <w:r>
        <w:rPr/>
        <w:t>of</w:t>
      </w:r>
      <w:r>
        <w:rPr>
          <w:spacing w:val="-12"/>
        </w:rPr>
        <w:t> </w:t>
      </w:r>
      <w:r>
        <w:rPr/>
        <w:t>injection</w:t>
      </w:r>
      <w:r>
        <w:rPr>
          <w:spacing w:val="-14"/>
        </w:rPr>
        <w:t> </w:t>
      </w:r>
      <w:r>
        <w:rPr/>
        <w:t>wells</w:t>
      </w:r>
      <w:r>
        <w:rPr>
          <w:spacing w:val="-13"/>
        </w:rPr>
        <w:t> </w:t>
      </w:r>
      <w:r>
        <w:rPr/>
        <w:t>(Alberta</w:t>
      </w:r>
      <w:r>
        <w:rPr>
          <w:spacing w:val="-13"/>
        </w:rPr>
        <w:t> </w:t>
      </w:r>
      <w:r>
        <w:rPr/>
        <w:t>Energy and Utilities Board, 1994). In Saskatchewan, </w:t>
      </w:r>
      <w:r>
        <w:rPr>
          <w:i/>
        </w:rPr>
        <w:t>The Oil and Gas </w:t>
      </w:r>
      <w:r>
        <w:rPr>
          <w:i/>
        </w:rPr>
        <w:t>Conservation Regulations 1985 </w:t>
      </w:r>
      <w:r>
        <w:rPr/>
        <w:t>(with Amendments through 2000)</w:t>
      </w:r>
      <w:r>
        <w:rPr>
          <w:spacing w:val="-18"/>
        </w:rPr>
        <w:t> </w:t>
      </w:r>
      <w:r>
        <w:rPr/>
        <w:t>prescribe</w:t>
      </w:r>
      <w:r>
        <w:rPr>
          <w:spacing w:val="-17"/>
        </w:rPr>
        <w:t> </w:t>
      </w:r>
      <w:r>
        <w:rPr/>
        <w:t>standards</w:t>
      </w:r>
      <w:r>
        <w:rPr>
          <w:spacing w:val="-17"/>
        </w:rPr>
        <w:t> </w:t>
      </w:r>
      <w:r>
        <w:rPr/>
        <w:t>for</w:t>
      </w:r>
      <w:r>
        <w:rPr>
          <w:spacing w:val="-17"/>
        </w:rPr>
        <w:t> </w:t>
      </w:r>
      <w:r>
        <w:rPr/>
        <w:t>disposal</w:t>
      </w:r>
      <w:r>
        <w:rPr>
          <w:spacing w:val="-17"/>
        </w:rPr>
        <w:t> </w:t>
      </w:r>
      <w:r>
        <w:rPr/>
        <w:t>of</w:t>
      </w:r>
      <w:r>
        <w:rPr>
          <w:spacing w:val="-17"/>
        </w:rPr>
        <w:t> </w:t>
      </w:r>
      <w:r>
        <w:rPr/>
        <w:t>oil</w:t>
      </w:r>
      <w:r>
        <w:rPr>
          <w:spacing w:val="-18"/>
        </w:rPr>
        <w:t> </w:t>
      </w:r>
      <w:r>
        <w:rPr/>
        <w:t>field</w:t>
      </w:r>
      <w:r>
        <w:rPr>
          <w:spacing w:val="-17"/>
        </w:rPr>
        <w:t> </w:t>
      </w:r>
      <w:r>
        <w:rPr/>
        <w:t>brine</w:t>
      </w:r>
      <w:r>
        <w:rPr>
          <w:spacing w:val="-17"/>
        </w:rPr>
        <w:t> </w:t>
      </w:r>
      <w:r>
        <w:rPr/>
        <w:t>and</w:t>
      </w:r>
      <w:r>
        <w:rPr>
          <w:spacing w:val="-17"/>
        </w:rPr>
        <w:t> </w:t>
      </w:r>
      <w:r>
        <w:rPr/>
        <w:t>other wastes. In addition, capture, transport and operational injection of fluids, including acid gas and CO</w:t>
      </w:r>
      <w:r>
        <w:rPr>
          <w:position w:val="-6"/>
          <w:sz w:val="11"/>
        </w:rPr>
        <w:t>2</w:t>
      </w:r>
      <w:r>
        <w:rPr/>
        <w:t>, are by and large covered under existing regulations, but no regulations are in place </w:t>
      </w:r>
      <w:r>
        <w:rPr>
          <w:spacing w:val="-4"/>
        </w:rPr>
        <w:t>for </w:t>
      </w:r>
      <w:r>
        <w:rPr/>
        <w:t>monitoring the fate of the injected fluids in the subsurface and/ or for the post-abandonment stage of an injection</w:t>
      </w:r>
      <w:r>
        <w:rPr>
          <w:spacing w:val="-4"/>
        </w:rPr>
        <w:t> </w:t>
      </w:r>
      <w:r>
        <w:rPr/>
        <w:t>operation.</w:t>
      </w:r>
    </w:p>
    <w:p>
      <w:pPr>
        <w:pStyle w:val="BodyText"/>
        <w:spacing w:line="249" w:lineRule="auto" w:before="5"/>
        <w:ind w:left="228" w:right="133" w:firstLine="283"/>
        <w:jc w:val="both"/>
      </w:pPr>
      <w:r>
        <w:rPr/>
        <w:t>In the United States, the Safe Drinking </w:t>
      </w:r>
      <w:r>
        <w:rPr>
          <w:spacing w:val="-4"/>
        </w:rPr>
        <w:t>Water </w:t>
      </w:r>
      <w:r>
        <w:rPr/>
        <w:t>Act regulates most</w:t>
      </w:r>
      <w:r>
        <w:rPr>
          <w:spacing w:val="-21"/>
        </w:rPr>
        <w:t> </w:t>
      </w:r>
      <w:r>
        <w:rPr/>
        <w:t>underground</w:t>
      </w:r>
      <w:r>
        <w:rPr>
          <w:spacing w:val="-20"/>
        </w:rPr>
        <w:t> </w:t>
      </w:r>
      <w:r>
        <w:rPr/>
        <w:t>injection</w:t>
      </w:r>
      <w:r>
        <w:rPr>
          <w:spacing w:val="-21"/>
        </w:rPr>
        <w:t> </w:t>
      </w:r>
      <w:r>
        <w:rPr/>
        <w:t>activities.</w:t>
      </w:r>
      <w:r>
        <w:rPr>
          <w:spacing w:val="-24"/>
        </w:rPr>
        <w:t> </w:t>
      </w:r>
      <w:r>
        <w:rPr/>
        <w:t>The</w:t>
      </w:r>
      <w:r>
        <w:rPr>
          <w:spacing w:val="-21"/>
        </w:rPr>
        <w:t> </w:t>
      </w:r>
      <w:r>
        <w:rPr>
          <w:spacing w:val="-5"/>
        </w:rPr>
        <w:t>USEPA</w:t>
      </w:r>
      <w:r>
        <w:rPr>
          <w:spacing w:val="-31"/>
        </w:rPr>
        <w:t> </w:t>
      </w:r>
      <w:r>
        <w:rPr/>
        <w:t>Underground Injection</w:t>
      </w:r>
      <w:r>
        <w:rPr>
          <w:spacing w:val="-16"/>
        </w:rPr>
        <w:t> </w:t>
      </w:r>
      <w:r>
        <w:rPr/>
        <w:t>and</w:t>
      </w:r>
      <w:r>
        <w:rPr>
          <w:spacing w:val="-16"/>
        </w:rPr>
        <w:t> </w:t>
      </w:r>
      <w:r>
        <w:rPr/>
        <w:t>Control</w:t>
      </w:r>
      <w:r>
        <w:rPr>
          <w:spacing w:val="-16"/>
        </w:rPr>
        <w:t> </w:t>
      </w:r>
      <w:r>
        <w:rPr/>
        <w:t>(UIC)</w:t>
      </w:r>
      <w:r>
        <w:rPr>
          <w:spacing w:val="-15"/>
        </w:rPr>
        <w:t> </w:t>
      </w:r>
      <w:r>
        <w:rPr/>
        <w:t>Program,</w:t>
      </w:r>
      <w:r>
        <w:rPr>
          <w:spacing w:val="-16"/>
        </w:rPr>
        <w:t> </w:t>
      </w:r>
      <w:r>
        <w:rPr/>
        <w:t>created</w:t>
      </w:r>
      <w:r>
        <w:rPr>
          <w:spacing w:val="-16"/>
        </w:rPr>
        <w:t> </w:t>
      </w:r>
      <w:r>
        <w:rPr/>
        <w:t>in</w:t>
      </w:r>
      <w:r>
        <w:rPr>
          <w:spacing w:val="-16"/>
        </w:rPr>
        <w:t> </w:t>
      </w:r>
      <w:r>
        <w:rPr/>
        <w:t>1980</w:t>
      </w:r>
      <w:r>
        <w:rPr>
          <w:spacing w:val="-15"/>
        </w:rPr>
        <w:t> </w:t>
      </w:r>
      <w:r>
        <w:rPr/>
        <w:t>to</w:t>
      </w:r>
      <w:r>
        <w:rPr>
          <w:spacing w:val="-16"/>
        </w:rPr>
        <w:t> </w:t>
      </w:r>
      <w:r>
        <w:rPr/>
        <w:t>provide minimum standards, helps harmonize regulatory requirements for</w:t>
      </w:r>
      <w:r>
        <w:rPr>
          <w:spacing w:val="-17"/>
        </w:rPr>
        <w:t> </w:t>
      </w:r>
      <w:r>
        <w:rPr/>
        <w:t>underground</w:t>
      </w:r>
      <w:r>
        <w:rPr>
          <w:spacing w:val="-17"/>
        </w:rPr>
        <w:t> </w:t>
      </w:r>
      <w:r>
        <w:rPr/>
        <w:t>injection</w:t>
      </w:r>
      <w:r>
        <w:rPr>
          <w:spacing w:val="-17"/>
        </w:rPr>
        <w:t> </w:t>
      </w:r>
      <w:r>
        <w:rPr/>
        <w:t>activities.</w:t>
      </w:r>
      <w:r>
        <w:rPr>
          <w:spacing w:val="-19"/>
        </w:rPr>
        <w:t> </w:t>
      </w:r>
      <w:r>
        <w:rPr/>
        <w:t>The</w:t>
      </w:r>
      <w:r>
        <w:rPr>
          <w:spacing w:val="-17"/>
        </w:rPr>
        <w:t> </w:t>
      </w:r>
      <w:r>
        <w:rPr/>
        <w:t>explicit</w:t>
      </w:r>
      <w:r>
        <w:rPr>
          <w:spacing w:val="-17"/>
        </w:rPr>
        <w:t> </w:t>
      </w:r>
      <w:r>
        <w:rPr/>
        <w:t>goal</w:t>
      </w:r>
      <w:r>
        <w:rPr>
          <w:spacing w:val="-17"/>
        </w:rPr>
        <w:t> </w:t>
      </w:r>
      <w:r>
        <w:rPr/>
        <w:t>of</w:t>
      </w:r>
      <w:r>
        <w:rPr>
          <w:spacing w:val="-16"/>
        </w:rPr>
        <w:t> </w:t>
      </w:r>
      <w:r>
        <w:rPr/>
        <w:t>the</w:t>
      </w:r>
      <w:r>
        <w:rPr>
          <w:spacing w:val="-17"/>
        </w:rPr>
        <w:t> </w:t>
      </w:r>
      <w:r>
        <w:rPr/>
        <w:t>UIC</w:t>
      </w:r>
    </w:p>
    <w:p>
      <w:pPr>
        <w:spacing w:after="0" w:line="249" w:lineRule="auto"/>
        <w:jc w:val="both"/>
        <w:sectPr>
          <w:type w:val="continuous"/>
          <w:pgSz w:w="12240" w:h="15840"/>
          <w:pgMar w:top="400" w:bottom="280" w:left="580" w:right="600"/>
          <w:cols w:num="2" w:equalWidth="0">
            <w:col w:w="5612" w:space="40"/>
            <w:col w:w="5408"/>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jc w:val="right"/>
      </w:pPr>
      <w:bookmarkStart w:name="5.8.3 Subsurface property rights" w:id="104"/>
      <w:bookmarkEnd w:id="104"/>
      <w:r>
        <w:rPr/>
      </w:r>
      <w:r>
        <w:rPr/>
        <w:t>programme is to protect current and potential sources</w:t>
      </w:r>
      <w:r>
        <w:rPr>
          <w:spacing w:val="-6"/>
        </w:rPr>
        <w:t> </w:t>
      </w:r>
      <w:r>
        <w:rPr/>
        <w:t>of public drinking</w:t>
      </w:r>
      <w:r>
        <w:rPr>
          <w:spacing w:val="-16"/>
        </w:rPr>
        <w:t> </w:t>
      </w:r>
      <w:r>
        <w:rPr>
          <w:spacing w:val="-3"/>
        </w:rPr>
        <w:t>water.</w:t>
      </w:r>
      <w:r>
        <w:rPr>
          <w:spacing w:val="-19"/>
        </w:rPr>
        <w:t> </w:t>
      </w:r>
      <w:r>
        <w:rPr/>
        <w:t>The</w:t>
      </w:r>
      <w:r>
        <w:rPr>
          <w:spacing w:val="-16"/>
        </w:rPr>
        <w:t> </w:t>
      </w:r>
      <w:r>
        <w:rPr/>
        <w:t>Safe</w:t>
      </w:r>
      <w:r>
        <w:rPr>
          <w:spacing w:val="-16"/>
        </w:rPr>
        <w:t> </w:t>
      </w:r>
      <w:r>
        <w:rPr/>
        <w:t>Drinking</w:t>
      </w:r>
      <w:r>
        <w:rPr>
          <w:spacing w:val="-19"/>
        </w:rPr>
        <w:t> </w:t>
      </w:r>
      <w:r>
        <w:rPr>
          <w:spacing w:val="-4"/>
        </w:rPr>
        <w:t>Water</w:t>
      </w:r>
      <w:r>
        <w:rPr>
          <w:spacing w:val="-27"/>
        </w:rPr>
        <w:t> </w:t>
      </w:r>
      <w:r>
        <w:rPr/>
        <w:t>Act</w:t>
      </w:r>
      <w:r>
        <w:rPr>
          <w:spacing w:val="-16"/>
        </w:rPr>
        <w:t> </w:t>
      </w:r>
      <w:r>
        <w:rPr/>
        <w:t>expressly</w:t>
      </w:r>
      <w:r>
        <w:rPr>
          <w:spacing w:val="-15"/>
        </w:rPr>
        <w:t> </w:t>
      </w:r>
      <w:r>
        <w:rPr/>
        <w:t>prohibits underground injection that ‘endangers’ an</w:t>
      </w:r>
      <w:r>
        <w:rPr>
          <w:spacing w:val="27"/>
        </w:rPr>
        <w:t> </w:t>
      </w:r>
      <w:r>
        <w:rPr/>
        <w:t>underground</w:t>
      </w:r>
      <w:r>
        <w:rPr>
          <w:spacing w:val="9"/>
        </w:rPr>
        <w:t> </w:t>
      </w:r>
      <w:r>
        <w:rPr/>
        <w:t>source</w:t>
      </w:r>
      <w:r>
        <w:rPr>
          <w:spacing w:val="-1"/>
        </w:rPr>
        <w:t> </w:t>
      </w:r>
      <w:r>
        <w:rPr/>
        <w:t>of</w:t>
      </w:r>
      <w:r>
        <w:rPr>
          <w:spacing w:val="19"/>
        </w:rPr>
        <w:t> </w:t>
      </w:r>
      <w:r>
        <w:rPr/>
        <w:t>drinking</w:t>
      </w:r>
      <w:r>
        <w:rPr>
          <w:spacing w:val="20"/>
        </w:rPr>
        <w:t> </w:t>
      </w:r>
      <w:r>
        <w:rPr>
          <w:spacing w:val="-3"/>
        </w:rPr>
        <w:t>water.</w:t>
      </w:r>
      <w:r>
        <w:rPr>
          <w:spacing w:val="19"/>
        </w:rPr>
        <w:t> </w:t>
      </w:r>
      <w:r>
        <w:rPr/>
        <w:t>Endangerment</w:t>
      </w:r>
      <w:r>
        <w:rPr>
          <w:spacing w:val="20"/>
        </w:rPr>
        <w:t> </w:t>
      </w:r>
      <w:r>
        <w:rPr/>
        <w:t>is</w:t>
      </w:r>
      <w:r>
        <w:rPr>
          <w:spacing w:val="19"/>
        </w:rPr>
        <w:t> </w:t>
      </w:r>
      <w:r>
        <w:rPr/>
        <w:t>defined</w:t>
      </w:r>
      <w:r>
        <w:rPr>
          <w:spacing w:val="20"/>
        </w:rPr>
        <w:t> </w:t>
      </w:r>
      <w:r>
        <w:rPr/>
        <w:t>with</w:t>
      </w:r>
      <w:r>
        <w:rPr>
          <w:spacing w:val="19"/>
        </w:rPr>
        <w:t> </w:t>
      </w:r>
      <w:r>
        <w:rPr/>
        <w:t>reference</w:t>
      </w:r>
      <w:r>
        <w:rPr>
          <w:spacing w:val="20"/>
        </w:rPr>
        <w:t> </w:t>
      </w:r>
      <w:r>
        <w:rPr/>
        <w:t>to national</w:t>
      </w:r>
      <w:r>
        <w:rPr>
          <w:spacing w:val="-7"/>
        </w:rPr>
        <w:t> </w:t>
      </w:r>
      <w:r>
        <w:rPr/>
        <w:t>primary</w:t>
      </w:r>
      <w:r>
        <w:rPr>
          <w:spacing w:val="-7"/>
        </w:rPr>
        <w:t> </w:t>
      </w:r>
      <w:r>
        <w:rPr/>
        <w:t>drinking</w:t>
      </w:r>
      <w:r>
        <w:rPr>
          <w:spacing w:val="-6"/>
        </w:rPr>
        <w:t> </w:t>
      </w:r>
      <w:r>
        <w:rPr/>
        <w:t>water</w:t>
      </w:r>
      <w:r>
        <w:rPr>
          <w:spacing w:val="-7"/>
        </w:rPr>
        <w:t> </w:t>
      </w:r>
      <w:r>
        <w:rPr/>
        <w:t>regulations</w:t>
      </w:r>
      <w:r>
        <w:rPr>
          <w:spacing w:val="-6"/>
        </w:rPr>
        <w:t> </w:t>
      </w:r>
      <w:r>
        <w:rPr/>
        <w:t>and</w:t>
      </w:r>
      <w:r>
        <w:rPr>
          <w:spacing w:val="-7"/>
        </w:rPr>
        <w:t> </w:t>
      </w:r>
      <w:r>
        <w:rPr/>
        <w:t>adverse</w:t>
      </w:r>
      <w:r>
        <w:rPr>
          <w:spacing w:val="-6"/>
        </w:rPr>
        <w:t> </w:t>
      </w:r>
      <w:r>
        <w:rPr/>
        <w:t>human health</w:t>
      </w:r>
      <w:r>
        <w:rPr>
          <w:spacing w:val="-12"/>
        </w:rPr>
        <w:t> </w:t>
      </w:r>
      <w:r>
        <w:rPr/>
        <w:t>effects.</w:t>
      </w:r>
      <w:r>
        <w:rPr>
          <w:spacing w:val="-11"/>
        </w:rPr>
        <w:t> </w:t>
      </w:r>
      <w:r>
        <w:rPr/>
        <w:t>For</w:t>
      </w:r>
      <w:r>
        <w:rPr>
          <w:spacing w:val="-11"/>
        </w:rPr>
        <w:t> </w:t>
      </w:r>
      <w:r>
        <w:rPr/>
        <w:t>certain</w:t>
      </w:r>
      <w:r>
        <w:rPr>
          <w:spacing w:val="-12"/>
        </w:rPr>
        <w:t> </w:t>
      </w:r>
      <w:r>
        <w:rPr/>
        <w:t>types</w:t>
      </w:r>
      <w:r>
        <w:rPr>
          <w:spacing w:val="-11"/>
        </w:rPr>
        <w:t> </w:t>
      </w:r>
      <w:r>
        <w:rPr/>
        <w:t>or</w:t>
      </w:r>
      <w:r>
        <w:rPr>
          <w:spacing w:val="-11"/>
        </w:rPr>
        <w:t> </w:t>
      </w:r>
      <w:r>
        <w:rPr/>
        <w:t>‘classes’</w:t>
      </w:r>
      <w:r>
        <w:rPr>
          <w:spacing w:val="-26"/>
        </w:rPr>
        <w:t> </w:t>
      </w:r>
      <w:r>
        <w:rPr/>
        <w:t>of</w:t>
      </w:r>
      <w:r>
        <w:rPr>
          <w:spacing w:val="-11"/>
        </w:rPr>
        <w:t> </w:t>
      </w:r>
      <w:r>
        <w:rPr/>
        <w:t>wells,</w:t>
      </w:r>
      <w:r>
        <w:rPr>
          <w:spacing w:val="-11"/>
        </w:rPr>
        <w:t> </w:t>
      </w:r>
      <w:r>
        <w:rPr/>
        <w:t>regulations </w:t>
      </w:r>
      <w:bookmarkStart w:name="5.8.4 Long-term liability" w:id="105"/>
      <w:bookmarkEnd w:id="105"/>
      <w:r>
        <w:rPr/>
      </w:r>
      <w:r>
        <w:rPr/>
        <w:t>by</w:t>
      </w:r>
      <w:r>
        <w:rPr>
          <w:spacing w:val="14"/>
        </w:rPr>
        <w:t> </w:t>
      </w:r>
      <w:r>
        <w:rPr/>
        <w:t>the</w:t>
      </w:r>
      <w:r>
        <w:rPr>
          <w:spacing w:val="14"/>
        </w:rPr>
        <w:t> </w:t>
      </w:r>
      <w:r>
        <w:rPr>
          <w:spacing w:val="-5"/>
        </w:rPr>
        <w:t>USEPA</w:t>
      </w:r>
      <w:r>
        <w:rPr>
          <w:spacing w:val="3"/>
        </w:rPr>
        <w:t> </w:t>
      </w:r>
      <w:r>
        <w:rPr/>
        <w:t>prohibit</w:t>
      </w:r>
      <w:r>
        <w:rPr>
          <w:spacing w:val="15"/>
        </w:rPr>
        <w:t> </w:t>
      </w:r>
      <w:r>
        <w:rPr/>
        <w:t>injection</w:t>
      </w:r>
      <w:r>
        <w:rPr>
          <w:spacing w:val="14"/>
        </w:rPr>
        <w:t> </w:t>
      </w:r>
      <w:r>
        <w:rPr/>
        <w:t>that</w:t>
      </w:r>
      <w:r>
        <w:rPr>
          <w:spacing w:val="14"/>
        </w:rPr>
        <w:t> </w:t>
      </w:r>
      <w:r>
        <w:rPr/>
        <w:t>causes</w:t>
      </w:r>
      <w:r>
        <w:rPr>
          <w:spacing w:val="15"/>
        </w:rPr>
        <w:t> </w:t>
      </w:r>
      <w:r>
        <w:rPr/>
        <w:t>the</w:t>
      </w:r>
      <w:r>
        <w:rPr>
          <w:spacing w:val="14"/>
        </w:rPr>
        <w:t> </w:t>
      </w:r>
      <w:r>
        <w:rPr/>
        <w:t>movement</w:t>
      </w:r>
      <w:r>
        <w:rPr>
          <w:spacing w:val="15"/>
        </w:rPr>
        <w:t> </w:t>
      </w:r>
      <w:r>
        <w:rPr/>
        <w:t>of any contaminant into an underground source of</w:t>
      </w:r>
      <w:r>
        <w:rPr>
          <w:spacing w:val="-14"/>
        </w:rPr>
        <w:t> </w:t>
      </w:r>
      <w:r>
        <w:rPr/>
        <w:t>drinking</w:t>
      </w:r>
      <w:r>
        <w:rPr>
          <w:spacing w:val="-1"/>
        </w:rPr>
        <w:t> </w:t>
      </w:r>
      <w:r>
        <w:rPr>
          <w:spacing w:val="-3"/>
        </w:rPr>
        <w:t>water.</w:t>
      </w:r>
      <w:r>
        <w:rPr/>
        <w:t> </w:t>
      </w:r>
      <w:r>
        <w:rPr>
          <w:spacing w:val="-4"/>
        </w:rPr>
        <w:t>Wells </w:t>
      </w:r>
      <w:r>
        <w:rPr/>
        <w:t>injecting hazardous wastes require</w:t>
      </w:r>
      <w:r>
        <w:rPr>
          <w:spacing w:val="4"/>
        </w:rPr>
        <w:t> </w:t>
      </w:r>
      <w:r>
        <w:rPr/>
        <w:t>the</w:t>
      </w:r>
      <w:r>
        <w:rPr>
          <w:spacing w:val="9"/>
        </w:rPr>
        <w:t> </w:t>
      </w:r>
      <w:r>
        <w:rPr/>
        <w:t>additional development</w:t>
      </w:r>
      <w:r>
        <w:rPr>
          <w:spacing w:val="11"/>
        </w:rPr>
        <w:t> </w:t>
      </w:r>
      <w:r>
        <w:rPr/>
        <w:t>of</w:t>
      </w:r>
      <w:r>
        <w:rPr>
          <w:spacing w:val="11"/>
        </w:rPr>
        <w:t> </w:t>
      </w:r>
      <w:r>
        <w:rPr/>
        <w:t>a</w:t>
      </w:r>
      <w:r>
        <w:rPr>
          <w:spacing w:val="11"/>
        </w:rPr>
        <w:t> </w:t>
      </w:r>
      <w:r>
        <w:rPr/>
        <w:t>no-migration</w:t>
      </w:r>
      <w:r>
        <w:rPr>
          <w:spacing w:val="11"/>
        </w:rPr>
        <w:t> </w:t>
      </w:r>
      <w:r>
        <w:rPr/>
        <w:t>petition</w:t>
      </w:r>
      <w:r>
        <w:rPr>
          <w:spacing w:val="11"/>
        </w:rPr>
        <w:t> </w:t>
      </w:r>
      <w:r>
        <w:rPr/>
        <w:t>to</w:t>
      </w:r>
      <w:r>
        <w:rPr>
          <w:spacing w:val="11"/>
        </w:rPr>
        <w:t> </w:t>
      </w:r>
      <w:r>
        <w:rPr/>
        <w:t>be</w:t>
      </w:r>
      <w:r>
        <w:rPr>
          <w:spacing w:val="11"/>
        </w:rPr>
        <w:t> </w:t>
      </w:r>
      <w:r>
        <w:rPr/>
        <w:t>submitted</w:t>
      </w:r>
      <w:r>
        <w:rPr>
          <w:spacing w:val="11"/>
        </w:rPr>
        <w:t> </w:t>
      </w:r>
      <w:r>
        <w:rPr/>
        <w:t>to</w:t>
      </w:r>
      <w:r>
        <w:rPr>
          <w:spacing w:val="12"/>
        </w:rPr>
        <w:t> </w:t>
      </w:r>
      <w:r>
        <w:rPr/>
        <w:t>the regulators.</w:t>
      </w:r>
      <w:r>
        <w:rPr>
          <w:spacing w:val="-15"/>
        </w:rPr>
        <w:t> </w:t>
      </w:r>
      <w:r>
        <w:rPr/>
        <w:t>These</w:t>
      </w:r>
      <w:r>
        <w:rPr>
          <w:spacing w:val="-12"/>
        </w:rPr>
        <w:t> </w:t>
      </w:r>
      <w:r>
        <w:rPr/>
        <w:t>petitions</w:t>
      </w:r>
      <w:r>
        <w:rPr>
          <w:spacing w:val="-12"/>
        </w:rPr>
        <w:t> </w:t>
      </w:r>
      <w:r>
        <w:rPr/>
        <w:t>place</w:t>
      </w:r>
      <w:r>
        <w:rPr>
          <w:spacing w:val="-12"/>
        </w:rPr>
        <w:t> </w:t>
      </w:r>
      <w:r>
        <w:rPr/>
        <w:t>the</w:t>
      </w:r>
      <w:r>
        <w:rPr>
          <w:spacing w:val="-12"/>
        </w:rPr>
        <w:t> </w:t>
      </w:r>
      <w:r>
        <w:rPr/>
        <w:t>onus</w:t>
      </w:r>
      <w:r>
        <w:rPr>
          <w:spacing w:val="-12"/>
        </w:rPr>
        <w:t> </w:t>
      </w:r>
      <w:r>
        <w:rPr/>
        <w:t>of</w:t>
      </w:r>
      <w:r>
        <w:rPr>
          <w:spacing w:val="-12"/>
        </w:rPr>
        <w:t> </w:t>
      </w:r>
      <w:r>
        <w:rPr/>
        <w:t>proof</w:t>
      </w:r>
      <w:r>
        <w:rPr>
          <w:spacing w:val="-12"/>
        </w:rPr>
        <w:t> </w:t>
      </w:r>
      <w:r>
        <w:rPr/>
        <w:t>on</w:t>
      </w:r>
      <w:r>
        <w:rPr>
          <w:spacing w:val="-12"/>
        </w:rPr>
        <w:t> </w:t>
      </w:r>
      <w:r>
        <w:rPr/>
        <w:t>the</w:t>
      </w:r>
      <w:r>
        <w:rPr>
          <w:spacing w:val="-12"/>
        </w:rPr>
        <w:t> </w:t>
      </w:r>
      <w:r>
        <w:rPr/>
        <w:t>project proponent that injected fluid will not migrate from</w:t>
      </w:r>
      <w:r>
        <w:rPr>
          <w:spacing w:val="-8"/>
        </w:rPr>
        <w:t> </w:t>
      </w:r>
      <w:r>
        <w:rPr/>
        <w:t>the</w:t>
      </w:r>
      <w:r>
        <w:rPr>
          <w:spacing w:val="-1"/>
        </w:rPr>
        <w:t> </w:t>
      </w:r>
      <w:r>
        <w:rPr/>
        <w:t>disposal site for 10,000 years or more. The fluids can</w:t>
      </w:r>
      <w:r>
        <w:rPr>
          <w:spacing w:val="38"/>
        </w:rPr>
        <w:t> </w:t>
      </w:r>
      <w:r>
        <w:rPr/>
        <w:t>exhibit</w:t>
      </w:r>
      <w:r>
        <w:rPr>
          <w:spacing w:val="5"/>
        </w:rPr>
        <w:t> </w:t>
      </w:r>
      <w:r>
        <w:rPr/>
        <w:t>buoyancy effects,</w:t>
      </w:r>
      <w:r>
        <w:rPr>
          <w:spacing w:val="20"/>
        </w:rPr>
        <w:t> </w:t>
      </w:r>
      <w:r>
        <w:rPr/>
        <w:t>as</w:t>
      </w:r>
      <w:r>
        <w:rPr>
          <w:spacing w:val="20"/>
        </w:rPr>
        <w:t> </w:t>
      </w:r>
      <w:r>
        <w:rPr/>
        <w:t>disposed</w:t>
      </w:r>
      <w:r>
        <w:rPr>
          <w:spacing w:val="20"/>
        </w:rPr>
        <w:t> </w:t>
      </w:r>
      <w:r>
        <w:rPr/>
        <w:t>fluids</w:t>
      </w:r>
      <w:r>
        <w:rPr>
          <w:spacing w:val="19"/>
        </w:rPr>
        <w:t> </w:t>
      </w:r>
      <w:r>
        <w:rPr/>
        <w:t>can</w:t>
      </w:r>
      <w:r>
        <w:rPr>
          <w:spacing w:val="20"/>
        </w:rPr>
        <w:t> </w:t>
      </w:r>
      <w:r>
        <w:rPr/>
        <w:t>be</w:t>
      </w:r>
      <w:r>
        <w:rPr>
          <w:spacing w:val="20"/>
        </w:rPr>
        <w:t> </w:t>
      </w:r>
      <w:r>
        <w:rPr/>
        <w:t>less</w:t>
      </w:r>
      <w:r>
        <w:rPr>
          <w:spacing w:val="20"/>
        </w:rPr>
        <w:t> </w:t>
      </w:r>
      <w:r>
        <w:rPr/>
        <w:t>dense</w:t>
      </w:r>
      <w:r>
        <w:rPr>
          <w:spacing w:val="20"/>
        </w:rPr>
        <w:t> </w:t>
      </w:r>
      <w:r>
        <w:rPr/>
        <w:t>than</w:t>
      </w:r>
      <w:r>
        <w:rPr>
          <w:spacing w:val="20"/>
        </w:rPr>
        <w:t> </w:t>
      </w:r>
      <w:r>
        <w:rPr/>
        <w:t>the</w:t>
      </w:r>
      <w:r>
        <w:rPr>
          <w:spacing w:val="20"/>
        </w:rPr>
        <w:t> </w:t>
      </w:r>
      <w:r>
        <w:rPr/>
        <w:t>connate fluids of the receiving formation. Operators  are</w:t>
      </w:r>
      <w:r>
        <w:rPr>
          <w:spacing w:val="-20"/>
        </w:rPr>
        <w:t> </w:t>
      </w:r>
      <w:r>
        <w:rPr/>
        <w:t>required</w:t>
      </w:r>
      <w:r>
        <w:rPr>
          <w:spacing w:val="40"/>
        </w:rPr>
        <w:t> </w:t>
      </w:r>
      <w:r>
        <w:rPr/>
        <w:t>to use</w:t>
      </w:r>
      <w:r>
        <w:rPr>
          <w:spacing w:val="13"/>
        </w:rPr>
        <w:t> </w:t>
      </w:r>
      <w:r>
        <w:rPr/>
        <w:t>models</w:t>
      </w:r>
      <w:r>
        <w:rPr>
          <w:spacing w:val="13"/>
        </w:rPr>
        <w:t> </w:t>
      </w:r>
      <w:r>
        <w:rPr/>
        <w:t>to</w:t>
      </w:r>
      <w:r>
        <w:rPr>
          <w:spacing w:val="13"/>
        </w:rPr>
        <w:t> </w:t>
      </w:r>
      <w:r>
        <w:rPr/>
        <w:t>demonstrate</w:t>
      </w:r>
      <w:r>
        <w:rPr>
          <w:spacing w:val="14"/>
        </w:rPr>
        <w:t> </w:t>
      </w:r>
      <w:r>
        <w:rPr/>
        <w:t>they</w:t>
      </w:r>
      <w:r>
        <w:rPr>
          <w:spacing w:val="13"/>
        </w:rPr>
        <w:t> </w:t>
      </w:r>
      <w:r>
        <w:rPr/>
        <w:t>can</w:t>
      </w:r>
      <w:r>
        <w:rPr>
          <w:spacing w:val="13"/>
        </w:rPr>
        <w:t> </w:t>
      </w:r>
      <w:r>
        <w:rPr/>
        <w:t>satisfy</w:t>
      </w:r>
      <w:r>
        <w:rPr>
          <w:spacing w:val="13"/>
        </w:rPr>
        <w:t> </w:t>
      </w:r>
      <w:r>
        <w:rPr/>
        <w:t>the</w:t>
      </w:r>
      <w:r>
        <w:rPr>
          <w:spacing w:val="14"/>
        </w:rPr>
        <w:t> </w:t>
      </w:r>
      <w:r>
        <w:rPr/>
        <w:t>‘no-migration’ requirement</w:t>
      </w:r>
      <w:r>
        <w:rPr>
          <w:spacing w:val="18"/>
        </w:rPr>
        <w:t> </w:t>
      </w:r>
      <w:r>
        <w:rPr/>
        <w:t>over</w:t>
      </w:r>
      <w:r>
        <w:rPr>
          <w:spacing w:val="19"/>
        </w:rPr>
        <w:t> </w:t>
      </w:r>
      <w:r>
        <w:rPr/>
        <w:t>10,000</w:t>
      </w:r>
      <w:r>
        <w:rPr>
          <w:spacing w:val="19"/>
        </w:rPr>
        <w:t> </w:t>
      </w:r>
      <w:r>
        <w:rPr/>
        <w:t>years.</w:t>
      </w:r>
      <w:r>
        <w:rPr>
          <w:spacing w:val="17"/>
        </w:rPr>
        <w:t> </w:t>
      </w:r>
      <w:r>
        <w:rPr/>
        <w:t>Wilson</w:t>
      </w:r>
      <w:r>
        <w:rPr>
          <w:spacing w:val="19"/>
        </w:rPr>
        <w:t> </w:t>
      </w:r>
      <w:r>
        <w:rPr>
          <w:i/>
        </w:rPr>
        <w:t>et</w:t>
      </w:r>
      <w:r>
        <w:rPr>
          <w:i/>
          <w:spacing w:val="19"/>
        </w:rPr>
        <w:t> </w:t>
      </w:r>
      <w:r>
        <w:rPr>
          <w:i/>
        </w:rPr>
        <w:t>al.</w:t>
      </w:r>
      <w:r>
        <w:rPr>
          <w:i/>
          <w:spacing w:val="19"/>
        </w:rPr>
        <w:t> </w:t>
      </w:r>
      <w:r>
        <w:rPr/>
        <w:t>(2003)</w:t>
      </w:r>
      <w:r>
        <w:rPr>
          <w:spacing w:val="19"/>
        </w:rPr>
        <w:t> </w:t>
      </w:r>
      <w:r>
        <w:rPr/>
        <w:t>suggests</w:t>
      </w:r>
      <w:r>
        <w:rPr>
          <w:spacing w:val="-1"/>
        </w:rPr>
        <w:t> </w:t>
      </w:r>
      <w:r>
        <w:rPr/>
        <w:t>that this process of proving containment could provide</w:t>
      </w:r>
      <w:r>
        <w:rPr>
          <w:spacing w:val="-17"/>
        </w:rPr>
        <w:t> </w:t>
      </w:r>
      <w:r>
        <w:rPr/>
        <w:t>a</w:t>
      </w:r>
      <w:r>
        <w:rPr>
          <w:spacing w:val="-2"/>
        </w:rPr>
        <w:t> </w:t>
      </w:r>
      <w:r>
        <w:rPr/>
        <w:t>model for</w:t>
      </w:r>
      <w:r>
        <w:rPr>
          <w:spacing w:val="-8"/>
        </w:rPr>
        <w:t> </w:t>
      </w:r>
      <w:r>
        <w:rPr/>
        <w:t>long-term</w:t>
      </w:r>
      <w:r>
        <w:rPr>
          <w:spacing w:val="-7"/>
        </w:rPr>
        <w:t> </w:t>
      </w:r>
      <w:r>
        <w:rPr/>
        <w:t>storage</w:t>
      </w:r>
      <w:r>
        <w:rPr>
          <w:spacing w:val="-8"/>
        </w:rPr>
        <w:t> </w:t>
      </w:r>
      <w:r>
        <w:rPr/>
        <w:t>of</w:t>
      </w:r>
      <w:r>
        <w:rPr>
          <w:spacing w:val="-7"/>
        </w:rPr>
        <w:t> </w:t>
      </w:r>
      <w:r>
        <w:rPr/>
        <w:t>CO</w:t>
      </w:r>
      <w:r>
        <w:rPr>
          <w:position w:val="-6"/>
          <w:sz w:val="11"/>
        </w:rPr>
        <w:t>2</w:t>
      </w:r>
      <w:r>
        <w:rPr/>
        <w:t>.</w:t>
      </w:r>
      <w:r>
        <w:rPr>
          <w:spacing w:val="-10"/>
        </w:rPr>
        <w:t> </w:t>
      </w:r>
      <w:r>
        <w:rPr/>
        <w:t>While</w:t>
      </w:r>
      <w:r>
        <w:rPr>
          <w:spacing w:val="-8"/>
        </w:rPr>
        <w:t> </w:t>
      </w:r>
      <w:r>
        <w:rPr/>
        <w:t>detailed</w:t>
      </w:r>
      <w:r>
        <w:rPr>
          <w:spacing w:val="-7"/>
        </w:rPr>
        <w:t> </w:t>
      </w:r>
      <w:r>
        <w:rPr/>
        <w:t>requirements</w:t>
      </w:r>
      <w:r>
        <w:rPr>
          <w:spacing w:val="-7"/>
        </w:rPr>
        <w:t> </w:t>
      </w:r>
      <w:r>
        <w:rPr/>
        <w:t>exist for</w:t>
      </w:r>
      <w:r>
        <w:rPr>
          <w:spacing w:val="-10"/>
        </w:rPr>
        <w:t> </w:t>
      </w:r>
      <w:r>
        <w:rPr/>
        <w:t>siting,</w:t>
      </w:r>
      <w:r>
        <w:rPr>
          <w:spacing w:val="-9"/>
        </w:rPr>
        <w:t> </w:t>
      </w:r>
      <w:r>
        <w:rPr/>
        <w:t>constructing</w:t>
      </w:r>
      <w:r>
        <w:rPr>
          <w:spacing w:val="-9"/>
        </w:rPr>
        <w:t> </w:t>
      </w:r>
      <w:r>
        <w:rPr/>
        <w:t>and</w:t>
      </w:r>
      <w:r>
        <w:rPr>
          <w:spacing w:val="-10"/>
        </w:rPr>
        <w:t> </w:t>
      </w:r>
      <w:r>
        <w:rPr/>
        <w:t>monitoring</w:t>
      </w:r>
      <w:r>
        <w:rPr>
          <w:spacing w:val="-9"/>
        </w:rPr>
        <w:t> </w:t>
      </w:r>
      <w:r>
        <w:rPr/>
        <w:t>injection</w:t>
      </w:r>
      <w:r>
        <w:rPr>
          <w:spacing w:val="-9"/>
        </w:rPr>
        <w:t> </w:t>
      </w:r>
      <w:r>
        <w:rPr/>
        <w:t>well</w:t>
      </w:r>
      <w:r>
        <w:rPr>
          <w:spacing w:val="-9"/>
        </w:rPr>
        <w:t> </w:t>
      </w:r>
      <w:r>
        <w:rPr/>
        <w:t>operation, there are no federal requirements for monitoring</w:t>
      </w:r>
      <w:r>
        <w:rPr>
          <w:spacing w:val="-12"/>
        </w:rPr>
        <w:t> </w:t>
      </w:r>
      <w:r>
        <w:rPr/>
        <w:t>or</w:t>
      </w:r>
      <w:r>
        <w:rPr>
          <w:spacing w:val="-1"/>
        </w:rPr>
        <w:t> </w:t>
      </w:r>
      <w:r>
        <w:rPr/>
        <w:t>verification</w:t>
      </w:r>
      <w:r>
        <w:rPr>
          <w:w w:val="98"/>
        </w:rPr>
        <w:t> </w:t>
      </w:r>
      <w:r>
        <w:rPr/>
        <w:t>of the actual movement of fluids within the injection</w:t>
      </w:r>
      <w:r>
        <w:rPr>
          <w:spacing w:val="19"/>
        </w:rPr>
        <w:t> </w:t>
      </w:r>
      <w:r>
        <w:rPr/>
        <w:t>zone,</w:t>
      </w:r>
      <w:r>
        <w:rPr>
          <w:spacing w:val="2"/>
        </w:rPr>
        <w:t> </w:t>
      </w:r>
      <w:r>
        <w:rPr/>
        <w:t>nor are</w:t>
      </w:r>
      <w:r>
        <w:rPr>
          <w:spacing w:val="-17"/>
        </w:rPr>
        <w:t> </w:t>
      </w:r>
      <w:r>
        <w:rPr/>
        <w:t>there</w:t>
      </w:r>
      <w:r>
        <w:rPr>
          <w:spacing w:val="-17"/>
        </w:rPr>
        <w:t> </w:t>
      </w:r>
      <w:r>
        <w:rPr/>
        <w:t>general</w:t>
      </w:r>
      <w:r>
        <w:rPr>
          <w:spacing w:val="-17"/>
        </w:rPr>
        <w:t> </w:t>
      </w:r>
      <w:r>
        <w:rPr/>
        <w:t>requirements</w:t>
      </w:r>
      <w:r>
        <w:rPr>
          <w:spacing w:val="-17"/>
        </w:rPr>
        <w:t> </w:t>
      </w:r>
      <w:r>
        <w:rPr/>
        <w:t>for</w:t>
      </w:r>
      <w:r>
        <w:rPr>
          <w:spacing w:val="-17"/>
        </w:rPr>
        <w:t> </w:t>
      </w:r>
      <w:r>
        <w:rPr/>
        <w:t>monitoring</w:t>
      </w:r>
      <w:r>
        <w:rPr>
          <w:spacing w:val="-17"/>
        </w:rPr>
        <w:t> </w:t>
      </w:r>
      <w:r>
        <w:rPr/>
        <w:t>in</w:t>
      </w:r>
      <w:r>
        <w:rPr>
          <w:spacing w:val="-17"/>
        </w:rPr>
        <w:t> </w:t>
      </w:r>
      <w:r>
        <w:rPr/>
        <w:t>overlying</w:t>
      </w:r>
      <w:r>
        <w:rPr>
          <w:spacing w:val="-17"/>
        </w:rPr>
        <w:t> </w:t>
      </w:r>
      <w:r>
        <w:rPr/>
        <w:t>zones to detect leakage. However, there are requirements</w:t>
      </w:r>
      <w:r>
        <w:rPr>
          <w:spacing w:val="-7"/>
        </w:rPr>
        <w:t> </w:t>
      </w:r>
      <w:r>
        <w:rPr/>
        <w:t>for ambient monitoring</w:t>
      </w:r>
      <w:r>
        <w:rPr>
          <w:spacing w:val="8"/>
        </w:rPr>
        <w:t> </w:t>
      </w:r>
      <w:r>
        <w:rPr/>
        <w:t>in</w:t>
      </w:r>
      <w:r>
        <w:rPr>
          <w:spacing w:val="8"/>
        </w:rPr>
        <w:t> </w:t>
      </w:r>
      <w:r>
        <w:rPr/>
        <w:t>deep</w:t>
      </w:r>
      <w:r>
        <w:rPr>
          <w:spacing w:val="9"/>
        </w:rPr>
        <w:t> </w:t>
      </w:r>
      <w:r>
        <w:rPr/>
        <w:t>hazardous</w:t>
      </w:r>
      <w:r>
        <w:rPr>
          <w:spacing w:val="8"/>
        </w:rPr>
        <w:t> </w:t>
      </w:r>
      <w:r>
        <w:rPr/>
        <w:t>and</w:t>
      </w:r>
      <w:r>
        <w:rPr>
          <w:spacing w:val="8"/>
        </w:rPr>
        <w:t> </w:t>
      </w:r>
      <w:r>
        <w:rPr/>
        <w:t>industrial</w:t>
      </w:r>
      <w:r>
        <w:rPr>
          <w:spacing w:val="9"/>
        </w:rPr>
        <w:t> </w:t>
      </w:r>
      <w:r>
        <w:rPr/>
        <w:t>waste</w:t>
      </w:r>
      <w:r>
        <w:rPr>
          <w:spacing w:val="8"/>
        </w:rPr>
        <w:t> </w:t>
      </w:r>
      <w:r>
        <w:rPr/>
        <w:t>wells,</w:t>
      </w:r>
      <w:r>
        <w:rPr>
          <w:spacing w:val="9"/>
        </w:rPr>
        <w:t> </w:t>
      </w:r>
      <w:r>
        <w:rPr/>
        <w:t>with</w:t>
      </w:r>
    </w:p>
    <w:p>
      <w:pPr>
        <w:pStyle w:val="BodyText"/>
        <w:spacing w:before="5"/>
        <w:ind w:left="157"/>
        <w:jc w:val="both"/>
      </w:pPr>
      <w:r>
        <w:rPr/>
        <w:t>the degree of rigour varying from state to state.</w:t>
      </w:r>
    </w:p>
    <w:p>
      <w:pPr>
        <w:pStyle w:val="BodyText"/>
        <w:spacing w:line="240" w:lineRule="exact" w:before="5"/>
        <w:ind w:left="157" w:right="51" w:firstLine="283"/>
        <w:jc w:val="both"/>
      </w:pPr>
      <w:r>
        <w:rPr>
          <w:spacing w:val="-3"/>
        </w:rPr>
        <w:t>Vine</w:t>
      </w:r>
      <w:r>
        <w:rPr>
          <w:spacing w:val="-31"/>
        </w:rPr>
        <w:t> </w:t>
      </w:r>
      <w:r>
        <w:rPr/>
        <w:t>(2004)</w:t>
      </w:r>
      <w:r>
        <w:rPr>
          <w:spacing w:val="-31"/>
        </w:rPr>
        <w:t> </w:t>
      </w:r>
      <w:r>
        <w:rPr/>
        <w:t>provides</w:t>
      </w:r>
      <w:r>
        <w:rPr>
          <w:spacing w:val="-30"/>
        </w:rPr>
        <w:t> </w:t>
      </w:r>
      <w:r>
        <w:rPr/>
        <w:t>an</w:t>
      </w:r>
      <w:r>
        <w:rPr>
          <w:spacing w:val="-31"/>
        </w:rPr>
        <w:t> </w:t>
      </w:r>
      <w:r>
        <w:rPr/>
        <w:t>extensive</w:t>
      </w:r>
      <w:r>
        <w:rPr>
          <w:spacing w:val="-30"/>
        </w:rPr>
        <w:t> </w:t>
      </w:r>
      <w:r>
        <w:rPr/>
        <w:t>overview</w:t>
      </w:r>
      <w:r>
        <w:rPr>
          <w:spacing w:val="-31"/>
        </w:rPr>
        <w:t> </w:t>
      </w:r>
      <w:r>
        <w:rPr/>
        <w:t>of</w:t>
      </w:r>
      <w:r>
        <w:rPr>
          <w:spacing w:val="-30"/>
        </w:rPr>
        <w:t> </w:t>
      </w:r>
      <w:r>
        <w:rPr/>
        <w:t>environmental regulations that might affect geological CO</w:t>
      </w:r>
      <w:r>
        <w:rPr>
          <w:position w:val="-6"/>
          <w:sz w:val="11"/>
        </w:rPr>
        <w:t>2 </w:t>
      </w:r>
      <w:r>
        <w:rPr/>
        <w:t>storage projects in California.</w:t>
      </w:r>
      <w:r>
        <w:rPr>
          <w:spacing w:val="-7"/>
        </w:rPr>
        <w:t> </w:t>
      </w:r>
      <w:r>
        <w:rPr/>
        <w:t>Given</w:t>
      </w:r>
      <w:r>
        <w:rPr>
          <w:spacing w:val="-6"/>
        </w:rPr>
        <w:t> </w:t>
      </w:r>
      <w:r>
        <w:rPr/>
        <w:t>that</w:t>
      </w:r>
      <w:r>
        <w:rPr>
          <w:spacing w:val="-7"/>
        </w:rPr>
        <w:t> </w:t>
      </w:r>
      <w:r>
        <w:rPr/>
        <w:t>a</w:t>
      </w:r>
      <w:r>
        <w:rPr>
          <w:spacing w:val="-5"/>
        </w:rPr>
        <w:t> </w:t>
      </w:r>
      <w:r>
        <w:rPr/>
        <w:t>developer</w:t>
      </w:r>
      <w:r>
        <w:rPr>
          <w:spacing w:val="-6"/>
        </w:rPr>
        <w:t> </w:t>
      </w:r>
      <w:r>
        <w:rPr/>
        <w:t>may</w:t>
      </w:r>
      <w:r>
        <w:rPr>
          <w:spacing w:val="-7"/>
        </w:rPr>
        <w:t> </w:t>
      </w:r>
      <w:r>
        <w:rPr/>
        <w:t>need</w:t>
      </w:r>
      <w:r>
        <w:rPr>
          <w:spacing w:val="-6"/>
        </w:rPr>
        <w:t> </w:t>
      </w:r>
      <w:r>
        <w:rPr/>
        <w:t>to</w:t>
      </w:r>
      <w:r>
        <w:rPr>
          <w:spacing w:val="-5"/>
        </w:rPr>
        <w:t> </w:t>
      </w:r>
      <w:r>
        <w:rPr/>
        <w:t>acquire</w:t>
      </w:r>
      <w:r>
        <w:rPr>
          <w:spacing w:val="-7"/>
        </w:rPr>
        <w:t> </w:t>
      </w:r>
      <w:r>
        <w:rPr/>
        <w:t>up</w:t>
      </w:r>
      <w:r>
        <w:rPr>
          <w:spacing w:val="-5"/>
        </w:rPr>
        <w:t> </w:t>
      </w:r>
      <w:r>
        <w:rPr/>
        <w:t>to</w:t>
      </w:r>
      <w:r>
        <w:rPr>
          <w:spacing w:val="-5"/>
        </w:rPr>
        <w:t> </w:t>
      </w:r>
      <w:r>
        <w:rPr/>
        <w:t>15 permits from federal, state and local authorities, </w:t>
      </w:r>
      <w:r>
        <w:rPr>
          <w:spacing w:val="-3"/>
        </w:rPr>
        <w:t>Vine </w:t>
      </w:r>
      <w:r>
        <w:rPr/>
        <w:t>stresses the need for research to quantitatively assess the impacts of regulations on project development.</w:t>
      </w:r>
    </w:p>
    <w:p>
      <w:pPr>
        <w:pStyle w:val="BodyText"/>
        <w:spacing w:line="240" w:lineRule="exact"/>
        <w:ind w:left="157" w:right="50" w:firstLine="283"/>
        <w:jc w:val="both"/>
      </w:pPr>
      <w:r>
        <w:rPr/>
        <w:t>In Australia, permitting responsibility  for  onshore  oil  and gas activities reside with the State Governments, while offshore</w:t>
      </w:r>
      <w:r>
        <w:rPr>
          <w:spacing w:val="-12"/>
        </w:rPr>
        <w:t> </w:t>
      </w:r>
      <w:r>
        <w:rPr/>
        <w:t>activities</w:t>
      </w:r>
      <w:r>
        <w:rPr>
          <w:spacing w:val="-11"/>
        </w:rPr>
        <w:t> </w:t>
      </w:r>
      <w:r>
        <w:rPr/>
        <w:t>are</w:t>
      </w:r>
      <w:r>
        <w:rPr>
          <w:spacing w:val="-11"/>
        </w:rPr>
        <w:t> </w:t>
      </w:r>
      <w:r>
        <w:rPr/>
        <w:t>primarily</w:t>
      </w:r>
      <w:r>
        <w:rPr>
          <w:spacing w:val="-12"/>
        </w:rPr>
        <w:t> </w:t>
      </w:r>
      <w:r>
        <w:rPr/>
        <w:t>the</w:t>
      </w:r>
      <w:r>
        <w:rPr>
          <w:spacing w:val="-11"/>
        </w:rPr>
        <w:t> </w:t>
      </w:r>
      <w:r>
        <w:rPr/>
        <w:t>responsibility</w:t>
      </w:r>
      <w:r>
        <w:rPr>
          <w:spacing w:val="-11"/>
        </w:rPr>
        <w:t> </w:t>
      </w:r>
      <w:r>
        <w:rPr/>
        <w:t>of</w:t>
      </w:r>
      <w:r>
        <w:rPr>
          <w:spacing w:val="-12"/>
        </w:rPr>
        <w:t> </w:t>
      </w:r>
      <w:r>
        <w:rPr/>
        <w:t>the</w:t>
      </w:r>
      <w:r>
        <w:rPr>
          <w:spacing w:val="-11"/>
        </w:rPr>
        <w:t> </w:t>
      </w:r>
      <w:r>
        <w:rPr/>
        <w:t>Federal Government. A comprehensive assessment of the Australian regulatory regime is under </w:t>
      </w:r>
      <w:r>
        <w:rPr>
          <w:spacing w:val="-4"/>
        </w:rPr>
        <w:t>way, </w:t>
      </w:r>
      <w:r>
        <w:rPr/>
        <w:t>but so far only South Australia has adopted legislation regulating the underground injection  of gases such as CO</w:t>
      </w:r>
      <w:r>
        <w:rPr>
          <w:position w:val="-6"/>
          <w:sz w:val="11"/>
        </w:rPr>
        <w:t>2 </w:t>
      </w:r>
      <w:r>
        <w:rPr/>
        <w:t>for EOR and for storage. Stringent environmental impact assessments are required for </w:t>
      </w:r>
      <w:r>
        <w:rPr>
          <w:spacing w:val="-5"/>
        </w:rPr>
        <w:t>all </w:t>
      </w:r>
      <w:r>
        <w:rPr/>
        <w:t>activities that could compromise the quality of surface water</w:t>
      </w:r>
      <w:r>
        <w:rPr>
          <w:spacing w:val="-29"/>
        </w:rPr>
        <w:t> </w:t>
      </w:r>
      <w:r>
        <w:rPr/>
        <w:t>or groundwater.</w:t>
      </w:r>
    </w:p>
    <w:p>
      <w:pPr>
        <w:pStyle w:val="BodyText"/>
        <w:spacing w:line="240" w:lineRule="exact"/>
        <w:ind w:left="157" w:right="51" w:firstLine="283"/>
        <w:jc w:val="both"/>
      </w:pPr>
      <w:r>
        <w:rPr/>
        <w:t>The 25 member states of the European Union (EU) have  to ensure that geological storage of CO</w:t>
      </w:r>
      <w:r>
        <w:rPr>
          <w:position w:val="-6"/>
          <w:sz w:val="11"/>
        </w:rPr>
        <w:t>2 </w:t>
      </w:r>
      <w:r>
        <w:rPr/>
        <w:t>is in conformity with relevant EU Directives. A number of directives could have an influence</w:t>
      </w:r>
      <w:r>
        <w:rPr>
          <w:spacing w:val="-10"/>
        </w:rPr>
        <w:t> </w:t>
      </w:r>
      <w:r>
        <w:rPr/>
        <w:t>on</w:t>
      </w:r>
      <w:r>
        <w:rPr>
          <w:spacing w:val="-9"/>
        </w:rPr>
        <w:t> </w:t>
      </w:r>
      <w:r>
        <w:rPr/>
        <w:t>CO</w:t>
      </w:r>
      <w:r>
        <w:rPr>
          <w:position w:val="-6"/>
          <w:sz w:val="11"/>
        </w:rPr>
        <w:t>2</w:t>
      </w:r>
      <w:r>
        <w:rPr>
          <w:spacing w:val="13"/>
          <w:position w:val="-6"/>
          <w:sz w:val="11"/>
        </w:rPr>
        <w:t> </w:t>
      </w:r>
      <w:r>
        <w:rPr/>
        <w:t>geological</w:t>
      </w:r>
      <w:r>
        <w:rPr>
          <w:spacing w:val="-10"/>
        </w:rPr>
        <w:t> </w:t>
      </w:r>
      <w:r>
        <w:rPr/>
        <w:t>storage</w:t>
      </w:r>
      <w:r>
        <w:rPr>
          <w:spacing w:val="-9"/>
        </w:rPr>
        <w:t> </w:t>
      </w:r>
      <w:r>
        <w:rPr/>
        <w:t>in</w:t>
      </w:r>
      <w:r>
        <w:rPr>
          <w:spacing w:val="-9"/>
        </w:rPr>
        <w:t> </w:t>
      </w:r>
      <w:r>
        <w:rPr/>
        <w:t>the</w:t>
      </w:r>
      <w:r>
        <w:rPr>
          <w:spacing w:val="-10"/>
        </w:rPr>
        <w:t> </w:t>
      </w:r>
      <w:r>
        <w:rPr/>
        <w:t>EU,</w:t>
      </w:r>
      <w:r>
        <w:rPr>
          <w:spacing w:val="-9"/>
        </w:rPr>
        <w:t> </w:t>
      </w:r>
      <w:r>
        <w:rPr/>
        <w:t>notably</w:t>
      </w:r>
      <w:r>
        <w:rPr>
          <w:spacing w:val="-10"/>
        </w:rPr>
        <w:t> </w:t>
      </w:r>
      <w:r>
        <w:rPr/>
        <w:t>those</w:t>
      </w:r>
      <w:r>
        <w:rPr>
          <w:spacing w:val="-9"/>
        </w:rPr>
        <w:t> </w:t>
      </w:r>
      <w:r>
        <w:rPr/>
        <w:t>on waste</w:t>
      </w:r>
      <w:r>
        <w:rPr>
          <w:spacing w:val="-34"/>
        </w:rPr>
        <w:t> </w:t>
      </w:r>
      <w:r>
        <w:rPr/>
        <w:t>(75/442/EEC),</w:t>
      </w:r>
      <w:r>
        <w:rPr>
          <w:spacing w:val="-33"/>
        </w:rPr>
        <w:t> </w:t>
      </w:r>
      <w:r>
        <w:rPr/>
        <w:t>landfill</w:t>
      </w:r>
      <w:r>
        <w:rPr>
          <w:spacing w:val="-33"/>
        </w:rPr>
        <w:t> </w:t>
      </w:r>
      <w:r>
        <w:rPr/>
        <w:t>(1999/31/EC),</w:t>
      </w:r>
      <w:r>
        <w:rPr>
          <w:spacing w:val="-33"/>
        </w:rPr>
        <w:t> </w:t>
      </w:r>
      <w:r>
        <w:rPr/>
        <w:t>water</w:t>
      </w:r>
      <w:r>
        <w:rPr>
          <w:spacing w:val="-34"/>
        </w:rPr>
        <w:t> </w:t>
      </w:r>
      <w:r>
        <w:rPr/>
        <w:t>(2000/60/EC), environmental impact assessment (85/337/EEC) and strategic environmental</w:t>
      </w:r>
      <w:r>
        <w:rPr>
          <w:spacing w:val="-10"/>
        </w:rPr>
        <w:t> </w:t>
      </w:r>
      <w:r>
        <w:rPr/>
        <w:t>assessment</w:t>
      </w:r>
      <w:r>
        <w:rPr>
          <w:spacing w:val="-10"/>
        </w:rPr>
        <w:t> </w:t>
      </w:r>
      <w:r>
        <w:rPr/>
        <w:t>(2001/42/EC).</w:t>
      </w:r>
      <w:r>
        <w:rPr>
          <w:spacing w:val="-13"/>
        </w:rPr>
        <w:t> </w:t>
      </w:r>
      <w:r>
        <w:rPr/>
        <w:t>These</w:t>
      </w:r>
      <w:r>
        <w:rPr>
          <w:spacing w:val="-10"/>
        </w:rPr>
        <w:t> </w:t>
      </w:r>
      <w:r>
        <w:rPr/>
        <w:t>directives</w:t>
      </w:r>
      <w:r>
        <w:rPr>
          <w:spacing w:val="-9"/>
        </w:rPr>
        <w:t> </w:t>
      </w:r>
      <w:r>
        <w:rPr/>
        <w:t>were designed in a situation where CO</w:t>
      </w:r>
      <w:r>
        <w:rPr>
          <w:position w:val="-6"/>
          <w:sz w:val="11"/>
        </w:rPr>
        <w:t>2 </w:t>
      </w:r>
      <w:r>
        <w:rPr/>
        <w:t>capture and storage was not taken into account and is not specifically</w:t>
      </w:r>
      <w:r>
        <w:rPr>
          <w:spacing w:val="-8"/>
        </w:rPr>
        <w:t> </w:t>
      </w:r>
      <w:r>
        <w:rPr/>
        <w:t>mentioned.</w:t>
      </w:r>
    </w:p>
    <w:p>
      <w:pPr>
        <w:pStyle w:val="BodyText"/>
        <w:spacing w:line="225" w:lineRule="auto" w:before="16"/>
        <w:ind w:left="157" w:right="52" w:firstLine="283"/>
        <w:jc w:val="both"/>
      </w:pPr>
      <w:r>
        <w:rPr/>
        <w:t>There</w:t>
      </w:r>
      <w:r>
        <w:rPr>
          <w:spacing w:val="-6"/>
        </w:rPr>
        <w:t> </w:t>
      </w:r>
      <w:r>
        <w:rPr/>
        <w:t>is</w:t>
      </w:r>
      <w:r>
        <w:rPr>
          <w:spacing w:val="-6"/>
        </w:rPr>
        <w:t> </w:t>
      </w:r>
      <w:r>
        <w:rPr/>
        <w:t>one</w:t>
      </w:r>
      <w:r>
        <w:rPr>
          <w:spacing w:val="-6"/>
        </w:rPr>
        <w:t> </w:t>
      </w:r>
      <w:r>
        <w:rPr/>
        <w:t>comprehensive</w:t>
      </w:r>
      <w:r>
        <w:rPr>
          <w:spacing w:val="-6"/>
        </w:rPr>
        <w:t> </w:t>
      </w:r>
      <w:r>
        <w:rPr/>
        <w:t>Dutch</w:t>
      </w:r>
      <w:r>
        <w:rPr>
          <w:spacing w:val="-7"/>
        </w:rPr>
        <w:t> </w:t>
      </w:r>
      <w:r>
        <w:rPr/>
        <w:t>study</w:t>
      </w:r>
      <w:r>
        <w:rPr>
          <w:spacing w:val="-7"/>
        </w:rPr>
        <w:t> </w:t>
      </w:r>
      <w:r>
        <w:rPr/>
        <w:t>detailing</w:t>
      </w:r>
      <w:r>
        <w:rPr>
          <w:spacing w:val="-7"/>
        </w:rPr>
        <w:t> </w:t>
      </w:r>
      <w:r>
        <w:rPr/>
        <w:t>legal</w:t>
      </w:r>
      <w:r>
        <w:rPr>
          <w:spacing w:val="-6"/>
        </w:rPr>
        <w:t> </w:t>
      </w:r>
      <w:r>
        <w:rPr/>
        <w:t>and regulatory aspects of CO</w:t>
      </w:r>
      <w:r>
        <w:rPr>
          <w:position w:val="-6"/>
          <w:sz w:val="11"/>
        </w:rPr>
        <w:t>2 </w:t>
      </w:r>
      <w:r>
        <w:rPr/>
        <w:t>underground injection and storage (CRUST Legal </w:t>
      </w:r>
      <w:r>
        <w:rPr>
          <w:spacing w:val="-4"/>
        </w:rPr>
        <w:t>Task </w:t>
      </w:r>
      <w:r>
        <w:rPr/>
        <w:t>Force, 2001), including ownership of the stored CO</w:t>
      </w:r>
      <w:r>
        <w:rPr>
          <w:position w:val="-6"/>
          <w:sz w:val="11"/>
        </w:rPr>
        <w:t>2</w:t>
      </w:r>
      <w:r>
        <w:rPr/>
        <w:t>, duty of care, liability and claim settlement. It has as its basis the legal situation established by the Dutch</w:t>
      </w:r>
      <w:r>
        <w:rPr>
          <w:spacing w:val="32"/>
        </w:rPr>
        <w:t> </w:t>
      </w:r>
      <w:r>
        <w:rPr/>
        <w:t>Mining</w:t>
      </w:r>
    </w:p>
    <w:p>
      <w:pPr>
        <w:pStyle w:val="BodyText"/>
        <w:spacing w:line="240" w:lineRule="exact" w:before="58"/>
        <w:ind w:left="157" w:right="531"/>
        <w:jc w:val="both"/>
      </w:pPr>
      <w:r>
        <w:rPr/>
        <w:br w:type="column"/>
      </w:r>
      <w:r>
        <w:rPr/>
        <w:t>Act of 2003 that covers ‘substances’ stored underground and unites previously divided regulation of onshore and </w:t>
      </w:r>
      <w:r>
        <w:rPr>
          <w:spacing w:val="-3"/>
        </w:rPr>
        <w:t>offshore </w:t>
      </w:r>
      <w:r>
        <w:rPr/>
        <w:t>activities. Storage is defined as ‘placing or keeping substances at depth of more than 100 m below the surface of the earth’. Legal interpretation indicates that CO</w:t>
      </w:r>
      <w:r>
        <w:rPr>
          <w:position w:val="-6"/>
          <w:sz w:val="11"/>
        </w:rPr>
        <w:t>2 </w:t>
      </w:r>
      <w:r>
        <w:rPr/>
        <w:t>intended for storage would</w:t>
      </w:r>
      <w:r>
        <w:rPr>
          <w:spacing w:val="-10"/>
        </w:rPr>
        <w:t> </w:t>
      </w:r>
      <w:r>
        <w:rPr/>
        <w:t>have</w:t>
      </w:r>
      <w:r>
        <w:rPr>
          <w:spacing w:val="-9"/>
        </w:rPr>
        <w:t> </w:t>
      </w:r>
      <w:r>
        <w:rPr/>
        <w:t>to</w:t>
      </w:r>
      <w:r>
        <w:rPr>
          <w:spacing w:val="-8"/>
        </w:rPr>
        <w:t> </w:t>
      </w:r>
      <w:r>
        <w:rPr/>
        <w:t>be</w:t>
      </w:r>
      <w:r>
        <w:rPr>
          <w:spacing w:val="-9"/>
        </w:rPr>
        <w:t> </w:t>
      </w:r>
      <w:r>
        <w:rPr/>
        <w:t>treated</w:t>
      </w:r>
      <w:r>
        <w:rPr>
          <w:spacing w:val="-9"/>
        </w:rPr>
        <w:t> </w:t>
      </w:r>
      <w:r>
        <w:rPr/>
        <w:t>as</w:t>
      </w:r>
      <w:r>
        <w:rPr>
          <w:spacing w:val="-8"/>
        </w:rPr>
        <w:t> </w:t>
      </w:r>
      <w:r>
        <w:rPr/>
        <w:t>waste,</w:t>
      </w:r>
      <w:r>
        <w:rPr>
          <w:spacing w:val="-10"/>
        </w:rPr>
        <w:t> </w:t>
      </w:r>
      <w:r>
        <w:rPr/>
        <w:t>because</w:t>
      </w:r>
      <w:r>
        <w:rPr>
          <w:spacing w:val="-9"/>
        </w:rPr>
        <w:t> </w:t>
      </w:r>
      <w:r>
        <w:rPr/>
        <w:t>it</w:t>
      </w:r>
      <w:r>
        <w:rPr>
          <w:spacing w:val="-9"/>
        </w:rPr>
        <w:t> </w:t>
      </w:r>
      <w:r>
        <w:rPr/>
        <w:t>was</w:t>
      </w:r>
      <w:r>
        <w:rPr>
          <w:spacing w:val="-9"/>
        </w:rPr>
        <w:t> </w:t>
      </w:r>
      <w:r>
        <w:rPr/>
        <w:t>collected</w:t>
      </w:r>
      <w:r>
        <w:rPr>
          <w:spacing w:val="-10"/>
        </w:rPr>
        <w:t> </w:t>
      </w:r>
      <w:r>
        <w:rPr/>
        <w:t>with the explicit purpose of disposal.</w:t>
      </w:r>
    </w:p>
    <w:p>
      <w:pPr>
        <w:pStyle w:val="BodyText"/>
        <w:spacing w:line="225" w:lineRule="auto" w:before="13"/>
        <w:ind w:left="157" w:right="530" w:firstLine="283"/>
        <w:jc w:val="both"/>
      </w:pPr>
      <w:r>
        <w:rPr/>
        <w:t>Regulating CO</w:t>
      </w:r>
      <w:r>
        <w:rPr>
          <w:position w:val="-6"/>
          <w:sz w:val="11"/>
        </w:rPr>
        <w:t>2 </w:t>
      </w:r>
      <w:r>
        <w:rPr/>
        <w:t>storage presents a variety of challenges:</w:t>
      </w:r>
      <w:r>
        <w:rPr>
          <w:spacing w:val="-29"/>
        </w:rPr>
        <w:t> </w:t>
      </w:r>
      <w:r>
        <w:rPr/>
        <w:t>the scale</w:t>
      </w:r>
      <w:r>
        <w:rPr>
          <w:spacing w:val="-10"/>
        </w:rPr>
        <w:t> </w:t>
      </w:r>
      <w:r>
        <w:rPr/>
        <w:t>of</w:t>
      </w:r>
      <w:r>
        <w:rPr>
          <w:spacing w:val="-9"/>
        </w:rPr>
        <w:t> </w:t>
      </w:r>
      <w:r>
        <w:rPr/>
        <w:t>the</w:t>
      </w:r>
      <w:r>
        <w:rPr>
          <w:spacing w:val="-9"/>
        </w:rPr>
        <w:t> </w:t>
      </w:r>
      <w:r>
        <w:rPr/>
        <w:t>activity,</w:t>
      </w:r>
      <w:r>
        <w:rPr>
          <w:spacing w:val="-9"/>
        </w:rPr>
        <w:t> </w:t>
      </w:r>
      <w:r>
        <w:rPr/>
        <w:t>the</w:t>
      </w:r>
      <w:r>
        <w:rPr>
          <w:spacing w:val="-8"/>
        </w:rPr>
        <w:t> </w:t>
      </w:r>
      <w:r>
        <w:rPr/>
        <w:t>need</w:t>
      </w:r>
      <w:r>
        <w:rPr>
          <w:spacing w:val="-10"/>
        </w:rPr>
        <w:t> </w:t>
      </w:r>
      <w:r>
        <w:rPr/>
        <w:t>to</w:t>
      </w:r>
      <w:r>
        <w:rPr>
          <w:spacing w:val="-9"/>
        </w:rPr>
        <w:t> </w:t>
      </w:r>
      <w:r>
        <w:rPr/>
        <w:t>monitor</w:t>
      </w:r>
      <w:r>
        <w:rPr>
          <w:spacing w:val="-9"/>
        </w:rPr>
        <w:t> </w:t>
      </w:r>
      <w:r>
        <w:rPr/>
        <w:t>and</w:t>
      </w:r>
      <w:r>
        <w:rPr>
          <w:spacing w:val="-9"/>
        </w:rPr>
        <w:t> </w:t>
      </w:r>
      <w:r>
        <w:rPr/>
        <w:t>verify</w:t>
      </w:r>
      <w:r>
        <w:rPr>
          <w:spacing w:val="-9"/>
        </w:rPr>
        <w:t> </w:t>
      </w:r>
      <w:r>
        <w:rPr/>
        <w:t>containment and</w:t>
      </w:r>
      <w:r>
        <w:rPr>
          <w:spacing w:val="17"/>
        </w:rPr>
        <w:t> </w:t>
      </w:r>
      <w:r>
        <w:rPr/>
        <w:t>any</w:t>
      </w:r>
      <w:r>
        <w:rPr>
          <w:spacing w:val="17"/>
        </w:rPr>
        <w:t> </w:t>
      </w:r>
      <w:r>
        <w:rPr/>
        <w:t>leakage</w:t>
      </w:r>
      <w:r>
        <w:rPr>
          <w:spacing w:val="17"/>
        </w:rPr>
        <w:t> </w:t>
      </w:r>
      <w:r>
        <w:rPr/>
        <w:t>of</w:t>
      </w:r>
      <w:r>
        <w:rPr>
          <w:spacing w:val="17"/>
        </w:rPr>
        <w:t> </w:t>
      </w:r>
      <w:r>
        <w:rPr/>
        <w:t>a</w:t>
      </w:r>
      <w:r>
        <w:rPr>
          <w:spacing w:val="17"/>
        </w:rPr>
        <w:t> </w:t>
      </w:r>
      <w:r>
        <w:rPr/>
        <w:t>buoyant</w:t>
      </w:r>
      <w:r>
        <w:rPr>
          <w:spacing w:val="17"/>
        </w:rPr>
        <w:t> </w:t>
      </w:r>
      <w:r>
        <w:rPr/>
        <w:t>fluid</w:t>
      </w:r>
      <w:r>
        <w:rPr>
          <w:spacing w:val="18"/>
        </w:rPr>
        <w:t> </w:t>
      </w:r>
      <w:r>
        <w:rPr/>
        <w:t>and</w:t>
      </w:r>
      <w:r>
        <w:rPr>
          <w:spacing w:val="17"/>
        </w:rPr>
        <w:t> </w:t>
      </w:r>
      <w:r>
        <w:rPr/>
        <w:t>the</w:t>
      </w:r>
      <w:r>
        <w:rPr>
          <w:spacing w:val="17"/>
        </w:rPr>
        <w:t> </w:t>
      </w:r>
      <w:r>
        <w:rPr/>
        <w:t>long</w:t>
      </w:r>
      <w:r>
        <w:rPr>
          <w:spacing w:val="17"/>
        </w:rPr>
        <w:t> </w:t>
      </w:r>
      <w:r>
        <w:rPr/>
        <w:t>storage</w:t>
      </w:r>
      <w:r>
        <w:rPr>
          <w:spacing w:val="17"/>
        </w:rPr>
        <w:t> </w:t>
      </w:r>
      <w:r>
        <w:rPr/>
        <w:t>time</w:t>
      </w:r>
    </w:p>
    <w:p>
      <w:pPr>
        <w:pStyle w:val="BodyText"/>
        <w:spacing w:line="225" w:lineRule="auto" w:before="24"/>
        <w:ind w:left="157" w:right="530"/>
        <w:jc w:val="both"/>
      </w:pPr>
      <w:r>
        <w:rPr/>
        <w:t>– all of which require specific regulatory considerations. Additionally, injecting large quantities of CO</w:t>
      </w:r>
      <w:r>
        <w:rPr>
          <w:position w:val="-6"/>
          <w:sz w:val="11"/>
        </w:rPr>
        <w:t>2 </w:t>
      </w:r>
      <w:r>
        <w:rPr/>
        <w:t>into saline formations that have not been extensively characterized  </w:t>
      </w:r>
      <w:r>
        <w:rPr>
          <w:spacing w:val="-8"/>
        </w:rPr>
        <w:t>or </w:t>
      </w:r>
      <w:r>
        <w:rPr/>
        <w:t>may be close to populated areas creates potential risks that will need to be considered. Eventually, linkages between a CO</w:t>
      </w:r>
      <w:r>
        <w:rPr>
          <w:position w:val="-6"/>
          <w:sz w:val="11"/>
        </w:rPr>
        <w:t>2</w:t>
      </w:r>
      <w:r>
        <w:rPr>
          <w:sz w:val="11"/>
        </w:rPr>
        <w:t> </w:t>
      </w:r>
      <w:r>
        <w:rPr/>
        <w:t>storage programme and a larger national and international CO</w:t>
      </w:r>
      <w:r>
        <w:rPr>
          <w:position w:val="-6"/>
          <w:sz w:val="11"/>
        </w:rPr>
        <w:t>2</w:t>
      </w:r>
      <w:r>
        <w:rPr>
          <w:sz w:val="11"/>
        </w:rPr>
        <w:t> </w:t>
      </w:r>
      <w:r>
        <w:rPr/>
        <w:t>accounting regime will need to be credibly</w:t>
      </w:r>
      <w:r>
        <w:rPr>
          <w:spacing w:val="-3"/>
        </w:rPr>
        <w:t> </w:t>
      </w:r>
      <w:r>
        <w:rPr/>
        <w:t>established.</w:t>
      </w:r>
    </w:p>
    <w:p>
      <w:pPr>
        <w:pStyle w:val="BodyText"/>
        <w:spacing w:before="2"/>
        <w:rPr>
          <w:sz w:val="21"/>
        </w:rPr>
      </w:pPr>
    </w:p>
    <w:p>
      <w:pPr>
        <w:pStyle w:val="Heading2"/>
        <w:numPr>
          <w:ilvl w:val="2"/>
          <w:numId w:val="7"/>
        </w:numPr>
        <w:tabs>
          <w:tab w:pos="976" w:val="left" w:leader="none"/>
          <w:tab w:pos="977" w:val="left" w:leader="none"/>
        </w:tabs>
        <w:spacing w:line="240" w:lineRule="auto" w:before="1" w:after="0"/>
        <w:ind w:left="977" w:right="0" w:hanging="820"/>
        <w:jc w:val="left"/>
        <w:rPr>
          <w:i/>
        </w:rPr>
      </w:pPr>
      <w:r>
        <w:rPr>
          <w:i/>
        </w:rPr>
        <w:t>Subsurface property</w:t>
      </w:r>
      <w:r>
        <w:rPr>
          <w:i/>
          <w:spacing w:val="-16"/>
        </w:rPr>
        <w:t> </w:t>
      </w:r>
      <w:r>
        <w:rPr>
          <w:i/>
        </w:rPr>
        <w:t>rights</w:t>
      </w:r>
    </w:p>
    <w:p>
      <w:pPr>
        <w:pStyle w:val="BodyText"/>
        <w:spacing w:before="3"/>
        <w:rPr>
          <w:b/>
          <w:i/>
          <w:sz w:val="21"/>
        </w:rPr>
      </w:pPr>
    </w:p>
    <w:p>
      <w:pPr>
        <w:pStyle w:val="BodyText"/>
        <w:spacing w:line="240" w:lineRule="exact"/>
        <w:ind w:left="157" w:right="530"/>
        <w:jc w:val="both"/>
      </w:pPr>
      <w:r>
        <w:rPr/>
        <w:t>Storage of CO</w:t>
      </w:r>
      <w:r>
        <w:rPr>
          <w:position w:val="-6"/>
          <w:sz w:val="11"/>
        </w:rPr>
        <w:t>2 </w:t>
      </w:r>
      <w:r>
        <w:rPr/>
        <w:t>in the subsurface raises several questions: Could</w:t>
      </w:r>
      <w:r>
        <w:rPr>
          <w:spacing w:val="-7"/>
        </w:rPr>
        <w:t> </w:t>
      </w:r>
      <w:r>
        <w:rPr/>
        <w:t>rights</w:t>
      </w:r>
      <w:r>
        <w:rPr>
          <w:spacing w:val="-6"/>
        </w:rPr>
        <w:t> </w:t>
      </w:r>
      <w:r>
        <w:rPr/>
        <w:t>to</w:t>
      </w:r>
      <w:r>
        <w:rPr>
          <w:spacing w:val="-7"/>
        </w:rPr>
        <w:t> </w:t>
      </w:r>
      <w:r>
        <w:rPr/>
        <w:t>pore</w:t>
      </w:r>
      <w:r>
        <w:rPr>
          <w:spacing w:val="-6"/>
        </w:rPr>
        <w:t> </w:t>
      </w:r>
      <w:r>
        <w:rPr/>
        <w:t>space</w:t>
      </w:r>
      <w:r>
        <w:rPr>
          <w:spacing w:val="-6"/>
        </w:rPr>
        <w:t> </w:t>
      </w:r>
      <w:r>
        <w:rPr/>
        <w:t>be</w:t>
      </w:r>
      <w:r>
        <w:rPr>
          <w:spacing w:val="-7"/>
        </w:rPr>
        <w:t> </w:t>
      </w:r>
      <w:r>
        <w:rPr/>
        <w:t>transferred</w:t>
      </w:r>
      <w:r>
        <w:rPr>
          <w:spacing w:val="-6"/>
        </w:rPr>
        <w:t> </w:t>
      </w:r>
      <w:r>
        <w:rPr/>
        <w:t>to</w:t>
      </w:r>
      <w:r>
        <w:rPr>
          <w:spacing w:val="-7"/>
        </w:rPr>
        <w:t> </w:t>
      </w:r>
      <w:r>
        <w:rPr/>
        <w:t>another</w:t>
      </w:r>
      <w:r>
        <w:rPr>
          <w:spacing w:val="-6"/>
        </w:rPr>
        <w:t> </w:t>
      </w:r>
      <w:r>
        <w:rPr/>
        <w:t>party?</w:t>
      </w:r>
      <w:r>
        <w:rPr>
          <w:spacing w:val="-9"/>
        </w:rPr>
        <w:t> </w:t>
      </w:r>
      <w:r>
        <w:rPr/>
        <w:t>Who owns CO</w:t>
      </w:r>
      <w:r>
        <w:rPr>
          <w:position w:val="-6"/>
          <w:sz w:val="11"/>
        </w:rPr>
        <w:t>2 </w:t>
      </w:r>
      <w:r>
        <w:rPr/>
        <w:t>stored in pore space? How can storage of CO</w:t>
      </w:r>
      <w:r>
        <w:rPr>
          <w:position w:val="-6"/>
          <w:sz w:val="11"/>
        </w:rPr>
        <w:t>2  </w:t>
      </w:r>
      <w:r>
        <w:rPr/>
        <w:t>in  the pore space be managed so as to  assure  minimal damage to other property rights (e.g., mineral resources, water rights) sharing the same space? Rights to use subsurface pore space could be granted, separating them from ownership of the surface property. This, for example, appears to apply to most European countries and Canada, whereas in the United States, while there are currently no specific property-rights issues that could govern CO</w:t>
      </w:r>
      <w:r>
        <w:rPr>
          <w:position w:val="-6"/>
          <w:sz w:val="11"/>
        </w:rPr>
        <w:t>2 </w:t>
      </w:r>
      <w:r>
        <w:rPr/>
        <w:t>storage, the rights to the subsurface can be severed from the</w:t>
      </w:r>
      <w:r>
        <w:rPr>
          <w:spacing w:val="-2"/>
        </w:rPr>
        <w:t> </w:t>
      </w:r>
      <w:r>
        <w:rPr/>
        <w:t>land.</w:t>
      </w:r>
    </w:p>
    <w:p>
      <w:pPr>
        <w:pStyle w:val="BodyText"/>
        <w:spacing w:line="240" w:lineRule="exact"/>
        <w:ind w:left="157" w:right="528" w:firstLine="283"/>
        <w:jc w:val="both"/>
      </w:pPr>
      <w:r>
        <w:rPr/>
        <w:t>Scale is also an important issue. Simulations have shown that the areal extent of a plume of CO</w:t>
      </w:r>
      <w:r>
        <w:rPr>
          <w:position w:val="-6"/>
          <w:sz w:val="11"/>
        </w:rPr>
        <w:t>2 </w:t>
      </w:r>
      <w:r>
        <w:rPr/>
        <w:t>injected from a 1 </w:t>
      </w:r>
      <w:r>
        <w:rPr>
          <w:spacing w:val="-7"/>
        </w:rPr>
        <w:t>GW </w:t>
      </w:r>
      <w:r>
        <w:rPr/>
        <w:t>coal-fired power plant over 30 years into a 100-m-thick </w:t>
      </w:r>
      <w:r>
        <w:rPr>
          <w:spacing w:val="-3"/>
        </w:rPr>
        <w:t>zone </w:t>
      </w:r>
      <w:r>
        <w:rPr/>
        <w:t>will be approximately 100 km</w:t>
      </w:r>
      <w:r>
        <w:rPr>
          <w:position w:val="7"/>
          <w:sz w:val="11"/>
        </w:rPr>
        <w:t>2 </w:t>
      </w:r>
      <w:r>
        <w:rPr/>
        <w:t>(Rutqvist  and </w:t>
      </w:r>
      <w:r>
        <w:rPr>
          <w:spacing w:val="-3"/>
        </w:rPr>
        <w:t>Tsang,  </w:t>
      </w:r>
      <w:r>
        <w:rPr/>
        <w:t>2002) and may grow after injection ceases. The approach to dealing with this issue will </w:t>
      </w:r>
      <w:r>
        <w:rPr>
          <w:spacing w:val="-3"/>
        </w:rPr>
        <w:t>vary, </w:t>
      </w:r>
      <w:r>
        <w:rPr/>
        <w:t>depending on the legal framework for ownership of subsurface pore space. In Europe, for example, pore space is owned by the State and, therefore, utilization is addressed in the licensing process. In the United States, on the other hand, the determination of subsurface property rights on non-federal lands will vary according to state jurisdiction. In most jurisdictions, the surface owner is entitled to exclusive possession of the space formerly occupied by the subsurface minerals when the minerals are exhausted, that is, the ‘pore space’.</w:t>
      </w:r>
      <w:r>
        <w:rPr>
          <w:spacing w:val="-11"/>
        </w:rPr>
        <w:t> </w:t>
      </w:r>
      <w:r>
        <w:rPr/>
        <w:t>In</w:t>
      </w:r>
      <w:r>
        <w:rPr>
          <w:spacing w:val="-11"/>
        </w:rPr>
        <w:t> </w:t>
      </w:r>
      <w:r>
        <w:rPr/>
        <w:t>other</w:t>
      </w:r>
      <w:r>
        <w:rPr>
          <w:spacing w:val="-10"/>
        </w:rPr>
        <w:t> </w:t>
      </w:r>
      <w:r>
        <w:rPr/>
        <w:t>jurisdictions,</w:t>
      </w:r>
      <w:r>
        <w:rPr>
          <w:spacing w:val="-11"/>
        </w:rPr>
        <w:t> </w:t>
      </w:r>
      <w:r>
        <w:rPr/>
        <w:t>however,</w:t>
      </w:r>
      <w:r>
        <w:rPr>
          <w:spacing w:val="-11"/>
        </w:rPr>
        <w:t> </w:t>
      </w:r>
      <w:r>
        <w:rPr/>
        <w:t>no</w:t>
      </w:r>
      <w:r>
        <w:rPr>
          <w:spacing w:val="-10"/>
        </w:rPr>
        <w:t> </w:t>
      </w:r>
      <w:r>
        <w:rPr/>
        <w:t>such</w:t>
      </w:r>
      <w:r>
        <w:rPr>
          <w:spacing w:val="-11"/>
        </w:rPr>
        <w:t> </w:t>
      </w:r>
      <w:r>
        <w:rPr/>
        <w:t>precedent</w:t>
      </w:r>
      <w:r>
        <w:rPr>
          <w:spacing w:val="-11"/>
        </w:rPr>
        <w:t> </w:t>
      </w:r>
      <w:r>
        <w:rPr/>
        <w:t>exists (Wilson, 2004). Some guidance for answering these questions can be found in the property rights arrangements associated with natural gas storage (McKinnon,</w:t>
      </w:r>
      <w:r>
        <w:rPr>
          <w:spacing w:val="-4"/>
        </w:rPr>
        <w:t> </w:t>
      </w:r>
      <w:r>
        <w:rPr/>
        <w:t>1998).</w:t>
      </w:r>
    </w:p>
    <w:p>
      <w:pPr>
        <w:pStyle w:val="BodyText"/>
        <w:spacing w:before="4"/>
        <w:rPr>
          <w:sz w:val="21"/>
        </w:rPr>
      </w:pPr>
    </w:p>
    <w:p>
      <w:pPr>
        <w:pStyle w:val="Heading2"/>
        <w:numPr>
          <w:ilvl w:val="2"/>
          <w:numId w:val="7"/>
        </w:numPr>
        <w:tabs>
          <w:tab w:pos="976" w:val="left" w:leader="none"/>
          <w:tab w:pos="977" w:val="left" w:leader="none"/>
        </w:tabs>
        <w:spacing w:line="240" w:lineRule="auto" w:before="0" w:after="0"/>
        <w:ind w:left="977" w:right="0" w:hanging="820"/>
        <w:jc w:val="left"/>
        <w:rPr>
          <w:i/>
        </w:rPr>
      </w:pPr>
      <w:r>
        <w:rPr>
          <w:i/>
        </w:rPr>
        <w:t>Long-term liability</w:t>
      </w:r>
    </w:p>
    <w:p>
      <w:pPr>
        <w:pStyle w:val="BodyText"/>
        <w:spacing w:before="8"/>
        <w:rPr>
          <w:b/>
          <w:i/>
          <w:sz w:val="21"/>
        </w:rPr>
      </w:pPr>
    </w:p>
    <w:p>
      <w:pPr>
        <w:pStyle w:val="BodyText"/>
        <w:spacing w:line="249" w:lineRule="auto"/>
        <w:ind w:left="157" w:right="529"/>
        <w:jc w:val="both"/>
      </w:pPr>
      <w:r>
        <w:rPr/>
        <w:t>It</w:t>
      </w:r>
      <w:r>
        <w:rPr>
          <w:spacing w:val="-6"/>
        </w:rPr>
        <w:t> </w:t>
      </w:r>
      <w:r>
        <w:rPr/>
        <w:t>is</w:t>
      </w:r>
      <w:r>
        <w:rPr>
          <w:spacing w:val="-6"/>
        </w:rPr>
        <w:t> </w:t>
      </w:r>
      <w:r>
        <w:rPr/>
        <w:t>important</w:t>
      </w:r>
      <w:r>
        <w:rPr>
          <w:spacing w:val="-5"/>
        </w:rPr>
        <w:t> </w:t>
      </w:r>
      <w:r>
        <w:rPr/>
        <w:t>that</w:t>
      </w:r>
      <w:r>
        <w:rPr>
          <w:spacing w:val="-6"/>
        </w:rPr>
        <w:t> </w:t>
      </w:r>
      <w:r>
        <w:rPr/>
        <w:t>liabilities</w:t>
      </w:r>
      <w:r>
        <w:rPr>
          <w:spacing w:val="-5"/>
        </w:rPr>
        <w:t> </w:t>
      </w:r>
      <w:r>
        <w:rPr/>
        <w:t>that</w:t>
      </w:r>
      <w:r>
        <w:rPr>
          <w:spacing w:val="-6"/>
        </w:rPr>
        <w:t> </w:t>
      </w:r>
      <w:r>
        <w:rPr/>
        <w:t>may</w:t>
      </w:r>
      <w:r>
        <w:rPr>
          <w:spacing w:val="-5"/>
        </w:rPr>
        <w:t> </w:t>
      </w:r>
      <w:r>
        <w:rPr/>
        <w:t>apply</w:t>
      </w:r>
      <w:r>
        <w:rPr>
          <w:spacing w:val="-6"/>
        </w:rPr>
        <w:t> </w:t>
      </w:r>
      <w:r>
        <w:rPr/>
        <w:t>to</w:t>
      </w:r>
      <w:r>
        <w:rPr>
          <w:spacing w:val="-5"/>
        </w:rPr>
        <w:t> </w:t>
      </w:r>
      <w:r>
        <w:rPr/>
        <w:t>a</w:t>
      </w:r>
      <w:r>
        <w:rPr>
          <w:spacing w:val="-6"/>
        </w:rPr>
        <w:t> </w:t>
      </w:r>
      <w:r>
        <w:rPr/>
        <w:t>storage</w:t>
      </w:r>
      <w:r>
        <w:rPr>
          <w:spacing w:val="-5"/>
        </w:rPr>
        <w:t> </w:t>
      </w:r>
      <w:r>
        <w:rPr/>
        <w:t>project are clear to its proponent, including those liabilities that </w:t>
      </w:r>
      <w:r>
        <w:rPr>
          <w:spacing w:val="-5"/>
        </w:rPr>
        <w:t>are </w:t>
      </w:r>
      <w:r>
        <w:rPr/>
        <w:t>applicable</w:t>
      </w:r>
      <w:r>
        <w:rPr>
          <w:spacing w:val="24"/>
        </w:rPr>
        <w:t> </w:t>
      </w:r>
      <w:r>
        <w:rPr/>
        <w:t>after</w:t>
      </w:r>
      <w:r>
        <w:rPr>
          <w:spacing w:val="24"/>
        </w:rPr>
        <w:t> </w:t>
      </w:r>
      <w:r>
        <w:rPr/>
        <w:t>the</w:t>
      </w:r>
      <w:r>
        <w:rPr>
          <w:spacing w:val="25"/>
        </w:rPr>
        <w:t> </w:t>
      </w:r>
      <w:r>
        <w:rPr/>
        <w:t>conclusion</w:t>
      </w:r>
      <w:r>
        <w:rPr>
          <w:spacing w:val="24"/>
        </w:rPr>
        <w:t> </w:t>
      </w:r>
      <w:r>
        <w:rPr/>
        <w:t>of</w:t>
      </w:r>
      <w:r>
        <w:rPr>
          <w:spacing w:val="24"/>
        </w:rPr>
        <w:t> </w:t>
      </w:r>
      <w:r>
        <w:rPr/>
        <w:t>the</w:t>
      </w:r>
      <w:r>
        <w:rPr>
          <w:spacing w:val="25"/>
        </w:rPr>
        <w:t> </w:t>
      </w:r>
      <w:r>
        <w:rPr/>
        <w:t>project.</w:t>
      </w:r>
      <w:r>
        <w:rPr>
          <w:spacing w:val="20"/>
        </w:rPr>
        <w:t> </w:t>
      </w:r>
      <w:r>
        <w:rPr/>
        <w:t>While</w:t>
      </w:r>
      <w:r>
        <w:rPr>
          <w:spacing w:val="25"/>
        </w:rPr>
        <w:t> </w:t>
      </w:r>
      <w:r>
        <w:rPr/>
        <w:t>a</w:t>
      </w:r>
      <w:r>
        <w:rPr>
          <w:spacing w:val="20"/>
        </w:rPr>
        <w:t> </w:t>
      </w:r>
      <w:r>
        <w:rPr>
          <w:spacing w:val="-3"/>
        </w:rPr>
        <w:t>White</w:t>
      </w:r>
    </w:p>
    <w:p>
      <w:pPr>
        <w:spacing w:after="0" w:line="249" w:lineRule="auto"/>
        <w:jc w:val="both"/>
        <w:sectPr>
          <w:type w:val="continuous"/>
          <w:pgSz w:w="12240" w:h="15840"/>
          <w:pgMar w:top="400" w:bottom="280" w:left="580" w:right="600"/>
          <w:cols w:num="2" w:equalWidth="0">
            <w:col w:w="5255" w:space="71"/>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553"/>
        <w:jc w:val="both"/>
      </w:pPr>
      <w:bookmarkStart w:name="5.8.5 Public perception and acceptance" w:id="106"/>
      <w:bookmarkEnd w:id="106"/>
      <w:r>
        <w:rPr/>
      </w:r>
      <w:r>
        <w:rPr/>
        <w:t>Paper by the European Commission outlines the general approach to environmental liability (EU, 2000), literature specifically addressing liability regimes for CO</w:t>
      </w:r>
      <w:r>
        <w:rPr>
          <w:position w:val="-6"/>
          <w:sz w:val="11"/>
        </w:rPr>
        <w:t>2 </w:t>
      </w:r>
      <w:r>
        <w:rPr/>
        <w:t>storage is sparse. De Figueiredo </w:t>
      </w:r>
      <w:r>
        <w:rPr>
          <w:i/>
        </w:rPr>
        <w:t>et al. </w:t>
      </w:r>
      <w:r>
        <w:rPr/>
        <w:t>(2005) propose a framework to examine the implications of different types of liability on the viability of geological CO</w:t>
      </w:r>
      <w:r>
        <w:rPr>
          <w:position w:val="-6"/>
          <w:sz w:val="11"/>
        </w:rPr>
        <w:t>2 </w:t>
      </w:r>
      <w:r>
        <w:rPr/>
        <w:t>storage and stress that the way in which liability is addressed may have a significant impact on costs and on public perception of CO</w:t>
      </w:r>
      <w:r>
        <w:rPr>
          <w:position w:val="-6"/>
          <w:sz w:val="11"/>
        </w:rPr>
        <w:t>2 </w:t>
      </w:r>
      <w:r>
        <w:rPr/>
        <w:t>geological storage.</w:t>
      </w:r>
    </w:p>
    <w:p>
      <w:pPr>
        <w:pStyle w:val="BodyText"/>
        <w:spacing w:line="240" w:lineRule="exact"/>
        <w:ind w:left="553" w:right="1" w:firstLine="283"/>
        <w:jc w:val="both"/>
      </w:pPr>
      <w:r>
        <w:rPr/>
        <w:t>A</w:t>
      </w:r>
      <w:r>
        <w:rPr>
          <w:spacing w:val="-19"/>
        </w:rPr>
        <w:t> </w:t>
      </w:r>
      <w:r>
        <w:rPr/>
        <w:t>number</w:t>
      </w:r>
      <w:r>
        <w:rPr>
          <w:spacing w:val="-7"/>
        </w:rPr>
        <w:t> </w:t>
      </w:r>
      <w:r>
        <w:rPr/>
        <w:t>of</w:t>
      </w:r>
      <w:r>
        <w:rPr>
          <w:spacing w:val="-7"/>
        </w:rPr>
        <w:t> </w:t>
      </w:r>
      <w:r>
        <w:rPr/>
        <w:t>novel</w:t>
      </w:r>
      <w:r>
        <w:rPr>
          <w:spacing w:val="-7"/>
        </w:rPr>
        <w:t> </w:t>
      </w:r>
      <w:r>
        <w:rPr/>
        <w:t>issues</w:t>
      </w:r>
      <w:r>
        <w:rPr>
          <w:spacing w:val="-7"/>
        </w:rPr>
        <w:t> </w:t>
      </w:r>
      <w:r>
        <w:rPr/>
        <w:t>arise</w:t>
      </w:r>
      <w:r>
        <w:rPr>
          <w:spacing w:val="-7"/>
        </w:rPr>
        <w:t> </w:t>
      </w:r>
      <w:r>
        <w:rPr/>
        <w:t>with</w:t>
      </w:r>
      <w:r>
        <w:rPr>
          <w:spacing w:val="-8"/>
        </w:rPr>
        <w:t> </w:t>
      </w:r>
      <w:r>
        <w:rPr/>
        <w:t>CO</w:t>
      </w:r>
      <w:r>
        <w:rPr>
          <w:position w:val="-6"/>
          <w:sz w:val="11"/>
        </w:rPr>
        <w:t>2</w:t>
      </w:r>
      <w:r>
        <w:rPr>
          <w:spacing w:val="16"/>
          <w:position w:val="-6"/>
          <w:sz w:val="11"/>
        </w:rPr>
        <w:t> </w:t>
      </w:r>
      <w:r>
        <w:rPr/>
        <w:t>geological</w:t>
      </w:r>
      <w:r>
        <w:rPr>
          <w:spacing w:val="-8"/>
        </w:rPr>
        <w:t> </w:t>
      </w:r>
      <w:r>
        <w:rPr/>
        <w:t>storage. In</w:t>
      </w:r>
      <w:r>
        <w:rPr>
          <w:spacing w:val="-13"/>
        </w:rPr>
        <w:t> </w:t>
      </w:r>
      <w:r>
        <w:rPr/>
        <w:t>addition</w:t>
      </w:r>
      <w:r>
        <w:rPr>
          <w:spacing w:val="-14"/>
        </w:rPr>
        <w:t> </w:t>
      </w:r>
      <w:r>
        <w:rPr/>
        <w:t>to</w:t>
      </w:r>
      <w:r>
        <w:rPr>
          <w:spacing w:val="-13"/>
        </w:rPr>
        <w:t> </w:t>
      </w:r>
      <w:r>
        <w:rPr/>
        <w:t>long-term</w:t>
      </w:r>
      <w:r>
        <w:rPr>
          <w:spacing w:val="-14"/>
        </w:rPr>
        <w:t> </w:t>
      </w:r>
      <w:r>
        <w:rPr>
          <w:i/>
        </w:rPr>
        <w:t>in-situ</w:t>
      </w:r>
      <w:r>
        <w:rPr>
          <w:i/>
          <w:spacing w:val="-14"/>
        </w:rPr>
        <w:t> </w:t>
      </w:r>
      <w:r>
        <w:rPr/>
        <w:t>risk</w:t>
      </w:r>
      <w:r>
        <w:rPr>
          <w:spacing w:val="-13"/>
        </w:rPr>
        <w:t> </w:t>
      </w:r>
      <w:r>
        <w:rPr/>
        <w:t>liability,</w:t>
      </w:r>
      <w:r>
        <w:rPr>
          <w:spacing w:val="-13"/>
        </w:rPr>
        <w:t> </w:t>
      </w:r>
      <w:r>
        <w:rPr/>
        <w:t>which</w:t>
      </w:r>
      <w:r>
        <w:rPr>
          <w:spacing w:val="-14"/>
        </w:rPr>
        <w:t> </w:t>
      </w:r>
      <w:r>
        <w:rPr/>
        <w:t>may</w:t>
      </w:r>
      <w:r>
        <w:rPr>
          <w:spacing w:val="-13"/>
        </w:rPr>
        <w:t> </w:t>
      </w:r>
      <w:r>
        <w:rPr/>
        <w:t>become a public liability after project decommissioning, global </w:t>
      </w:r>
      <w:r>
        <w:rPr>
          <w:spacing w:val="-3"/>
        </w:rPr>
        <w:t>risks </w:t>
      </w:r>
      <w:r>
        <w:rPr/>
        <w:t>associated with leakage of CO</w:t>
      </w:r>
      <w:r>
        <w:rPr>
          <w:position w:val="-6"/>
          <w:sz w:val="11"/>
        </w:rPr>
        <w:t>2  </w:t>
      </w:r>
      <w:r>
        <w:rPr/>
        <w:t>to the atmosphere may need   to be considered. Current injection practices do not </w:t>
      </w:r>
      <w:r>
        <w:rPr>
          <w:spacing w:val="-3"/>
        </w:rPr>
        <w:t>require  </w:t>
      </w:r>
      <w:r>
        <w:rPr/>
        <w:t>any long-term monitoring or verification regime. The cost </w:t>
      </w:r>
      <w:r>
        <w:rPr>
          <w:spacing w:val="-7"/>
        </w:rPr>
        <w:t>of </w:t>
      </w:r>
      <w:r>
        <w:rPr/>
        <w:t>monitoring and verification regimes and risk of leakage will</w:t>
      </w:r>
      <w:r>
        <w:rPr>
          <w:spacing w:val="-14"/>
        </w:rPr>
        <w:t> </w:t>
      </w:r>
      <w:r>
        <w:rPr/>
        <w:t>be important in managing</w:t>
      </w:r>
      <w:r>
        <w:rPr>
          <w:spacing w:val="-1"/>
        </w:rPr>
        <w:t> </w:t>
      </w:r>
      <w:r>
        <w:rPr/>
        <w:t>liability.</w:t>
      </w:r>
    </w:p>
    <w:p>
      <w:pPr>
        <w:pStyle w:val="BodyText"/>
        <w:spacing w:line="240" w:lineRule="exact"/>
        <w:ind w:left="553" w:firstLine="283"/>
        <w:jc w:val="both"/>
      </w:pPr>
      <w:r>
        <w:rPr/>
        <w:t>There are also considerations about the longevity </w:t>
      </w:r>
      <w:r>
        <w:rPr>
          <w:spacing w:val="-8"/>
        </w:rPr>
        <w:t>of </w:t>
      </w:r>
      <w:r>
        <w:rPr/>
        <w:t>institutions and transferability of institutional knowledge. </w:t>
      </w:r>
      <w:r>
        <w:rPr>
          <w:spacing w:val="-8"/>
        </w:rPr>
        <w:t>If </w:t>
      </w:r>
      <w:r>
        <w:rPr/>
        <w:t>long-term liability for CO</w:t>
      </w:r>
      <w:r>
        <w:rPr>
          <w:position w:val="-6"/>
          <w:sz w:val="11"/>
        </w:rPr>
        <w:t>2 </w:t>
      </w:r>
      <w:r>
        <w:rPr/>
        <w:t>geological storage is transformed into a public liability, can ongoing monitoring and verification be assured and who will pay for these actions? How will information on storage locations be tracked and disseminated to other parties interested in using the subsurface? What are the time frames for storage? Is it realistic (or necessary) to put monitoring or information systems in place for hundreds of years?</w:t>
      </w:r>
    </w:p>
    <w:p>
      <w:pPr>
        <w:pStyle w:val="BodyText"/>
        <w:spacing w:line="240" w:lineRule="exact"/>
        <w:ind w:left="553" w:firstLine="283"/>
        <w:jc w:val="both"/>
      </w:pPr>
      <w:r>
        <w:rPr/>
        <w:t>Any discussion of long-term CO</w:t>
      </w:r>
      <w:r>
        <w:rPr>
          <w:position w:val="-6"/>
          <w:sz w:val="11"/>
        </w:rPr>
        <w:t>2 </w:t>
      </w:r>
      <w:r>
        <w:rPr/>
        <w:t>geological storage also involves intergenerational liability and thus justification </w:t>
      </w:r>
      <w:r>
        <w:rPr>
          <w:spacing w:val="-6"/>
        </w:rPr>
        <w:t>of </w:t>
      </w:r>
      <w:r>
        <w:rPr/>
        <w:t>such activities involves an ethical dimension. Some aspects of storage </w:t>
      </w:r>
      <w:r>
        <w:rPr>
          <w:spacing w:val="-3"/>
        </w:rPr>
        <w:t>security, </w:t>
      </w:r>
      <w:r>
        <w:rPr/>
        <w:t>such as leakage up abandoned wells, may be realized</w:t>
      </w:r>
      <w:r>
        <w:rPr>
          <w:spacing w:val="-9"/>
        </w:rPr>
        <w:t> </w:t>
      </w:r>
      <w:r>
        <w:rPr/>
        <w:t>only</w:t>
      </w:r>
      <w:r>
        <w:rPr>
          <w:spacing w:val="-9"/>
        </w:rPr>
        <w:t> </w:t>
      </w:r>
      <w:r>
        <w:rPr/>
        <w:t>over</w:t>
      </w:r>
      <w:r>
        <w:rPr>
          <w:spacing w:val="-9"/>
        </w:rPr>
        <w:t> </w:t>
      </w:r>
      <w:r>
        <w:rPr/>
        <w:t>a</w:t>
      </w:r>
      <w:r>
        <w:rPr>
          <w:spacing w:val="-8"/>
        </w:rPr>
        <w:t> </w:t>
      </w:r>
      <w:r>
        <w:rPr/>
        <w:t>long</w:t>
      </w:r>
      <w:r>
        <w:rPr>
          <w:spacing w:val="-9"/>
        </w:rPr>
        <w:t> </w:t>
      </w:r>
      <w:r>
        <w:rPr/>
        <w:t>time</w:t>
      </w:r>
      <w:r>
        <w:rPr>
          <w:spacing w:val="-9"/>
        </w:rPr>
        <w:t> </w:t>
      </w:r>
      <w:r>
        <w:rPr/>
        <w:t>frame,</w:t>
      </w:r>
      <w:r>
        <w:rPr>
          <w:spacing w:val="-8"/>
        </w:rPr>
        <w:t> </w:t>
      </w:r>
      <w:r>
        <w:rPr/>
        <w:t>thus</w:t>
      </w:r>
      <w:r>
        <w:rPr>
          <w:spacing w:val="-9"/>
        </w:rPr>
        <w:t> </w:t>
      </w:r>
      <w:r>
        <w:rPr/>
        <w:t>posing</w:t>
      </w:r>
      <w:r>
        <w:rPr>
          <w:spacing w:val="-9"/>
        </w:rPr>
        <w:t> </w:t>
      </w:r>
      <w:r>
        <w:rPr/>
        <w:t>a</w:t>
      </w:r>
      <w:r>
        <w:rPr>
          <w:spacing w:val="-9"/>
        </w:rPr>
        <w:t> </w:t>
      </w:r>
      <w:r>
        <w:rPr/>
        <w:t>risk</w:t>
      </w:r>
      <w:r>
        <w:rPr>
          <w:spacing w:val="-8"/>
        </w:rPr>
        <w:t> </w:t>
      </w:r>
      <w:r>
        <w:rPr/>
        <w:t>to</w:t>
      </w:r>
      <w:r>
        <w:rPr>
          <w:spacing w:val="-9"/>
        </w:rPr>
        <w:t> </w:t>
      </w:r>
      <w:r>
        <w:rPr>
          <w:spacing w:val="-3"/>
        </w:rPr>
        <w:t>future </w:t>
      </w:r>
      <w:r>
        <w:rPr/>
        <w:t>generations. Assumptions on cost, discounting and the rate of technological progress can all lead to dramatically </w:t>
      </w:r>
      <w:r>
        <w:rPr>
          <w:spacing w:val="-3"/>
        </w:rPr>
        <w:t>different  </w:t>
      </w:r>
      <w:r>
        <w:rPr/>
        <w:t>interpretations of liability and its importance and need to </w:t>
      </w:r>
      <w:r>
        <w:rPr>
          <w:spacing w:val="-7"/>
        </w:rPr>
        <w:t>be </w:t>
      </w:r>
      <w:r>
        <w:rPr/>
        <w:t>closely examined.</w:t>
      </w:r>
    </w:p>
    <w:p>
      <w:pPr>
        <w:pStyle w:val="BodyText"/>
        <w:spacing w:before="3"/>
        <w:rPr>
          <w:sz w:val="21"/>
        </w:rPr>
      </w:pPr>
    </w:p>
    <w:p>
      <w:pPr>
        <w:pStyle w:val="Heading2"/>
        <w:numPr>
          <w:ilvl w:val="2"/>
          <w:numId w:val="7"/>
        </w:numPr>
        <w:tabs>
          <w:tab w:pos="1374" w:val="left" w:leader="none"/>
        </w:tabs>
        <w:spacing w:line="240" w:lineRule="auto" w:before="1" w:after="0"/>
        <w:ind w:left="1373" w:right="0" w:hanging="821"/>
        <w:jc w:val="both"/>
        <w:rPr>
          <w:i/>
        </w:rPr>
      </w:pPr>
      <w:r>
        <w:rPr>
          <w:i/>
        </w:rPr>
        <w:t>Public perception and acceptance</w:t>
      </w:r>
    </w:p>
    <w:p>
      <w:pPr>
        <w:pStyle w:val="BodyText"/>
        <w:spacing w:before="3"/>
        <w:rPr>
          <w:b/>
          <w:i/>
          <w:sz w:val="21"/>
        </w:rPr>
      </w:pPr>
    </w:p>
    <w:p>
      <w:pPr>
        <w:pStyle w:val="BodyText"/>
        <w:spacing w:line="240" w:lineRule="exact"/>
        <w:ind w:left="553"/>
        <w:jc w:val="both"/>
      </w:pPr>
      <w:r>
        <w:rPr/>
        <w:t>There</w:t>
      </w:r>
      <w:r>
        <w:rPr>
          <w:spacing w:val="-8"/>
        </w:rPr>
        <w:t> </w:t>
      </w:r>
      <w:r>
        <w:rPr/>
        <w:t>is</w:t>
      </w:r>
      <w:r>
        <w:rPr>
          <w:spacing w:val="-7"/>
        </w:rPr>
        <w:t> </w:t>
      </w:r>
      <w:r>
        <w:rPr/>
        <w:t>insufficient</w:t>
      </w:r>
      <w:r>
        <w:rPr>
          <w:spacing w:val="-8"/>
        </w:rPr>
        <w:t> </w:t>
      </w:r>
      <w:r>
        <w:rPr/>
        <w:t>public</w:t>
      </w:r>
      <w:r>
        <w:rPr>
          <w:spacing w:val="-7"/>
        </w:rPr>
        <w:t> </w:t>
      </w:r>
      <w:r>
        <w:rPr/>
        <w:t>knowledge</w:t>
      </w:r>
      <w:r>
        <w:rPr>
          <w:spacing w:val="-8"/>
        </w:rPr>
        <w:t> </w:t>
      </w:r>
      <w:r>
        <w:rPr/>
        <w:t>of</w:t>
      </w:r>
      <w:r>
        <w:rPr>
          <w:spacing w:val="-7"/>
        </w:rPr>
        <w:t> </w:t>
      </w:r>
      <w:r>
        <w:rPr/>
        <w:t>climate</w:t>
      </w:r>
      <w:r>
        <w:rPr>
          <w:spacing w:val="-8"/>
        </w:rPr>
        <w:t> </w:t>
      </w:r>
      <w:r>
        <w:rPr/>
        <w:t>change</w:t>
      </w:r>
      <w:r>
        <w:rPr>
          <w:spacing w:val="-7"/>
        </w:rPr>
        <w:t> </w:t>
      </w:r>
      <w:r>
        <w:rPr/>
        <w:t>issues and</w:t>
      </w:r>
      <w:r>
        <w:rPr>
          <w:spacing w:val="-7"/>
        </w:rPr>
        <w:t> </w:t>
      </w:r>
      <w:r>
        <w:rPr/>
        <w:t>of</w:t>
      </w:r>
      <w:r>
        <w:rPr>
          <w:spacing w:val="-7"/>
        </w:rPr>
        <w:t> </w:t>
      </w:r>
      <w:r>
        <w:rPr/>
        <w:t>the</w:t>
      </w:r>
      <w:r>
        <w:rPr>
          <w:spacing w:val="-7"/>
        </w:rPr>
        <w:t> </w:t>
      </w:r>
      <w:r>
        <w:rPr/>
        <w:t>various</w:t>
      </w:r>
      <w:r>
        <w:rPr>
          <w:spacing w:val="-7"/>
        </w:rPr>
        <w:t> </w:t>
      </w:r>
      <w:r>
        <w:rPr/>
        <w:t>mitigation</w:t>
      </w:r>
      <w:r>
        <w:rPr>
          <w:spacing w:val="-7"/>
        </w:rPr>
        <w:t> </w:t>
      </w:r>
      <w:r>
        <w:rPr/>
        <w:t>options,</w:t>
      </w:r>
      <w:r>
        <w:rPr>
          <w:spacing w:val="-7"/>
        </w:rPr>
        <w:t> </w:t>
      </w:r>
      <w:r>
        <w:rPr/>
        <w:t>their</w:t>
      </w:r>
      <w:r>
        <w:rPr>
          <w:spacing w:val="-7"/>
        </w:rPr>
        <w:t> </w:t>
      </w:r>
      <w:r>
        <w:rPr/>
        <w:t>potential</w:t>
      </w:r>
      <w:r>
        <w:rPr>
          <w:spacing w:val="-7"/>
        </w:rPr>
        <w:t> </w:t>
      </w:r>
      <w:r>
        <w:rPr/>
        <w:t>impact</w:t>
      </w:r>
      <w:r>
        <w:rPr>
          <w:spacing w:val="-7"/>
        </w:rPr>
        <w:t> </w:t>
      </w:r>
      <w:r>
        <w:rPr/>
        <w:t>and their</w:t>
      </w:r>
      <w:r>
        <w:rPr>
          <w:spacing w:val="-10"/>
        </w:rPr>
        <w:t> </w:t>
      </w:r>
      <w:r>
        <w:rPr/>
        <w:t>practicality.</w:t>
      </w:r>
      <w:r>
        <w:rPr>
          <w:spacing w:val="-13"/>
        </w:rPr>
        <w:t> </w:t>
      </w:r>
      <w:r>
        <w:rPr/>
        <w:t>The</w:t>
      </w:r>
      <w:r>
        <w:rPr>
          <w:spacing w:val="-9"/>
        </w:rPr>
        <w:t> </w:t>
      </w:r>
      <w:r>
        <w:rPr/>
        <w:t>study</w:t>
      </w:r>
      <w:r>
        <w:rPr>
          <w:spacing w:val="-10"/>
        </w:rPr>
        <w:t> </w:t>
      </w:r>
      <w:r>
        <w:rPr/>
        <w:t>of</w:t>
      </w:r>
      <w:r>
        <w:rPr>
          <w:spacing w:val="-9"/>
        </w:rPr>
        <w:t> </w:t>
      </w:r>
      <w:r>
        <w:rPr/>
        <w:t>public</w:t>
      </w:r>
      <w:r>
        <w:rPr>
          <w:spacing w:val="-9"/>
        </w:rPr>
        <w:t> </w:t>
      </w:r>
      <w:r>
        <w:rPr/>
        <w:t>perceptions</w:t>
      </w:r>
      <w:r>
        <w:rPr>
          <w:spacing w:val="-10"/>
        </w:rPr>
        <w:t> </w:t>
      </w:r>
      <w:r>
        <w:rPr/>
        <w:t>and</w:t>
      </w:r>
      <w:r>
        <w:rPr>
          <w:spacing w:val="-9"/>
        </w:rPr>
        <w:t> </w:t>
      </w:r>
      <w:r>
        <w:rPr/>
        <w:t>perceived acceptability</w:t>
      </w:r>
      <w:r>
        <w:rPr>
          <w:spacing w:val="-13"/>
        </w:rPr>
        <w:t> </w:t>
      </w:r>
      <w:r>
        <w:rPr/>
        <w:t>of</w:t>
      </w:r>
      <w:r>
        <w:rPr>
          <w:spacing w:val="-12"/>
        </w:rPr>
        <w:t> </w:t>
      </w:r>
      <w:r>
        <w:rPr/>
        <w:t>CO</w:t>
      </w:r>
      <w:r>
        <w:rPr>
          <w:position w:val="-6"/>
          <w:sz w:val="11"/>
        </w:rPr>
        <w:t>2</w:t>
      </w:r>
      <w:r>
        <w:rPr>
          <w:spacing w:val="10"/>
          <w:position w:val="-6"/>
          <w:sz w:val="11"/>
        </w:rPr>
        <w:t> </w:t>
      </w:r>
      <w:r>
        <w:rPr/>
        <w:t>capture</w:t>
      </w:r>
      <w:r>
        <w:rPr>
          <w:spacing w:val="-13"/>
        </w:rPr>
        <w:t> </w:t>
      </w:r>
      <w:r>
        <w:rPr/>
        <w:t>and</w:t>
      </w:r>
      <w:r>
        <w:rPr>
          <w:spacing w:val="-12"/>
        </w:rPr>
        <w:t> </w:t>
      </w:r>
      <w:r>
        <w:rPr/>
        <w:t>storage</w:t>
      </w:r>
      <w:r>
        <w:rPr>
          <w:spacing w:val="-12"/>
        </w:rPr>
        <w:t> </w:t>
      </w:r>
      <w:r>
        <w:rPr/>
        <w:t>is</w:t>
      </w:r>
      <w:r>
        <w:rPr>
          <w:spacing w:val="-12"/>
        </w:rPr>
        <w:t> </w:t>
      </w:r>
      <w:r>
        <w:rPr/>
        <w:t>at</w:t>
      </w:r>
      <w:r>
        <w:rPr>
          <w:spacing w:val="-12"/>
        </w:rPr>
        <w:t> </w:t>
      </w:r>
      <w:r>
        <w:rPr/>
        <w:t>an</w:t>
      </w:r>
      <w:r>
        <w:rPr>
          <w:spacing w:val="-12"/>
        </w:rPr>
        <w:t> </w:t>
      </w:r>
      <w:r>
        <w:rPr/>
        <w:t>early</w:t>
      </w:r>
      <w:r>
        <w:rPr>
          <w:spacing w:val="-12"/>
        </w:rPr>
        <w:t> </w:t>
      </w:r>
      <w:r>
        <w:rPr/>
        <w:t>stage</w:t>
      </w:r>
      <w:r>
        <w:rPr>
          <w:spacing w:val="-13"/>
        </w:rPr>
        <w:t> </w:t>
      </w:r>
      <w:r>
        <w:rPr/>
        <w:t>with few</w:t>
      </w:r>
      <w:r>
        <w:rPr>
          <w:spacing w:val="-17"/>
        </w:rPr>
        <w:t> </w:t>
      </w:r>
      <w:r>
        <w:rPr/>
        <w:t>studies</w:t>
      </w:r>
      <w:r>
        <w:rPr>
          <w:spacing w:val="-16"/>
        </w:rPr>
        <w:t> </w:t>
      </w:r>
      <w:r>
        <w:rPr/>
        <w:t>(Gough</w:t>
      </w:r>
      <w:r>
        <w:rPr>
          <w:spacing w:val="-15"/>
        </w:rPr>
        <w:t> </w:t>
      </w:r>
      <w:r>
        <w:rPr>
          <w:i/>
        </w:rPr>
        <w:t>et</w:t>
      </w:r>
      <w:r>
        <w:rPr>
          <w:i/>
          <w:spacing w:val="-16"/>
        </w:rPr>
        <w:t> </w:t>
      </w:r>
      <w:r>
        <w:rPr>
          <w:i/>
        </w:rPr>
        <w:t>al.</w:t>
      </w:r>
      <w:r>
        <w:rPr/>
        <w:t>,</w:t>
      </w:r>
      <w:r>
        <w:rPr>
          <w:spacing w:val="-16"/>
        </w:rPr>
        <w:t> </w:t>
      </w:r>
      <w:r>
        <w:rPr/>
        <w:t>2002;</w:t>
      </w:r>
      <w:r>
        <w:rPr>
          <w:spacing w:val="-16"/>
        </w:rPr>
        <w:t> </w:t>
      </w:r>
      <w:r>
        <w:rPr/>
        <w:t>Palmgren</w:t>
      </w:r>
      <w:r>
        <w:rPr>
          <w:spacing w:val="-15"/>
        </w:rPr>
        <w:t> </w:t>
      </w:r>
      <w:r>
        <w:rPr>
          <w:i/>
        </w:rPr>
        <w:t>et</w:t>
      </w:r>
      <w:r>
        <w:rPr>
          <w:i/>
          <w:spacing w:val="-16"/>
        </w:rPr>
        <w:t> </w:t>
      </w:r>
      <w:r>
        <w:rPr>
          <w:i/>
        </w:rPr>
        <w:t>al.</w:t>
      </w:r>
      <w:r>
        <w:rPr/>
        <w:t>,</w:t>
      </w:r>
      <w:r>
        <w:rPr>
          <w:spacing w:val="-17"/>
        </w:rPr>
        <w:t> </w:t>
      </w:r>
      <w:r>
        <w:rPr/>
        <w:t>2004;</w:t>
      </w:r>
      <w:r>
        <w:rPr>
          <w:spacing w:val="-16"/>
        </w:rPr>
        <w:t> </w:t>
      </w:r>
      <w:r>
        <w:rPr/>
        <w:t>Shackley </w:t>
      </w:r>
      <w:r>
        <w:rPr>
          <w:i/>
        </w:rPr>
        <w:t>et</w:t>
      </w:r>
      <w:r>
        <w:rPr>
          <w:i/>
          <w:spacing w:val="-8"/>
        </w:rPr>
        <w:t> </w:t>
      </w:r>
      <w:r>
        <w:rPr>
          <w:i/>
        </w:rPr>
        <w:t>al.</w:t>
      </w:r>
      <w:r>
        <w:rPr/>
        <w:t>,</w:t>
      </w:r>
      <w:r>
        <w:rPr>
          <w:spacing w:val="-7"/>
        </w:rPr>
        <w:t> </w:t>
      </w:r>
      <w:r>
        <w:rPr/>
        <w:t>2004;</w:t>
      </w:r>
      <w:r>
        <w:rPr>
          <w:spacing w:val="-7"/>
        </w:rPr>
        <w:t> </w:t>
      </w:r>
      <w:r>
        <w:rPr/>
        <w:t>Curry</w:t>
      </w:r>
      <w:r>
        <w:rPr>
          <w:spacing w:val="-7"/>
        </w:rPr>
        <w:t> </w:t>
      </w:r>
      <w:r>
        <w:rPr>
          <w:i/>
        </w:rPr>
        <w:t>et</w:t>
      </w:r>
      <w:r>
        <w:rPr>
          <w:i/>
          <w:spacing w:val="-7"/>
        </w:rPr>
        <w:t> </w:t>
      </w:r>
      <w:r>
        <w:rPr>
          <w:i/>
        </w:rPr>
        <w:t>al.</w:t>
      </w:r>
      <w:r>
        <w:rPr/>
        <w:t>,</w:t>
      </w:r>
      <w:r>
        <w:rPr>
          <w:spacing w:val="-8"/>
        </w:rPr>
        <w:t> </w:t>
      </w:r>
      <w:r>
        <w:rPr/>
        <w:t>2005;</w:t>
      </w:r>
      <w:r>
        <w:rPr>
          <w:spacing w:val="-7"/>
        </w:rPr>
        <w:t> </w:t>
      </w:r>
      <w:r>
        <w:rPr/>
        <w:t>Itaoka</w:t>
      </w:r>
      <w:r>
        <w:rPr>
          <w:spacing w:val="-7"/>
        </w:rPr>
        <w:t> </w:t>
      </w:r>
      <w:r>
        <w:rPr>
          <w:i/>
        </w:rPr>
        <w:t>et</w:t>
      </w:r>
      <w:r>
        <w:rPr>
          <w:i/>
          <w:spacing w:val="-7"/>
        </w:rPr>
        <w:t> </w:t>
      </w:r>
      <w:r>
        <w:rPr>
          <w:i/>
        </w:rPr>
        <w:t>al.</w:t>
      </w:r>
      <w:r>
        <w:rPr/>
        <w:t>,</w:t>
      </w:r>
      <w:r>
        <w:rPr>
          <w:spacing w:val="-7"/>
        </w:rPr>
        <w:t> </w:t>
      </w:r>
      <w:r>
        <w:rPr/>
        <w:t>2005).</w:t>
      </w:r>
      <w:r>
        <w:rPr>
          <w:spacing w:val="-8"/>
        </w:rPr>
        <w:t> </w:t>
      </w:r>
      <w:r>
        <w:rPr/>
        <w:t>Research</w:t>
      </w:r>
      <w:r>
        <w:rPr>
          <w:spacing w:val="-7"/>
        </w:rPr>
        <w:t> on </w:t>
      </w:r>
      <w:r>
        <w:rPr/>
        <w:t>perceptions of CO</w:t>
      </w:r>
      <w:r>
        <w:rPr>
          <w:position w:val="-6"/>
          <w:sz w:val="11"/>
        </w:rPr>
        <w:t>2 </w:t>
      </w:r>
      <w:r>
        <w:rPr/>
        <w:t>capture and storage is challenging because of (1) the relatively technical and ‘remote’ nature of the issue, with few immediate points of connection in the lay public’s frame</w:t>
      </w:r>
      <w:r>
        <w:rPr>
          <w:spacing w:val="-11"/>
        </w:rPr>
        <w:t> </w:t>
      </w:r>
      <w:r>
        <w:rPr/>
        <w:t>of</w:t>
      </w:r>
      <w:r>
        <w:rPr>
          <w:spacing w:val="-10"/>
        </w:rPr>
        <w:t> </w:t>
      </w:r>
      <w:r>
        <w:rPr/>
        <w:t>reference</w:t>
      </w:r>
      <w:r>
        <w:rPr>
          <w:spacing w:val="-11"/>
        </w:rPr>
        <w:t> </w:t>
      </w:r>
      <w:r>
        <w:rPr/>
        <w:t>to</w:t>
      </w:r>
      <w:r>
        <w:rPr>
          <w:spacing w:val="-10"/>
        </w:rPr>
        <w:t> </w:t>
      </w:r>
      <w:r>
        <w:rPr/>
        <w:t>many</w:t>
      </w:r>
      <w:r>
        <w:rPr>
          <w:spacing w:val="-11"/>
        </w:rPr>
        <w:t> </w:t>
      </w:r>
      <w:r>
        <w:rPr/>
        <w:t>key</w:t>
      </w:r>
      <w:r>
        <w:rPr>
          <w:spacing w:val="-10"/>
        </w:rPr>
        <w:t> </w:t>
      </w:r>
      <w:r>
        <w:rPr/>
        <w:t>concepts;</w:t>
      </w:r>
      <w:r>
        <w:rPr>
          <w:spacing w:val="-11"/>
        </w:rPr>
        <w:t> </w:t>
      </w:r>
      <w:r>
        <w:rPr/>
        <w:t>and</w:t>
      </w:r>
      <w:r>
        <w:rPr>
          <w:spacing w:val="-10"/>
        </w:rPr>
        <w:t> </w:t>
      </w:r>
      <w:r>
        <w:rPr/>
        <w:t>(2)</w:t>
      </w:r>
      <w:r>
        <w:rPr>
          <w:spacing w:val="-10"/>
        </w:rPr>
        <w:t> </w:t>
      </w:r>
      <w:r>
        <w:rPr/>
        <w:t>the</w:t>
      </w:r>
      <w:r>
        <w:rPr>
          <w:spacing w:val="-11"/>
        </w:rPr>
        <w:t> </w:t>
      </w:r>
      <w:r>
        <w:rPr/>
        <w:t>early</w:t>
      </w:r>
      <w:r>
        <w:rPr>
          <w:spacing w:val="-10"/>
        </w:rPr>
        <w:t> </w:t>
      </w:r>
      <w:r>
        <w:rPr/>
        <w:t>stage of the technology, with few examples and experiences in the public domain to draw upon as illustrations.</w:t>
      </w:r>
    </w:p>
    <w:p>
      <w:pPr>
        <w:pStyle w:val="BodyText"/>
        <w:spacing w:before="3"/>
        <w:rPr>
          <w:sz w:val="21"/>
        </w:rPr>
      </w:pPr>
    </w:p>
    <w:p>
      <w:pPr>
        <w:pStyle w:val="ListParagraph"/>
        <w:numPr>
          <w:ilvl w:val="3"/>
          <w:numId w:val="7"/>
        </w:numPr>
        <w:tabs>
          <w:tab w:pos="1374" w:val="left" w:leader="none"/>
        </w:tabs>
        <w:spacing w:line="240" w:lineRule="auto" w:before="1" w:after="0"/>
        <w:ind w:left="1373" w:right="0" w:hanging="821"/>
        <w:jc w:val="both"/>
        <w:rPr>
          <w:i/>
          <w:sz w:val="20"/>
        </w:rPr>
      </w:pPr>
      <w:r>
        <w:rPr>
          <w:i/>
          <w:sz w:val="20"/>
        </w:rPr>
        <w:t>Survey</w:t>
      </w:r>
      <w:r>
        <w:rPr>
          <w:i/>
          <w:spacing w:val="-1"/>
          <w:sz w:val="20"/>
        </w:rPr>
        <w:t> </w:t>
      </w:r>
      <w:r>
        <w:rPr>
          <w:i/>
          <w:sz w:val="20"/>
        </w:rPr>
        <w:t>research</w:t>
      </w:r>
    </w:p>
    <w:p>
      <w:pPr>
        <w:spacing w:line="249" w:lineRule="auto" w:before="10"/>
        <w:ind w:left="553" w:right="0" w:firstLine="0"/>
        <w:jc w:val="both"/>
        <w:rPr>
          <w:sz w:val="20"/>
        </w:rPr>
      </w:pPr>
      <w:r>
        <w:rPr>
          <w:sz w:val="20"/>
        </w:rPr>
        <w:t>Curry</w:t>
      </w:r>
      <w:r>
        <w:rPr>
          <w:spacing w:val="-19"/>
          <w:sz w:val="20"/>
        </w:rPr>
        <w:t> </w:t>
      </w:r>
      <w:r>
        <w:rPr>
          <w:i/>
          <w:sz w:val="20"/>
        </w:rPr>
        <w:t>et</w:t>
      </w:r>
      <w:r>
        <w:rPr>
          <w:i/>
          <w:spacing w:val="-19"/>
          <w:sz w:val="20"/>
        </w:rPr>
        <w:t> </w:t>
      </w:r>
      <w:r>
        <w:rPr>
          <w:i/>
          <w:sz w:val="20"/>
        </w:rPr>
        <w:t>al.</w:t>
      </w:r>
      <w:r>
        <w:rPr>
          <w:i/>
          <w:spacing w:val="-19"/>
          <w:sz w:val="20"/>
        </w:rPr>
        <w:t> </w:t>
      </w:r>
      <w:r>
        <w:rPr>
          <w:sz w:val="20"/>
        </w:rPr>
        <w:t>(2005)</w:t>
      </w:r>
      <w:r>
        <w:rPr>
          <w:spacing w:val="-18"/>
          <w:sz w:val="20"/>
        </w:rPr>
        <w:t> </w:t>
      </w:r>
      <w:r>
        <w:rPr>
          <w:sz w:val="20"/>
        </w:rPr>
        <w:t>surveyed</w:t>
      </w:r>
      <w:r>
        <w:rPr>
          <w:spacing w:val="-19"/>
          <w:sz w:val="20"/>
        </w:rPr>
        <w:t> </w:t>
      </w:r>
      <w:r>
        <w:rPr>
          <w:sz w:val="20"/>
        </w:rPr>
        <w:t>more</w:t>
      </w:r>
      <w:r>
        <w:rPr>
          <w:spacing w:val="-19"/>
          <w:sz w:val="20"/>
        </w:rPr>
        <w:t> </w:t>
      </w:r>
      <w:r>
        <w:rPr>
          <w:sz w:val="20"/>
        </w:rPr>
        <w:t>than</w:t>
      </w:r>
      <w:r>
        <w:rPr>
          <w:spacing w:val="-19"/>
          <w:sz w:val="20"/>
        </w:rPr>
        <w:t> </w:t>
      </w:r>
      <w:r>
        <w:rPr>
          <w:sz w:val="20"/>
        </w:rPr>
        <w:t>1200</w:t>
      </w:r>
      <w:r>
        <w:rPr>
          <w:spacing w:val="-18"/>
          <w:sz w:val="20"/>
        </w:rPr>
        <w:t> </w:t>
      </w:r>
      <w:r>
        <w:rPr>
          <w:sz w:val="20"/>
        </w:rPr>
        <w:t>people</w:t>
      </w:r>
      <w:r>
        <w:rPr>
          <w:spacing w:val="-19"/>
          <w:sz w:val="20"/>
        </w:rPr>
        <w:t> </w:t>
      </w:r>
      <w:r>
        <w:rPr>
          <w:sz w:val="20"/>
        </w:rPr>
        <w:t>representing a general population sample of the United States. They found that less than 4% of the respondents were familiar with the terms</w:t>
      </w:r>
      <w:r>
        <w:rPr>
          <w:spacing w:val="16"/>
          <w:sz w:val="20"/>
        </w:rPr>
        <w:t> </w:t>
      </w:r>
      <w:r>
        <w:rPr>
          <w:i/>
          <w:sz w:val="20"/>
        </w:rPr>
        <w:t>carbon</w:t>
      </w:r>
      <w:r>
        <w:rPr>
          <w:i/>
          <w:spacing w:val="16"/>
          <w:sz w:val="20"/>
        </w:rPr>
        <w:t> </w:t>
      </w:r>
      <w:r>
        <w:rPr>
          <w:i/>
          <w:sz w:val="20"/>
        </w:rPr>
        <w:t>dioxide</w:t>
      </w:r>
      <w:r>
        <w:rPr>
          <w:i/>
          <w:spacing w:val="17"/>
          <w:sz w:val="20"/>
        </w:rPr>
        <w:t> </w:t>
      </w:r>
      <w:r>
        <w:rPr>
          <w:i/>
          <w:sz w:val="20"/>
        </w:rPr>
        <w:t>capture</w:t>
      </w:r>
      <w:r>
        <w:rPr>
          <w:i/>
          <w:spacing w:val="16"/>
          <w:sz w:val="20"/>
        </w:rPr>
        <w:t> </w:t>
      </w:r>
      <w:r>
        <w:rPr>
          <w:i/>
          <w:sz w:val="20"/>
        </w:rPr>
        <w:t>and</w:t>
      </w:r>
      <w:r>
        <w:rPr>
          <w:i/>
          <w:spacing w:val="17"/>
          <w:sz w:val="20"/>
        </w:rPr>
        <w:t> </w:t>
      </w:r>
      <w:r>
        <w:rPr>
          <w:i/>
          <w:sz w:val="20"/>
        </w:rPr>
        <w:t>storage</w:t>
      </w:r>
      <w:r>
        <w:rPr>
          <w:i/>
          <w:spacing w:val="16"/>
          <w:sz w:val="20"/>
        </w:rPr>
        <w:t> </w:t>
      </w:r>
      <w:r>
        <w:rPr>
          <w:sz w:val="20"/>
        </w:rPr>
        <w:t>or</w:t>
      </w:r>
      <w:r>
        <w:rPr>
          <w:spacing w:val="17"/>
          <w:sz w:val="20"/>
        </w:rPr>
        <w:t> </w:t>
      </w:r>
      <w:r>
        <w:rPr>
          <w:i/>
          <w:sz w:val="20"/>
        </w:rPr>
        <w:t>carbon</w:t>
      </w:r>
      <w:r>
        <w:rPr>
          <w:i/>
          <w:spacing w:val="16"/>
          <w:sz w:val="20"/>
        </w:rPr>
        <w:t> </w:t>
      </w:r>
      <w:r>
        <w:rPr>
          <w:i/>
          <w:sz w:val="20"/>
        </w:rPr>
        <w:t>storage</w:t>
      </w:r>
      <w:r>
        <w:rPr>
          <w:sz w:val="20"/>
        </w:rPr>
        <w:t>.</w:t>
      </w:r>
    </w:p>
    <w:p>
      <w:pPr>
        <w:pStyle w:val="BodyText"/>
        <w:spacing w:line="240" w:lineRule="exact" w:before="58"/>
        <w:ind w:left="240" w:right="132"/>
        <w:jc w:val="both"/>
      </w:pPr>
      <w:r>
        <w:rPr/>
        <w:br w:type="column"/>
      </w:r>
      <w:r>
        <w:rPr/>
        <w:t>Moreover, there was no evidence that those who expressed familiarity were any more likely to correctly identify that the problem being addressed was global warming rather than water pollution or toxic waste. The authors also showed that there was a lack of knowledge of other power generation technologies (e.g., nuclear power, renewables) in terms of</w:t>
      </w:r>
      <w:r>
        <w:rPr>
          <w:spacing w:val="-16"/>
        </w:rPr>
        <w:t> </w:t>
      </w:r>
      <w:r>
        <w:rPr/>
        <w:t>their environmental impacts and costs. Eurobarometer (2003) </w:t>
      </w:r>
      <w:r>
        <w:rPr>
          <w:spacing w:val="-4"/>
        </w:rPr>
        <w:t>made </w:t>
      </w:r>
      <w:r>
        <w:rPr/>
        <w:t>similar findings across the European Union. The preference of the sample for different methods to address global warming (do nothing, expand nuclear power, continue to use fossil fuels with CO</w:t>
      </w:r>
      <w:r>
        <w:rPr>
          <w:position w:val="-6"/>
          <w:sz w:val="11"/>
        </w:rPr>
        <w:t>2 </w:t>
      </w:r>
      <w:r>
        <w:rPr/>
        <w:t>capture and storage, expand renewables, etc.) was quite sensitive to information provided on relative costs and environmental characteristics.</w:t>
      </w:r>
    </w:p>
    <w:p>
      <w:pPr>
        <w:pStyle w:val="BodyText"/>
        <w:spacing w:line="240" w:lineRule="exact"/>
        <w:ind w:left="240" w:right="134" w:firstLine="283"/>
        <w:jc w:val="both"/>
      </w:pPr>
      <w:r>
        <w:rPr/>
        <w:t>Itaoka </w:t>
      </w:r>
      <w:r>
        <w:rPr>
          <w:i/>
        </w:rPr>
        <w:t>et al. </w:t>
      </w:r>
      <w:r>
        <w:rPr/>
        <w:t>(2005) conducted a survey of approximately   a thousand people in Japan. They found much higher claimed levels of awareness of CO</w:t>
      </w:r>
      <w:r>
        <w:rPr>
          <w:position w:val="-6"/>
          <w:sz w:val="11"/>
        </w:rPr>
        <w:t>2 </w:t>
      </w:r>
      <w:r>
        <w:rPr/>
        <w:t>capture and storage (31%) and general support for this mitigation strategy as part of a broader national climate change policy, but generally negative </w:t>
      </w:r>
      <w:r>
        <w:rPr>
          <w:spacing w:val="-3"/>
        </w:rPr>
        <w:t>views </w:t>
      </w:r>
      <w:r>
        <w:rPr/>
        <w:t>on specific implementation of CO</w:t>
      </w:r>
      <w:r>
        <w:rPr>
          <w:position w:val="-6"/>
          <w:sz w:val="11"/>
        </w:rPr>
        <w:t>2 </w:t>
      </w:r>
      <w:r>
        <w:rPr/>
        <w:t>capture and storage. Ocean storage was viewed most negatively, while offshore geological storage was perceived as the least negative. Part of the sample was provided with more information about CO</w:t>
      </w:r>
      <w:r>
        <w:rPr>
          <w:position w:val="-6"/>
          <w:sz w:val="11"/>
        </w:rPr>
        <w:t>2 </w:t>
      </w:r>
      <w:r>
        <w:rPr/>
        <w:t>capture and storage, but this did not appear to make a large difference in the response. Factor analysis was conducted and revealed that four factors were important in influencing public opinion, namely perceptions of the environmental impacts and</w:t>
      </w:r>
      <w:r>
        <w:rPr>
          <w:spacing w:val="26"/>
        </w:rPr>
        <w:t> </w:t>
      </w:r>
      <w:r>
        <w:rPr>
          <w:spacing w:val="-3"/>
        </w:rPr>
        <w:t>risks </w:t>
      </w:r>
      <w:r>
        <w:rPr/>
        <w:t>(e.g., leakage), responsibility for reducing CO</w:t>
      </w:r>
      <w:r>
        <w:rPr>
          <w:position w:val="-6"/>
          <w:sz w:val="11"/>
        </w:rPr>
        <w:t>2 </w:t>
      </w:r>
      <w:r>
        <w:rPr/>
        <w:t>emissions, </w:t>
      </w:r>
      <w:r>
        <w:rPr>
          <w:spacing w:val="-5"/>
        </w:rPr>
        <w:t>the </w:t>
      </w:r>
      <w:r>
        <w:rPr/>
        <w:t>effectiveness of CO</w:t>
      </w:r>
      <w:r>
        <w:rPr>
          <w:position w:val="-6"/>
          <w:sz w:val="11"/>
        </w:rPr>
        <w:t>2 </w:t>
      </w:r>
      <w:r>
        <w:rPr/>
        <w:t>capture and storage as a mitigation option and the extent to which it permits the continued use of fossil fuels.</w:t>
      </w:r>
    </w:p>
    <w:p>
      <w:pPr>
        <w:pStyle w:val="BodyText"/>
        <w:spacing w:line="240" w:lineRule="exact"/>
        <w:ind w:left="240" w:right="133" w:firstLine="283"/>
        <w:jc w:val="both"/>
      </w:pPr>
      <w:r>
        <w:rPr/>
        <w:t>Shackley</w:t>
      </w:r>
      <w:r>
        <w:rPr>
          <w:spacing w:val="-18"/>
        </w:rPr>
        <w:t> </w:t>
      </w:r>
      <w:r>
        <w:rPr>
          <w:i/>
        </w:rPr>
        <w:t>et</w:t>
      </w:r>
      <w:r>
        <w:rPr>
          <w:i/>
          <w:spacing w:val="-18"/>
        </w:rPr>
        <w:t> </w:t>
      </w:r>
      <w:r>
        <w:rPr>
          <w:i/>
        </w:rPr>
        <w:t>al.</w:t>
      </w:r>
      <w:r>
        <w:rPr>
          <w:i/>
          <w:spacing w:val="-18"/>
        </w:rPr>
        <w:t> </w:t>
      </w:r>
      <w:r>
        <w:rPr/>
        <w:t>(2004)</w:t>
      </w:r>
      <w:r>
        <w:rPr>
          <w:spacing w:val="-18"/>
        </w:rPr>
        <w:t> </w:t>
      </w:r>
      <w:r>
        <w:rPr/>
        <w:t>conducted</w:t>
      </w:r>
      <w:r>
        <w:rPr>
          <w:spacing w:val="-18"/>
        </w:rPr>
        <w:t> </w:t>
      </w:r>
      <w:r>
        <w:rPr/>
        <w:t>212</w:t>
      </w:r>
      <w:r>
        <w:rPr>
          <w:spacing w:val="-18"/>
        </w:rPr>
        <w:t> </w:t>
      </w:r>
      <w:r>
        <w:rPr/>
        <w:t>face-to-face</w:t>
      </w:r>
      <w:r>
        <w:rPr>
          <w:spacing w:val="-18"/>
        </w:rPr>
        <w:t> </w:t>
      </w:r>
      <w:r>
        <w:rPr/>
        <w:t>interviews at a UK airport regarding offshore geological storage. They found the sample was in general moderately supportive of the concept of CO</w:t>
      </w:r>
      <w:r>
        <w:rPr>
          <w:position w:val="-6"/>
          <w:sz w:val="11"/>
        </w:rPr>
        <w:t>2 </w:t>
      </w:r>
      <w:r>
        <w:rPr/>
        <w:t>capture and storage as a contribution to a 60% reduction</w:t>
      </w:r>
      <w:r>
        <w:rPr>
          <w:spacing w:val="-20"/>
        </w:rPr>
        <w:t> </w:t>
      </w:r>
      <w:r>
        <w:rPr/>
        <w:t>in</w:t>
      </w:r>
      <w:r>
        <w:rPr>
          <w:spacing w:val="-20"/>
        </w:rPr>
        <w:t> </w:t>
      </w:r>
      <w:r>
        <w:rPr/>
        <w:t>CO</w:t>
      </w:r>
      <w:r>
        <w:rPr>
          <w:position w:val="-6"/>
          <w:sz w:val="11"/>
        </w:rPr>
        <w:t>2</w:t>
      </w:r>
      <w:r>
        <w:rPr>
          <w:spacing w:val="3"/>
          <w:position w:val="-6"/>
          <w:sz w:val="11"/>
        </w:rPr>
        <w:t> </w:t>
      </w:r>
      <w:r>
        <w:rPr/>
        <w:t>emissions</w:t>
      </w:r>
      <w:r>
        <w:rPr>
          <w:spacing w:val="-20"/>
        </w:rPr>
        <w:t> </w:t>
      </w:r>
      <w:r>
        <w:rPr/>
        <w:t>in</w:t>
      </w:r>
      <w:r>
        <w:rPr>
          <w:spacing w:val="-20"/>
        </w:rPr>
        <w:t> </w:t>
      </w:r>
      <w:r>
        <w:rPr/>
        <w:t>the</w:t>
      </w:r>
      <w:r>
        <w:rPr>
          <w:spacing w:val="-20"/>
        </w:rPr>
        <w:t> </w:t>
      </w:r>
      <w:r>
        <w:rPr/>
        <w:t>UK</w:t>
      </w:r>
      <w:r>
        <w:rPr>
          <w:spacing w:val="-20"/>
        </w:rPr>
        <w:t> </w:t>
      </w:r>
      <w:r>
        <w:rPr/>
        <w:t>by</w:t>
      </w:r>
      <w:r>
        <w:rPr>
          <w:spacing w:val="-20"/>
        </w:rPr>
        <w:t> </w:t>
      </w:r>
      <w:r>
        <w:rPr/>
        <w:t>2050</w:t>
      </w:r>
      <w:r>
        <w:rPr>
          <w:spacing w:val="-20"/>
        </w:rPr>
        <w:t> </w:t>
      </w:r>
      <w:r>
        <w:rPr/>
        <w:t>(the</w:t>
      </w:r>
      <w:r>
        <w:rPr>
          <w:spacing w:val="-20"/>
        </w:rPr>
        <w:t> </w:t>
      </w:r>
      <w:r>
        <w:rPr/>
        <w:t>government’s policy</w:t>
      </w:r>
      <w:r>
        <w:rPr>
          <w:spacing w:val="-8"/>
        </w:rPr>
        <w:t> </w:t>
      </w:r>
      <w:r>
        <w:rPr/>
        <w:t>target).</w:t>
      </w:r>
      <w:r>
        <w:rPr>
          <w:spacing w:val="-7"/>
        </w:rPr>
        <w:t> </w:t>
      </w:r>
      <w:r>
        <w:rPr/>
        <w:t>Provision</w:t>
      </w:r>
      <w:r>
        <w:rPr>
          <w:spacing w:val="-8"/>
        </w:rPr>
        <w:t> </w:t>
      </w:r>
      <w:r>
        <w:rPr/>
        <w:t>of</w:t>
      </w:r>
      <w:r>
        <w:rPr>
          <w:spacing w:val="-7"/>
        </w:rPr>
        <w:t> </w:t>
      </w:r>
      <w:r>
        <w:rPr/>
        <w:t>basic</w:t>
      </w:r>
      <w:r>
        <w:rPr>
          <w:spacing w:val="-8"/>
        </w:rPr>
        <w:t> </w:t>
      </w:r>
      <w:r>
        <w:rPr/>
        <w:t>information</w:t>
      </w:r>
      <w:r>
        <w:rPr>
          <w:spacing w:val="-7"/>
        </w:rPr>
        <w:t> </w:t>
      </w:r>
      <w:r>
        <w:rPr/>
        <w:t>on</w:t>
      </w:r>
      <w:r>
        <w:rPr>
          <w:spacing w:val="-8"/>
        </w:rPr>
        <w:t> </w:t>
      </w:r>
      <w:r>
        <w:rPr/>
        <w:t>the</w:t>
      </w:r>
      <w:r>
        <w:rPr>
          <w:spacing w:val="-7"/>
        </w:rPr>
        <w:t> </w:t>
      </w:r>
      <w:r>
        <w:rPr/>
        <w:t>technology increased the support that was given to it, though just under half of the sample were still undecided or expressed negative views. When compared with other mitigation options, support for CO</w:t>
      </w:r>
      <w:r>
        <w:rPr>
          <w:position w:val="-6"/>
          <w:sz w:val="11"/>
        </w:rPr>
        <w:t>2 </w:t>
      </w:r>
      <w:r>
        <w:rPr/>
        <w:t>capture and storage increased </w:t>
      </w:r>
      <w:r>
        <w:rPr>
          <w:spacing w:val="-3"/>
        </w:rPr>
        <w:t>slightly, </w:t>
      </w:r>
      <w:r>
        <w:rPr/>
        <w:t>though other options (such as renewable energy and energy efficiency) were strongly preferred. On the other hand, CO</w:t>
      </w:r>
      <w:r>
        <w:rPr>
          <w:position w:val="-6"/>
          <w:sz w:val="11"/>
        </w:rPr>
        <w:t>2 </w:t>
      </w:r>
      <w:r>
        <w:rPr/>
        <w:t>capture and storage was much preferred to nuclear power or higher energy </w:t>
      </w:r>
      <w:r>
        <w:rPr>
          <w:spacing w:val="-3"/>
        </w:rPr>
        <w:t>bills  </w:t>
      </w:r>
      <w:r>
        <w:rPr/>
        <w:t>(no information on price or the environmental impact of </w:t>
      </w:r>
      <w:r>
        <w:rPr>
          <w:spacing w:val="-3"/>
        </w:rPr>
        <w:t>other </w:t>
      </w:r>
      <w:r>
        <w:rPr/>
        <w:t>options was provided). When asked, unprompted, if they </w:t>
      </w:r>
      <w:r>
        <w:rPr>
          <w:spacing w:val="-3"/>
        </w:rPr>
        <w:t>could </w:t>
      </w:r>
      <w:r>
        <w:rPr/>
        <w:t>think of any negative effects of CO</w:t>
      </w:r>
      <w:r>
        <w:rPr>
          <w:position w:val="-6"/>
          <w:sz w:val="11"/>
        </w:rPr>
        <w:t>2 </w:t>
      </w:r>
      <w:r>
        <w:rPr/>
        <w:t>capture and storage, half of the respondents’ mentioned leakage, while others</w:t>
      </w:r>
      <w:r>
        <w:rPr>
          <w:spacing w:val="-31"/>
        </w:rPr>
        <w:t> </w:t>
      </w:r>
      <w:r>
        <w:rPr/>
        <w:t>mentioned associated potential impacts upon ecosystems and human health. Others viewed CO</w:t>
      </w:r>
      <w:r>
        <w:rPr>
          <w:position w:val="-6"/>
          <w:sz w:val="11"/>
        </w:rPr>
        <w:t>2 </w:t>
      </w:r>
      <w:r>
        <w:rPr/>
        <w:t>capture and storage negatively on the grounds it was avoiding the real problem, was</w:t>
      </w:r>
      <w:r>
        <w:rPr>
          <w:spacing w:val="-34"/>
        </w:rPr>
        <w:t> </w:t>
      </w:r>
      <w:r>
        <w:rPr/>
        <w:t>short-termist or indicated a reluctance to change.</w:t>
      </w:r>
    </w:p>
    <w:p>
      <w:pPr>
        <w:pStyle w:val="BodyText"/>
        <w:spacing w:line="240" w:lineRule="exact"/>
        <w:ind w:left="240" w:right="134" w:firstLine="283"/>
        <w:jc w:val="both"/>
      </w:pPr>
      <w:r>
        <w:rPr/>
        <w:t>Huijts (2003) polled </w:t>
      </w:r>
      <w:r>
        <w:rPr>
          <w:spacing w:val="-3"/>
        </w:rPr>
        <w:t>112 </w:t>
      </w:r>
      <w:r>
        <w:rPr/>
        <w:t>individuals living in an area above a gas field in The Netherlands that had experienced two small earthquakes (in 1994 and 2001). She found the sample was mildly positive about CO</w:t>
      </w:r>
      <w:r>
        <w:rPr>
          <w:position w:val="-6"/>
          <w:sz w:val="11"/>
        </w:rPr>
        <w:t>2 </w:t>
      </w:r>
      <w:r>
        <w:rPr/>
        <w:t>capture and storage in general terms,</w:t>
      </w:r>
      <w:r>
        <w:rPr>
          <w:spacing w:val="19"/>
        </w:rPr>
        <w:t> </w:t>
      </w:r>
      <w:r>
        <w:rPr/>
        <w:t>but</w:t>
      </w:r>
      <w:r>
        <w:rPr>
          <w:spacing w:val="20"/>
        </w:rPr>
        <w:t> </w:t>
      </w:r>
      <w:r>
        <w:rPr/>
        <w:t>neutral</w:t>
      </w:r>
      <w:r>
        <w:rPr>
          <w:spacing w:val="20"/>
        </w:rPr>
        <w:t> </w:t>
      </w:r>
      <w:r>
        <w:rPr/>
        <w:t>to</w:t>
      </w:r>
      <w:r>
        <w:rPr>
          <w:spacing w:val="20"/>
        </w:rPr>
        <w:t> </w:t>
      </w:r>
      <w:r>
        <w:rPr/>
        <w:t>negative</w:t>
      </w:r>
      <w:r>
        <w:rPr>
          <w:spacing w:val="19"/>
        </w:rPr>
        <w:t> </w:t>
      </w:r>
      <w:r>
        <w:rPr/>
        <w:t>about</w:t>
      </w:r>
      <w:r>
        <w:rPr>
          <w:spacing w:val="20"/>
        </w:rPr>
        <w:t> </w:t>
      </w:r>
      <w:r>
        <w:rPr/>
        <w:t>storage</w:t>
      </w:r>
      <w:r>
        <w:rPr>
          <w:spacing w:val="19"/>
        </w:rPr>
        <w:t> </w:t>
      </w:r>
      <w:r>
        <w:rPr/>
        <w:t>in</w:t>
      </w:r>
      <w:r>
        <w:rPr>
          <w:spacing w:val="20"/>
        </w:rPr>
        <w:t> </w:t>
      </w:r>
      <w:r>
        <w:rPr/>
        <w:t>the</w:t>
      </w:r>
      <w:r>
        <w:rPr>
          <w:spacing w:val="21"/>
        </w:rPr>
        <w:t> </w:t>
      </w:r>
      <w:r>
        <w:rPr/>
        <w:t>immediate</w:t>
      </w:r>
    </w:p>
    <w:p>
      <w:pPr>
        <w:spacing w:after="0" w:line="240" w:lineRule="exact"/>
        <w:jc w:val="both"/>
        <w:sectPr>
          <w:type w:val="continuous"/>
          <w:pgSz w:w="12240" w:h="15840"/>
          <w:pgMar w:top="400" w:bottom="280" w:left="580" w:right="600"/>
          <w:cols w:num="2" w:equalWidth="0">
            <w:col w:w="5600" w:space="40"/>
            <w:col w:w="5420"/>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0" w:lineRule="exact" w:before="58"/>
        <w:ind w:left="157" w:right="38"/>
        <w:jc w:val="both"/>
      </w:pPr>
      <w:r>
        <w:rPr/>
        <w:t>neighbourhood. The respondents also thought that the </w:t>
      </w:r>
      <w:r>
        <w:rPr>
          <w:spacing w:val="-3"/>
        </w:rPr>
        <w:t>risks </w:t>
      </w:r>
      <w:r>
        <w:rPr/>
        <w:t>and drawbacks were somewhat larger than the benefits to the environment and </w:t>
      </w:r>
      <w:r>
        <w:rPr>
          <w:spacing w:val="-3"/>
        </w:rPr>
        <w:t>society. </w:t>
      </w:r>
      <w:r>
        <w:rPr/>
        <w:t>The respondents considered that the personal benefits of CO</w:t>
      </w:r>
      <w:r>
        <w:rPr>
          <w:position w:val="-6"/>
          <w:sz w:val="11"/>
        </w:rPr>
        <w:t>2 </w:t>
      </w:r>
      <w:r>
        <w:rPr/>
        <w:t>capture and storage were ‘small’ or ‘reasonably small’. On the basis of her findings, Huijts (2003) observed the storage location could make a large difference to its acceptability; onshore storage below residential areas</w:t>
      </w:r>
      <w:r>
        <w:rPr>
          <w:spacing w:val="-32"/>
        </w:rPr>
        <w:t> </w:t>
      </w:r>
      <w:r>
        <w:rPr/>
        <w:t>would probably not be viewed positively, although it has to be borne in</w:t>
      </w:r>
      <w:r>
        <w:rPr>
          <w:spacing w:val="-5"/>
        </w:rPr>
        <w:t> </w:t>
      </w:r>
      <w:r>
        <w:rPr/>
        <w:t>mind</w:t>
      </w:r>
      <w:r>
        <w:rPr>
          <w:spacing w:val="-4"/>
        </w:rPr>
        <w:t> </w:t>
      </w:r>
      <w:r>
        <w:rPr/>
        <w:t>that</w:t>
      </w:r>
      <w:r>
        <w:rPr>
          <w:spacing w:val="-5"/>
        </w:rPr>
        <w:t> </w:t>
      </w:r>
      <w:r>
        <w:rPr/>
        <w:t>the</w:t>
      </w:r>
      <w:r>
        <w:rPr>
          <w:spacing w:val="-4"/>
        </w:rPr>
        <w:t> </w:t>
      </w:r>
      <w:r>
        <w:rPr/>
        <w:t>study</w:t>
      </w:r>
      <w:r>
        <w:rPr>
          <w:spacing w:val="-5"/>
        </w:rPr>
        <w:t> </w:t>
      </w:r>
      <w:r>
        <w:rPr/>
        <w:t>area</w:t>
      </w:r>
      <w:r>
        <w:rPr>
          <w:spacing w:val="-4"/>
        </w:rPr>
        <w:t> </w:t>
      </w:r>
      <w:r>
        <w:rPr/>
        <w:t>had</w:t>
      </w:r>
      <w:r>
        <w:rPr>
          <w:spacing w:val="-5"/>
        </w:rPr>
        <w:t> </w:t>
      </w:r>
      <w:r>
        <w:rPr/>
        <w:t>experienced</w:t>
      </w:r>
      <w:r>
        <w:rPr>
          <w:spacing w:val="-4"/>
        </w:rPr>
        <w:t> </w:t>
      </w:r>
      <w:r>
        <w:rPr/>
        <w:t>recent</w:t>
      </w:r>
      <w:r>
        <w:rPr>
          <w:spacing w:val="-4"/>
        </w:rPr>
        <w:t> </w:t>
      </w:r>
      <w:r>
        <w:rPr/>
        <w:t>earthquakes. Huijts</w:t>
      </w:r>
      <w:r>
        <w:rPr>
          <w:spacing w:val="-11"/>
        </w:rPr>
        <w:t> </w:t>
      </w:r>
      <w:r>
        <w:rPr/>
        <w:t>also</w:t>
      </w:r>
      <w:r>
        <w:rPr>
          <w:spacing w:val="-11"/>
        </w:rPr>
        <w:t> </w:t>
      </w:r>
      <w:r>
        <w:rPr/>
        <w:t>notes</w:t>
      </w:r>
      <w:r>
        <w:rPr>
          <w:spacing w:val="-10"/>
        </w:rPr>
        <w:t> </w:t>
      </w:r>
      <w:r>
        <w:rPr/>
        <w:t>that</w:t>
      </w:r>
      <w:r>
        <w:rPr>
          <w:spacing w:val="-11"/>
        </w:rPr>
        <w:t> </w:t>
      </w:r>
      <w:r>
        <w:rPr/>
        <w:t>many</w:t>
      </w:r>
      <w:r>
        <w:rPr>
          <w:spacing w:val="-10"/>
        </w:rPr>
        <w:t> </w:t>
      </w:r>
      <w:r>
        <w:rPr/>
        <w:t>respondents</w:t>
      </w:r>
      <w:r>
        <w:rPr>
          <w:spacing w:val="-11"/>
        </w:rPr>
        <w:t> </w:t>
      </w:r>
      <w:r>
        <w:rPr/>
        <w:t>(25%)</w:t>
      </w:r>
      <w:r>
        <w:rPr>
          <w:spacing w:val="-10"/>
        </w:rPr>
        <w:t> </w:t>
      </w:r>
      <w:r>
        <w:rPr/>
        <w:t>tended</w:t>
      </w:r>
      <w:r>
        <w:rPr>
          <w:spacing w:val="-11"/>
        </w:rPr>
        <w:t> </w:t>
      </w:r>
      <w:r>
        <w:rPr/>
        <w:t>to</w:t>
      </w:r>
      <w:r>
        <w:rPr>
          <w:spacing w:val="-10"/>
        </w:rPr>
        <w:t> </w:t>
      </w:r>
      <w:r>
        <w:rPr/>
        <w:t>choose a neutral answer to questions about CO</w:t>
      </w:r>
      <w:r>
        <w:rPr>
          <w:position w:val="-6"/>
          <w:sz w:val="11"/>
        </w:rPr>
        <w:t>2 </w:t>
      </w:r>
      <w:r>
        <w:rPr/>
        <w:t>capture and storage, suggesting they did not yet have a well-formed</w:t>
      </w:r>
      <w:r>
        <w:rPr>
          <w:spacing w:val="-10"/>
        </w:rPr>
        <w:t> </w:t>
      </w:r>
      <w:r>
        <w:rPr/>
        <w:t>opinion.</w:t>
      </w:r>
    </w:p>
    <w:p>
      <w:pPr>
        <w:pStyle w:val="BodyText"/>
        <w:spacing w:line="240" w:lineRule="exact"/>
        <w:ind w:left="157" w:right="38" w:firstLine="283"/>
        <w:jc w:val="both"/>
      </w:pPr>
      <w:r>
        <w:rPr/>
        <w:t>Palmgren</w:t>
      </w:r>
      <w:r>
        <w:rPr>
          <w:spacing w:val="-8"/>
        </w:rPr>
        <w:t> </w:t>
      </w:r>
      <w:r>
        <w:rPr>
          <w:i/>
        </w:rPr>
        <w:t>et</w:t>
      </w:r>
      <w:r>
        <w:rPr>
          <w:i/>
          <w:spacing w:val="-9"/>
        </w:rPr>
        <w:t> </w:t>
      </w:r>
      <w:r>
        <w:rPr>
          <w:i/>
        </w:rPr>
        <w:t>al.</w:t>
      </w:r>
      <w:r>
        <w:rPr>
          <w:i/>
          <w:spacing w:val="-9"/>
        </w:rPr>
        <w:t> </w:t>
      </w:r>
      <w:r>
        <w:rPr/>
        <w:t>(2004)</w:t>
      </w:r>
      <w:r>
        <w:rPr>
          <w:spacing w:val="-9"/>
        </w:rPr>
        <w:t> </w:t>
      </w:r>
      <w:r>
        <w:rPr/>
        <w:t>conducted</w:t>
      </w:r>
      <w:r>
        <w:rPr>
          <w:spacing w:val="-9"/>
        </w:rPr>
        <w:t> </w:t>
      </w:r>
      <w:r>
        <w:rPr/>
        <w:t>18</w:t>
      </w:r>
      <w:r>
        <w:rPr>
          <w:spacing w:val="-9"/>
        </w:rPr>
        <w:t> </w:t>
      </w:r>
      <w:r>
        <w:rPr/>
        <w:t>face-to-face</w:t>
      </w:r>
      <w:r>
        <w:rPr>
          <w:spacing w:val="-9"/>
        </w:rPr>
        <w:t> </w:t>
      </w:r>
      <w:r>
        <w:rPr/>
        <w:t>interviews in</w:t>
      </w:r>
      <w:r>
        <w:rPr>
          <w:spacing w:val="-26"/>
        </w:rPr>
        <w:t> </w:t>
      </w:r>
      <w:r>
        <w:rPr/>
        <w:t>the</w:t>
      </w:r>
      <w:r>
        <w:rPr>
          <w:spacing w:val="-26"/>
        </w:rPr>
        <w:t> </w:t>
      </w:r>
      <w:r>
        <w:rPr/>
        <w:t>Pittsburgh,</w:t>
      </w:r>
      <w:r>
        <w:rPr>
          <w:spacing w:val="-25"/>
        </w:rPr>
        <w:t> </w:t>
      </w:r>
      <w:r>
        <w:rPr/>
        <w:t>Pennsylvania,</w:t>
      </w:r>
      <w:r>
        <w:rPr>
          <w:spacing w:val="-26"/>
        </w:rPr>
        <w:t> </w:t>
      </w:r>
      <w:r>
        <w:rPr/>
        <w:t>USA,</w:t>
      </w:r>
      <w:r>
        <w:rPr>
          <w:spacing w:val="-25"/>
        </w:rPr>
        <w:t> </w:t>
      </w:r>
      <w:r>
        <w:rPr/>
        <w:t>area,</w:t>
      </w:r>
      <w:r>
        <w:rPr>
          <w:spacing w:val="-26"/>
        </w:rPr>
        <w:t> </w:t>
      </w:r>
      <w:r>
        <w:rPr/>
        <w:t>followed</w:t>
      </w:r>
      <w:r>
        <w:rPr>
          <w:spacing w:val="-25"/>
        </w:rPr>
        <w:t> </w:t>
      </w:r>
      <w:r>
        <w:rPr/>
        <w:t>by</w:t>
      </w:r>
      <w:r>
        <w:rPr>
          <w:spacing w:val="-26"/>
        </w:rPr>
        <w:t> </w:t>
      </w:r>
      <w:r>
        <w:rPr/>
        <w:t>a</w:t>
      </w:r>
      <w:r>
        <w:rPr>
          <w:spacing w:val="-26"/>
        </w:rPr>
        <w:t> </w:t>
      </w:r>
      <w:r>
        <w:rPr/>
        <w:t>closed- form survey administered to a sample of 126 individuals. The study found that provision of more information led the survey respondents</w:t>
      </w:r>
      <w:r>
        <w:rPr>
          <w:spacing w:val="-11"/>
        </w:rPr>
        <w:t> </w:t>
      </w:r>
      <w:r>
        <w:rPr/>
        <w:t>to</w:t>
      </w:r>
      <w:r>
        <w:rPr>
          <w:spacing w:val="-11"/>
        </w:rPr>
        <w:t> </w:t>
      </w:r>
      <w:r>
        <w:rPr/>
        <w:t>adopt</w:t>
      </w:r>
      <w:r>
        <w:rPr>
          <w:spacing w:val="-11"/>
        </w:rPr>
        <w:t> </w:t>
      </w:r>
      <w:r>
        <w:rPr/>
        <w:t>a</w:t>
      </w:r>
      <w:r>
        <w:rPr>
          <w:spacing w:val="-11"/>
        </w:rPr>
        <w:t> </w:t>
      </w:r>
      <w:r>
        <w:rPr/>
        <w:t>more</w:t>
      </w:r>
      <w:r>
        <w:rPr>
          <w:spacing w:val="-11"/>
        </w:rPr>
        <w:t> </w:t>
      </w:r>
      <w:r>
        <w:rPr/>
        <w:t>negative</w:t>
      </w:r>
      <w:r>
        <w:rPr>
          <w:spacing w:val="-11"/>
        </w:rPr>
        <w:t> </w:t>
      </w:r>
      <w:r>
        <w:rPr/>
        <w:t>view</w:t>
      </w:r>
      <w:r>
        <w:rPr>
          <w:spacing w:val="-11"/>
        </w:rPr>
        <w:t> </w:t>
      </w:r>
      <w:r>
        <w:rPr/>
        <w:t>towards</w:t>
      </w:r>
      <w:r>
        <w:rPr>
          <w:spacing w:val="-11"/>
        </w:rPr>
        <w:t> </w:t>
      </w:r>
      <w:r>
        <w:rPr/>
        <w:t>CO</w:t>
      </w:r>
      <w:r>
        <w:rPr>
          <w:position w:val="-6"/>
          <w:sz w:val="11"/>
        </w:rPr>
        <w:t>2</w:t>
      </w:r>
      <w:r>
        <w:rPr>
          <w:spacing w:val="11"/>
          <w:position w:val="-6"/>
          <w:sz w:val="11"/>
        </w:rPr>
        <w:t> </w:t>
      </w:r>
      <w:r>
        <w:rPr/>
        <w:t>capture and storage. The study also found that, when asked in terms  of willingness to </w:t>
      </w:r>
      <w:r>
        <w:rPr>
          <w:spacing w:val="-4"/>
        </w:rPr>
        <w:t>pay, </w:t>
      </w:r>
      <w:r>
        <w:rPr/>
        <w:t>the respondents were less favourable towards CO</w:t>
      </w:r>
      <w:r>
        <w:rPr>
          <w:position w:val="-6"/>
          <w:sz w:val="11"/>
        </w:rPr>
        <w:t>2 </w:t>
      </w:r>
      <w:r>
        <w:rPr/>
        <w:t>capture and storage as a mitigation option than they were to all the other options provided (which were rated, in descending order, as follows: </w:t>
      </w:r>
      <w:r>
        <w:rPr>
          <w:spacing w:val="-3"/>
        </w:rPr>
        <w:t>solar, </w:t>
      </w:r>
      <w:r>
        <w:rPr/>
        <w:t>hydro, wind, natural</w:t>
      </w:r>
      <w:r>
        <w:rPr>
          <w:spacing w:val="-24"/>
        </w:rPr>
        <w:t> </w:t>
      </w:r>
      <w:r>
        <w:rPr/>
        <w:t>gas, energy efficiency, nuclear, biomass, geological storage and ocean</w:t>
      </w:r>
      <w:r>
        <w:rPr>
          <w:spacing w:val="-14"/>
        </w:rPr>
        <w:t> </w:t>
      </w:r>
      <w:r>
        <w:rPr/>
        <w:t>storage).</w:t>
      </w:r>
      <w:r>
        <w:rPr>
          <w:spacing w:val="-13"/>
        </w:rPr>
        <w:t> </w:t>
      </w:r>
      <w:r>
        <w:rPr/>
        <w:t>Ocean</w:t>
      </w:r>
      <w:r>
        <w:rPr>
          <w:spacing w:val="-13"/>
        </w:rPr>
        <w:t> </w:t>
      </w:r>
      <w:r>
        <w:rPr/>
        <w:t>storage</w:t>
      </w:r>
      <w:r>
        <w:rPr>
          <w:spacing w:val="-14"/>
        </w:rPr>
        <w:t> </w:t>
      </w:r>
      <w:r>
        <w:rPr/>
        <w:t>was</w:t>
      </w:r>
      <w:r>
        <w:rPr>
          <w:spacing w:val="-13"/>
        </w:rPr>
        <w:t> </w:t>
      </w:r>
      <w:r>
        <w:rPr/>
        <w:t>viewed</w:t>
      </w:r>
      <w:r>
        <w:rPr>
          <w:spacing w:val="-13"/>
        </w:rPr>
        <w:t> </w:t>
      </w:r>
      <w:r>
        <w:rPr/>
        <w:t>more</w:t>
      </w:r>
      <w:r>
        <w:rPr>
          <w:spacing w:val="-13"/>
        </w:rPr>
        <w:t> </w:t>
      </w:r>
      <w:r>
        <w:rPr/>
        <w:t>negatively</w:t>
      </w:r>
      <w:r>
        <w:rPr>
          <w:spacing w:val="-14"/>
        </w:rPr>
        <w:t> </w:t>
      </w:r>
      <w:r>
        <w:rPr/>
        <w:t>than geological storage, especially after information was</w:t>
      </w:r>
      <w:r>
        <w:rPr>
          <w:spacing w:val="-9"/>
        </w:rPr>
        <w:t> </w:t>
      </w:r>
      <w:r>
        <w:rPr/>
        <w:t>provided.</w:t>
      </w:r>
    </w:p>
    <w:p>
      <w:pPr>
        <w:pStyle w:val="BodyText"/>
        <w:spacing w:before="3"/>
        <w:rPr>
          <w:sz w:val="21"/>
        </w:rPr>
      </w:pPr>
    </w:p>
    <w:p>
      <w:pPr>
        <w:pStyle w:val="ListParagraph"/>
        <w:numPr>
          <w:ilvl w:val="3"/>
          <w:numId w:val="7"/>
        </w:numPr>
        <w:tabs>
          <w:tab w:pos="977" w:val="left" w:leader="none"/>
        </w:tabs>
        <w:spacing w:line="240" w:lineRule="auto" w:before="1" w:after="0"/>
        <w:ind w:left="977" w:right="0" w:hanging="820"/>
        <w:jc w:val="both"/>
        <w:rPr>
          <w:i/>
          <w:sz w:val="20"/>
        </w:rPr>
      </w:pPr>
      <w:r>
        <w:rPr>
          <w:i/>
          <w:sz w:val="20"/>
        </w:rPr>
        <w:t>Focus-group</w:t>
      </w:r>
      <w:r>
        <w:rPr>
          <w:i/>
          <w:spacing w:val="-1"/>
          <w:sz w:val="20"/>
        </w:rPr>
        <w:t> </w:t>
      </w:r>
      <w:r>
        <w:rPr>
          <w:i/>
          <w:sz w:val="20"/>
        </w:rPr>
        <w:t>research</w:t>
      </w:r>
    </w:p>
    <w:p>
      <w:pPr>
        <w:pStyle w:val="BodyText"/>
        <w:spacing w:line="240" w:lineRule="exact" w:before="4"/>
        <w:ind w:left="157" w:right="38"/>
        <w:jc w:val="both"/>
      </w:pPr>
      <w:r>
        <w:rPr/>
        <w:t>Focus-group</w:t>
      </w:r>
      <w:r>
        <w:rPr>
          <w:spacing w:val="-22"/>
        </w:rPr>
        <w:t> </w:t>
      </w:r>
      <w:r>
        <w:rPr/>
        <w:t>research</w:t>
      </w:r>
      <w:r>
        <w:rPr>
          <w:spacing w:val="-22"/>
        </w:rPr>
        <w:t> </w:t>
      </w:r>
      <w:r>
        <w:rPr/>
        <w:t>on</w:t>
      </w:r>
      <w:r>
        <w:rPr>
          <w:spacing w:val="-22"/>
        </w:rPr>
        <w:t> </w:t>
      </w:r>
      <w:r>
        <w:rPr/>
        <w:t>CO</w:t>
      </w:r>
      <w:r>
        <w:rPr>
          <w:position w:val="-6"/>
          <w:sz w:val="11"/>
        </w:rPr>
        <w:t>2</w:t>
      </w:r>
      <w:r>
        <w:rPr>
          <w:spacing w:val="1"/>
          <w:position w:val="-6"/>
          <w:sz w:val="11"/>
        </w:rPr>
        <w:t> </w:t>
      </w:r>
      <w:r>
        <w:rPr/>
        <w:t>capture</w:t>
      </w:r>
      <w:r>
        <w:rPr>
          <w:spacing w:val="-22"/>
        </w:rPr>
        <w:t> </w:t>
      </w:r>
      <w:r>
        <w:rPr/>
        <w:t>and</w:t>
      </w:r>
      <w:r>
        <w:rPr>
          <w:spacing w:val="-21"/>
        </w:rPr>
        <w:t> </w:t>
      </w:r>
      <w:r>
        <w:rPr/>
        <w:t>storage</w:t>
      </w:r>
      <w:r>
        <w:rPr>
          <w:spacing w:val="-22"/>
        </w:rPr>
        <w:t> </w:t>
      </w:r>
      <w:r>
        <w:rPr/>
        <w:t>was</w:t>
      </w:r>
      <w:r>
        <w:rPr>
          <w:spacing w:val="-22"/>
        </w:rPr>
        <w:t> </w:t>
      </w:r>
      <w:r>
        <w:rPr/>
        <w:t>conducted in the UK in 2001 and 2003 (Gough </w:t>
      </w:r>
      <w:r>
        <w:rPr>
          <w:i/>
        </w:rPr>
        <w:t>et al.</w:t>
      </w:r>
      <w:r>
        <w:rPr/>
        <w:t>, 2002; Shackley </w:t>
      </w:r>
      <w:r>
        <w:rPr>
          <w:i/>
        </w:rPr>
        <w:t>et </w:t>
      </w:r>
      <w:r>
        <w:rPr>
          <w:i/>
        </w:rPr>
        <w:t>al.</w:t>
      </w:r>
      <w:r>
        <w:rPr/>
        <w:t>, 2004). Initial reactions tended to be sceptical; only within the context of the broader discussion of climate change and </w:t>
      </w:r>
      <w:r>
        <w:rPr>
          <w:spacing w:val="-5"/>
        </w:rPr>
        <w:t>the </w:t>
      </w:r>
      <w:r>
        <w:rPr/>
        <w:t>need</w:t>
      </w:r>
      <w:r>
        <w:rPr>
          <w:spacing w:val="-11"/>
        </w:rPr>
        <w:t> </w:t>
      </w:r>
      <w:r>
        <w:rPr/>
        <w:t>for</w:t>
      </w:r>
      <w:r>
        <w:rPr>
          <w:spacing w:val="-10"/>
        </w:rPr>
        <w:t> </w:t>
      </w:r>
      <w:r>
        <w:rPr/>
        <w:t>large</w:t>
      </w:r>
      <w:r>
        <w:rPr>
          <w:spacing w:val="-10"/>
        </w:rPr>
        <w:t> </w:t>
      </w:r>
      <w:r>
        <w:rPr/>
        <w:t>cuts</w:t>
      </w:r>
      <w:r>
        <w:rPr>
          <w:spacing w:val="-10"/>
        </w:rPr>
        <w:t> </w:t>
      </w:r>
      <w:r>
        <w:rPr/>
        <w:t>in</w:t>
      </w:r>
      <w:r>
        <w:rPr>
          <w:spacing w:val="-10"/>
        </w:rPr>
        <w:t> </w:t>
      </w:r>
      <w:r>
        <w:rPr/>
        <w:t>CO</w:t>
      </w:r>
      <w:r>
        <w:rPr>
          <w:position w:val="-6"/>
          <w:sz w:val="11"/>
        </w:rPr>
        <w:t>2</w:t>
      </w:r>
      <w:r>
        <w:rPr>
          <w:spacing w:val="13"/>
          <w:position w:val="-6"/>
          <w:sz w:val="11"/>
        </w:rPr>
        <w:t> </w:t>
      </w:r>
      <w:r>
        <w:rPr/>
        <w:t>emissions,</w:t>
      </w:r>
      <w:r>
        <w:rPr>
          <w:spacing w:val="-11"/>
        </w:rPr>
        <w:t> </w:t>
      </w:r>
      <w:r>
        <w:rPr/>
        <w:t>did</w:t>
      </w:r>
      <w:r>
        <w:rPr>
          <w:spacing w:val="-10"/>
        </w:rPr>
        <w:t> </w:t>
      </w:r>
      <w:r>
        <w:rPr/>
        <w:t>opinions</w:t>
      </w:r>
      <w:r>
        <w:rPr>
          <w:spacing w:val="-10"/>
        </w:rPr>
        <w:t> </w:t>
      </w:r>
      <w:r>
        <w:rPr/>
        <w:t>become</w:t>
      </w:r>
      <w:r>
        <w:rPr>
          <w:spacing w:val="-10"/>
        </w:rPr>
        <w:t> </w:t>
      </w:r>
      <w:r>
        <w:rPr/>
        <w:t>more receptive.</w:t>
      </w:r>
      <w:r>
        <w:rPr>
          <w:spacing w:val="-10"/>
        </w:rPr>
        <w:t> </w:t>
      </w:r>
      <w:r>
        <w:rPr>
          <w:spacing w:val="-3"/>
        </w:rPr>
        <w:t>Typically,</w:t>
      </w:r>
      <w:r>
        <w:rPr>
          <w:spacing w:val="-6"/>
        </w:rPr>
        <w:t> </w:t>
      </w:r>
      <w:r>
        <w:rPr/>
        <w:t>participants</w:t>
      </w:r>
      <w:r>
        <w:rPr>
          <w:spacing w:val="-6"/>
        </w:rPr>
        <w:t> </w:t>
      </w:r>
      <w:r>
        <w:rPr/>
        <w:t>in</w:t>
      </w:r>
      <w:r>
        <w:rPr>
          <w:spacing w:val="-6"/>
        </w:rPr>
        <w:t> </w:t>
      </w:r>
      <w:r>
        <w:rPr/>
        <w:t>these</w:t>
      </w:r>
      <w:r>
        <w:rPr>
          <w:spacing w:val="-6"/>
        </w:rPr>
        <w:t> </w:t>
      </w:r>
      <w:r>
        <w:rPr/>
        <w:t>groups</w:t>
      </w:r>
      <w:r>
        <w:rPr>
          <w:spacing w:val="-6"/>
        </w:rPr>
        <w:t> </w:t>
      </w:r>
      <w:r>
        <w:rPr/>
        <w:t>were</w:t>
      </w:r>
      <w:r>
        <w:rPr>
          <w:spacing w:val="-6"/>
        </w:rPr>
        <w:t> </w:t>
      </w:r>
      <w:r>
        <w:rPr/>
        <w:t>clear</w:t>
      </w:r>
      <w:r>
        <w:rPr>
          <w:spacing w:val="-6"/>
        </w:rPr>
        <w:t> </w:t>
      </w:r>
      <w:r>
        <w:rPr>
          <w:spacing w:val="-3"/>
        </w:rPr>
        <w:t>that </w:t>
      </w:r>
      <w:r>
        <w:rPr/>
        <w:t>other approaches such as energy efficiency, demand-reduction measures and renewable energy should be pursued as a</w:t>
      </w:r>
      <w:r>
        <w:rPr>
          <w:spacing w:val="-27"/>
        </w:rPr>
        <w:t> </w:t>
      </w:r>
      <w:r>
        <w:rPr/>
        <w:t>priority and that CO</w:t>
      </w:r>
      <w:r>
        <w:rPr>
          <w:position w:val="-6"/>
          <w:sz w:val="11"/>
        </w:rPr>
        <w:t>2 </w:t>
      </w:r>
      <w:r>
        <w:rPr/>
        <w:t>geological storage should be developed alongside and not as a straight alternative to, these other options. There was general support for use of CO</w:t>
      </w:r>
      <w:r>
        <w:rPr>
          <w:position w:val="-6"/>
          <w:sz w:val="11"/>
        </w:rPr>
        <w:t>2 </w:t>
      </w:r>
      <w:r>
        <w:rPr/>
        <w:t>capture and storage as a ‘bridging measure’ while other zero or low carbon energy technologies are developed or as an emergency stop-gap option if such technologies are not developed in time. </w:t>
      </w:r>
      <w:r>
        <w:rPr>
          <w:spacing w:val="-3"/>
        </w:rPr>
        <w:t>There </w:t>
      </w:r>
      <w:r>
        <w:rPr/>
        <w:t>was a moderate level of scepticism among participants</w:t>
      </w:r>
      <w:r>
        <w:rPr>
          <w:spacing w:val="-27"/>
        </w:rPr>
        <w:t> </w:t>
      </w:r>
      <w:r>
        <w:rPr/>
        <w:t>towards both government and industry and what may motivate their promotion of CO</w:t>
      </w:r>
      <w:r>
        <w:rPr>
          <w:position w:val="-6"/>
          <w:sz w:val="11"/>
        </w:rPr>
        <w:t>2 </w:t>
      </w:r>
      <w:r>
        <w:rPr/>
        <w:t>storage, but there was also some distrust of messages promoted by environmental groups. Levels of </w:t>
      </w:r>
      <w:r>
        <w:rPr>
          <w:spacing w:val="-3"/>
        </w:rPr>
        <w:t>trust </w:t>
      </w:r>
      <w:r>
        <w:rPr/>
        <w:t>in key institutions and the role of the media were perceived to have a major influence on how CO</w:t>
      </w:r>
      <w:r>
        <w:rPr>
          <w:position w:val="-6"/>
          <w:sz w:val="11"/>
        </w:rPr>
        <w:t>2 </w:t>
      </w:r>
      <w:r>
        <w:rPr/>
        <w:t>capture and storage would be received by the public, a point also made by Huijts</w:t>
      </w:r>
      <w:r>
        <w:rPr>
          <w:spacing w:val="-6"/>
        </w:rPr>
        <w:t> </w:t>
      </w:r>
      <w:r>
        <w:rPr/>
        <w:t>(2003).</w:t>
      </w:r>
    </w:p>
    <w:p>
      <w:pPr>
        <w:pStyle w:val="BodyText"/>
        <w:spacing w:before="4"/>
        <w:rPr>
          <w:sz w:val="21"/>
        </w:rPr>
      </w:pPr>
    </w:p>
    <w:p>
      <w:pPr>
        <w:pStyle w:val="ListParagraph"/>
        <w:numPr>
          <w:ilvl w:val="3"/>
          <w:numId w:val="7"/>
        </w:numPr>
        <w:tabs>
          <w:tab w:pos="977" w:val="left" w:leader="none"/>
        </w:tabs>
        <w:spacing w:line="240" w:lineRule="auto" w:before="0" w:after="0"/>
        <w:ind w:left="977" w:right="0" w:hanging="820"/>
        <w:jc w:val="both"/>
        <w:rPr>
          <w:i/>
          <w:sz w:val="20"/>
        </w:rPr>
      </w:pPr>
      <w:r>
        <w:rPr>
          <w:i/>
          <w:sz w:val="20"/>
        </w:rPr>
        <w:t>Implications of the</w:t>
      </w:r>
      <w:r>
        <w:rPr>
          <w:i/>
          <w:spacing w:val="-2"/>
          <w:sz w:val="20"/>
        </w:rPr>
        <w:t> </w:t>
      </w:r>
      <w:r>
        <w:rPr>
          <w:i/>
          <w:sz w:val="20"/>
        </w:rPr>
        <w:t>research</w:t>
      </w:r>
    </w:p>
    <w:p>
      <w:pPr>
        <w:pStyle w:val="BodyText"/>
        <w:spacing w:line="240" w:lineRule="exact" w:before="5"/>
        <w:ind w:left="157" w:right="38"/>
        <w:jc w:val="both"/>
      </w:pPr>
      <w:r>
        <w:rPr/>
        <w:t>The existing research described above has applied </w:t>
      </w:r>
      <w:r>
        <w:rPr>
          <w:spacing w:val="-3"/>
        </w:rPr>
        <w:t>different  </w:t>
      </w:r>
      <w:r>
        <w:rPr/>
        <w:t>methodologies, research designs and terminology, </w:t>
      </w:r>
      <w:r>
        <w:rPr>
          <w:spacing w:val="-3"/>
        </w:rPr>
        <w:t>making </w:t>
      </w:r>
      <w:r>
        <w:rPr/>
        <w:t>direct comparisons impossible.  Inconsistencies  in  </w:t>
      </w:r>
      <w:r>
        <w:rPr>
          <w:spacing w:val="-3"/>
        </w:rPr>
        <w:t>results </w:t>
      </w:r>
      <w:r>
        <w:rPr/>
        <w:t>have arisen concerning the effect of providing more detailed information to respondents and the evaluation of CO</w:t>
      </w:r>
      <w:r>
        <w:rPr>
          <w:position w:val="-6"/>
          <w:sz w:val="11"/>
        </w:rPr>
        <w:t>2 </w:t>
      </w:r>
      <w:r>
        <w:rPr/>
        <w:t>capture and</w:t>
      </w:r>
      <w:r>
        <w:rPr>
          <w:spacing w:val="-4"/>
        </w:rPr>
        <w:t> </w:t>
      </w:r>
      <w:r>
        <w:rPr/>
        <w:t>storage</w:t>
      </w:r>
      <w:r>
        <w:rPr>
          <w:spacing w:val="-4"/>
        </w:rPr>
        <w:t> </w:t>
      </w:r>
      <w:r>
        <w:rPr/>
        <w:t>in</w:t>
      </w:r>
      <w:r>
        <w:rPr>
          <w:spacing w:val="-4"/>
        </w:rPr>
        <w:t> </w:t>
      </w:r>
      <w:r>
        <w:rPr/>
        <w:t>general</w:t>
      </w:r>
      <w:r>
        <w:rPr>
          <w:spacing w:val="-4"/>
        </w:rPr>
        <w:t> </w:t>
      </w:r>
      <w:r>
        <w:rPr/>
        <w:t>terms</w:t>
      </w:r>
      <w:r>
        <w:rPr>
          <w:spacing w:val="-4"/>
        </w:rPr>
        <w:t> </w:t>
      </w:r>
      <w:r>
        <w:rPr/>
        <w:t>and</w:t>
      </w:r>
      <w:r>
        <w:rPr>
          <w:spacing w:val="-4"/>
        </w:rPr>
        <w:t> </w:t>
      </w:r>
      <w:r>
        <w:rPr/>
        <w:t>in</w:t>
      </w:r>
      <w:r>
        <w:rPr>
          <w:spacing w:val="-4"/>
        </w:rPr>
        <w:t> </w:t>
      </w:r>
      <w:r>
        <w:rPr/>
        <w:t>comparison</w:t>
      </w:r>
      <w:r>
        <w:rPr>
          <w:spacing w:val="-3"/>
        </w:rPr>
        <w:t> </w:t>
      </w:r>
      <w:r>
        <w:rPr/>
        <w:t>with</w:t>
      </w:r>
      <w:r>
        <w:rPr>
          <w:spacing w:val="-4"/>
        </w:rPr>
        <w:t> </w:t>
      </w:r>
      <w:r>
        <w:rPr/>
        <w:t>other</w:t>
      </w:r>
      <w:r>
        <w:rPr>
          <w:spacing w:val="-4"/>
        </w:rPr>
        <w:t> </w:t>
      </w:r>
      <w:r>
        <w:rPr/>
        <w:t>low-</w:t>
      </w:r>
    </w:p>
    <w:p>
      <w:pPr>
        <w:pStyle w:val="BodyText"/>
        <w:spacing w:line="249" w:lineRule="auto" w:before="63"/>
        <w:ind w:left="157" w:right="529"/>
        <w:jc w:val="both"/>
      </w:pPr>
      <w:r>
        <w:rPr/>
        <w:br w:type="column"/>
      </w:r>
      <w:r>
        <w:rPr/>
        <w:t>carbon mitigation options. Explanations for these </w:t>
      </w:r>
      <w:r>
        <w:rPr>
          <w:spacing w:val="-3"/>
        </w:rPr>
        <w:t>differences </w:t>
      </w:r>
      <w:r>
        <w:rPr/>
        <w:t>might include the extent of concern expressed regarding future climate change. Representative samples in the USA and EU (Curry </w:t>
      </w:r>
      <w:r>
        <w:rPr>
          <w:i/>
        </w:rPr>
        <w:t>et al.</w:t>
      </w:r>
      <w:r>
        <w:rPr/>
        <w:t>, 2005) and most of the smaller samples (Shackley </w:t>
      </w:r>
      <w:r>
        <w:rPr>
          <w:i/>
        </w:rPr>
        <w:t>et al.</w:t>
      </w:r>
      <w:r>
        <w:rPr/>
        <w:t>, 2004; Itaoka </w:t>
      </w:r>
      <w:r>
        <w:rPr>
          <w:i/>
        </w:rPr>
        <w:t>et al.</w:t>
      </w:r>
      <w:r>
        <w:rPr/>
        <w:t>, 2005) find moderate to high levels  of concern over  climate  change,  whereas  respondents  in  the Palmgren </w:t>
      </w:r>
      <w:r>
        <w:rPr>
          <w:i/>
        </w:rPr>
        <w:t>et al. </w:t>
      </w:r>
      <w:r>
        <w:rPr/>
        <w:t>(2004) study rated climate change as the least of their environmental concerns. A further  explanation of the difference in perceptions might be the extent to which perceptions of onshore and offshore geological storage have been distinguished in the research.</w:t>
      </w:r>
    </w:p>
    <w:p>
      <w:pPr>
        <w:pStyle w:val="BodyText"/>
        <w:spacing w:line="240" w:lineRule="exact" w:before="4"/>
        <w:ind w:left="157" w:right="530" w:firstLine="283"/>
        <w:jc w:val="both"/>
      </w:pPr>
      <w:r>
        <w:rPr/>
        <w:t>From this limited research, it appears that at least three conditions may have to be met before CO</w:t>
      </w:r>
      <w:r>
        <w:rPr>
          <w:position w:val="-6"/>
          <w:sz w:val="11"/>
        </w:rPr>
        <w:t>2 </w:t>
      </w:r>
      <w:r>
        <w:rPr/>
        <w:t>capture and storage is considered by the public as a credible technology, alongside other better known options: (1) anthropogenic global climate change has to be regarded as a relatively serious problem; (2) there must be acceptance of the need for large reductions in CO</w:t>
      </w:r>
      <w:r>
        <w:rPr>
          <w:position w:val="-6"/>
          <w:sz w:val="11"/>
        </w:rPr>
        <w:t>2 </w:t>
      </w:r>
      <w:r>
        <w:rPr/>
        <w:t>emissions to reduce the threat of global climate change;</w:t>
      </w:r>
    </w:p>
    <w:p>
      <w:pPr>
        <w:pStyle w:val="BodyText"/>
        <w:spacing w:line="240" w:lineRule="exact"/>
        <w:ind w:left="157" w:right="530"/>
        <w:jc w:val="both"/>
      </w:pPr>
      <w:r>
        <w:rPr/>
        <w:t>(3) the public has to accept this technology as a non-harmful and effective option that will contribute to the resolution of (1) and (2). As noted above, many existing surveys have indicated fairly widespread concern over the problem of global climate change and a prevailing feeling that the negative impact outweighs any positive effects (e.g., Kempton </w:t>
      </w:r>
      <w:r>
        <w:rPr>
          <w:i/>
        </w:rPr>
        <w:t>et al.</w:t>
      </w:r>
      <w:r>
        <w:rPr/>
        <w:t>, 1995; Poortinga and Pidgeon, 2003). On the other hand, some survey and focus-group research suggests that widespread acceptance of the above factors amongst the public – in particular the </w:t>
      </w:r>
      <w:r>
        <w:rPr>
          <w:spacing w:val="-3"/>
        </w:rPr>
        <w:t>need </w:t>
      </w:r>
      <w:r>
        <w:rPr/>
        <w:t>for large reduction in CO</w:t>
      </w:r>
      <w:r>
        <w:rPr>
          <w:position w:val="-6"/>
          <w:sz w:val="11"/>
        </w:rPr>
        <w:t>2 </w:t>
      </w:r>
      <w:r>
        <w:rPr/>
        <w:t>emissions – is sporadic and variable within and between national populations. Lack of knowledge and uncertainty regarding the economic and environmental characteristics of other principal mitigation options have </w:t>
      </w:r>
      <w:r>
        <w:rPr>
          <w:spacing w:val="-4"/>
        </w:rPr>
        <w:t>also </w:t>
      </w:r>
      <w:r>
        <w:rPr/>
        <w:t>been identified as an impediment to evaluating the CO</w:t>
      </w:r>
      <w:r>
        <w:rPr>
          <w:position w:val="-6"/>
          <w:sz w:val="11"/>
        </w:rPr>
        <w:t>2 </w:t>
      </w:r>
      <w:r>
        <w:rPr/>
        <w:t>capture and storage option (Curry </w:t>
      </w:r>
      <w:r>
        <w:rPr>
          <w:i/>
        </w:rPr>
        <w:t>et al.</w:t>
      </w:r>
      <w:r>
        <w:rPr/>
        <w:t>, 2005).</w:t>
      </w:r>
    </w:p>
    <w:p>
      <w:pPr>
        <w:pStyle w:val="BodyText"/>
        <w:spacing w:line="240" w:lineRule="exact"/>
        <w:ind w:left="157" w:right="531" w:firstLine="283"/>
        <w:jc w:val="both"/>
      </w:pPr>
      <w:r>
        <w:rPr/>
        <w:t>Acceptance of the three conditions does not imply support for</w:t>
      </w:r>
      <w:r>
        <w:rPr>
          <w:spacing w:val="-21"/>
        </w:rPr>
        <w:t> </w:t>
      </w:r>
      <w:r>
        <w:rPr/>
        <w:t>CO</w:t>
      </w:r>
      <w:r>
        <w:rPr>
          <w:position w:val="-6"/>
          <w:sz w:val="11"/>
        </w:rPr>
        <w:t>2</w:t>
      </w:r>
      <w:r>
        <w:rPr>
          <w:spacing w:val="2"/>
          <w:position w:val="-6"/>
          <w:sz w:val="11"/>
        </w:rPr>
        <w:t> </w:t>
      </w:r>
      <w:r>
        <w:rPr/>
        <w:t>capture</w:t>
      </w:r>
      <w:r>
        <w:rPr>
          <w:spacing w:val="-21"/>
        </w:rPr>
        <w:t> </w:t>
      </w:r>
      <w:r>
        <w:rPr/>
        <w:t>and</w:t>
      </w:r>
      <w:r>
        <w:rPr>
          <w:spacing w:val="-20"/>
        </w:rPr>
        <w:t> </w:t>
      </w:r>
      <w:r>
        <w:rPr/>
        <w:t>storage.</w:t>
      </w:r>
      <w:r>
        <w:rPr>
          <w:spacing w:val="-25"/>
        </w:rPr>
        <w:t> </w:t>
      </w:r>
      <w:r>
        <w:rPr/>
        <w:t>The</w:t>
      </w:r>
      <w:r>
        <w:rPr>
          <w:spacing w:val="-21"/>
        </w:rPr>
        <w:t> </w:t>
      </w:r>
      <w:r>
        <w:rPr/>
        <w:t>technology</w:t>
      </w:r>
      <w:r>
        <w:rPr>
          <w:spacing w:val="-21"/>
        </w:rPr>
        <w:t> </w:t>
      </w:r>
      <w:r>
        <w:rPr/>
        <w:t>may</w:t>
      </w:r>
      <w:r>
        <w:rPr>
          <w:spacing w:val="-20"/>
        </w:rPr>
        <w:t> </w:t>
      </w:r>
      <w:r>
        <w:rPr/>
        <w:t>still</w:t>
      </w:r>
      <w:r>
        <w:rPr>
          <w:spacing w:val="-21"/>
        </w:rPr>
        <w:t> </w:t>
      </w:r>
      <w:r>
        <w:rPr/>
        <w:t>be</w:t>
      </w:r>
      <w:r>
        <w:rPr>
          <w:spacing w:val="-21"/>
        </w:rPr>
        <w:t> </w:t>
      </w:r>
      <w:r>
        <w:rPr/>
        <w:t>rejected by some as too ‘end of pipe’, treating the symptoms not the cause, delaying the point at which the decision to move away from</w:t>
      </w:r>
      <w:r>
        <w:rPr>
          <w:spacing w:val="-7"/>
        </w:rPr>
        <w:t> </w:t>
      </w:r>
      <w:r>
        <w:rPr/>
        <w:t>the</w:t>
      </w:r>
      <w:r>
        <w:rPr>
          <w:spacing w:val="-7"/>
        </w:rPr>
        <w:t> </w:t>
      </w:r>
      <w:r>
        <w:rPr/>
        <w:t>use</w:t>
      </w:r>
      <w:r>
        <w:rPr>
          <w:spacing w:val="-7"/>
        </w:rPr>
        <w:t> </w:t>
      </w:r>
      <w:r>
        <w:rPr/>
        <w:t>of</w:t>
      </w:r>
      <w:r>
        <w:rPr>
          <w:spacing w:val="-7"/>
        </w:rPr>
        <w:t> </w:t>
      </w:r>
      <w:r>
        <w:rPr/>
        <w:t>fossil</w:t>
      </w:r>
      <w:r>
        <w:rPr>
          <w:spacing w:val="-7"/>
        </w:rPr>
        <w:t> </w:t>
      </w:r>
      <w:r>
        <w:rPr/>
        <w:t>fuels</w:t>
      </w:r>
      <w:r>
        <w:rPr>
          <w:spacing w:val="-7"/>
        </w:rPr>
        <w:t> </w:t>
      </w:r>
      <w:r>
        <w:rPr/>
        <w:t>is</w:t>
      </w:r>
      <w:r>
        <w:rPr>
          <w:spacing w:val="-7"/>
        </w:rPr>
        <w:t> </w:t>
      </w:r>
      <w:r>
        <w:rPr/>
        <w:t>taken,</w:t>
      </w:r>
      <w:r>
        <w:rPr>
          <w:spacing w:val="-7"/>
        </w:rPr>
        <w:t> </w:t>
      </w:r>
      <w:r>
        <w:rPr/>
        <w:t>diverting</w:t>
      </w:r>
      <w:r>
        <w:rPr>
          <w:spacing w:val="-7"/>
        </w:rPr>
        <w:t> </w:t>
      </w:r>
      <w:r>
        <w:rPr/>
        <w:t>attention</w:t>
      </w:r>
      <w:r>
        <w:rPr>
          <w:spacing w:val="-7"/>
        </w:rPr>
        <w:t> </w:t>
      </w:r>
      <w:r>
        <w:rPr/>
        <w:t>from</w:t>
      </w:r>
      <w:r>
        <w:rPr>
          <w:spacing w:val="-7"/>
        </w:rPr>
        <w:t> </w:t>
      </w:r>
      <w:r>
        <w:rPr/>
        <w:t>the development</w:t>
      </w:r>
      <w:r>
        <w:rPr>
          <w:spacing w:val="-12"/>
        </w:rPr>
        <w:t> </w:t>
      </w:r>
      <w:r>
        <w:rPr/>
        <w:t>of</w:t>
      </w:r>
      <w:r>
        <w:rPr>
          <w:spacing w:val="-11"/>
        </w:rPr>
        <w:t> </w:t>
      </w:r>
      <w:r>
        <w:rPr/>
        <w:t>renewable</w:t>
      </w:r>
      <w:r>
        <w:rPr>
          <w:spacing w:val="-11"/>
        </w:rPr>
        <w:t> </w:t>
      </w:r>
      <w:r>
        <w:rPr/>
        <w:t>energy</w:t>
      </w:r>
      <w:r>
        <w:rPr>
          <w:spacing w:val="-11"/>
        </w:rPr>
        <w:t> </w:t>
      </w:r>
      <w:r>
        <w:rPr/>
        <w:t>options</w:t>
      </w:r>
      <w:r>
        <w:rPr>
          <w:spacing w:val="-11"/>
        </w:rPr>
        <w:t> </w:t>
      </w:r>
      <w:r>
        <w:rPr/>
        <w:t>and</w:t>
      </w:r>
      <w:r>
        <w:rPr>
          <w:spacing w:val="-11"/>
        </w:rPr>
        <w:t> </w:t>
      </w:r>
      <w:r>
        <w:rPr/>
        <w:t>holding</w:t>
      </w:r>
      <w:r>
        <w:rPr>
          <w:spacing w:val="-11"/>
        </w:rPr>
        <w:t> </w:t>
      </w:r>
      <w:r>
        <w:rPr/>
        <w:t>potential long-term risks that are too difficult to assess with certainty. Conversely, there may be little realization of the practical difficulties in meeting existing and future energy needs </w:t>
      </w:r>
      <w:r>
        <w:rPr>
          <w:spacing w:val="-4"/>
        </w:rPr>
        <w:t>from </w:t>
      </w:r>
      <w:r>
        <w:rPr/>
        <w:t>renewables. Acceptance of CO</w:t>
      </w:r>
      <w:r>
        <w:rPr>
          <w:position w:val="-6"/>
          <w:sz w:val="11"/>
        </w:rPr>
        <w:t>2 </w:t>
      </w:r>
      <w:r>
        <w:rPr/>
        <w:t>capture and storage, where it occurs,</w:t>
      </w:r>
      <w:r>
        <w:rPr>
          <w:spacing w:val="-3"/>
        </w:rPr>
        <w:t> </w:t>
      </w:r>
      <w:r>
        <w:rPr/>
        <w:t>is</w:t>
      </w:r>
      <w:r>
        <w:rPr>
          <w:spacing w:val="-3"/>
        </w:rPr>
        <w:t> </w:t>
      </w:r>
      <w:r>
        <w:rPr/>
        <w:t>frequently</w:t>
      </w:r>
      <w:r>
        <w:rPr>
          <w:spacing w:val="-3"/>
        </w:rPr>
        <w:t> </w:t>
      </w:r>
      <w:r>
        <w:rPr/>
        <w:t>‘reluctant’</w:t>
      </w:r>
      <w:r>
        <w:rPr>
          <w:spacing w:val="-18"/>
        </w:rPr>
        <w:t> </w:t>
      </w:r>
      <w:r>
        <w:rPr/>
        <w:t>rather</w:t>
      </w:r>
      <w:r>
        <w:rPr>
          <w:spacing w:val="-3"/>
        </w:rPr>
        <w:t> </w:t>
      </w:r>
      <w:r>
        <w:rPr/>
        <w:t>than</w:t>
      </w:r>
      <w:r>
        <w:rPr>
          <w:spacing w:val="-3"/>
        </w:rPr>
        <w:t> </w:t>
      </w:r>
      <w:r>
        <w:rPr/>
        <w:t>‘enthusiastic’</w:t>
      </w:r>
      <w:r>
        <w:rPr>
          <w:spacing w:val="-17"/>
        </w:rPr>
        <w:t> </w:t>
      </w:r>
      <w:r>
        <w:rPr/>
        <w:t>and</w:t>
      </w:r>
      <w:r>
        <w:rPr>
          <w:spacing w:val="-3"/>
        </w:rPr>
        <w:t> </w:t>
      </w:r>
      <w:r>
        <w:rPr>
          <w:spacing w:val="-7"/>
        </w:rPr>
        <w:t>in </w:t>
      </w:r>
      <w:r>
        <w:rPr/>
        <w:t>some cases reflects the perception that CO</w:t>
      </w:r>
      <w:r>
        <w:rPr>
          <w:position w:val="-6"/>
          <w:sz w:val="11"/>
        </w:rPr>
        <w:t>2 </w:t>
      </w:r>
      <w:r>
        <w:rPr/>
        <w:t>capture and storage might</w:t>
      </w:r>
      <w:r>
        <w:rPr>
          <w:spacing w:val="-7"/>
        </w:rPr>
        <w:t> </w:t>
      </w:r>
      <w:r>
        <w:rPr/>
        <w:t>be</w:t>
      </w:r>
      <w:r>
        <w:rPr>
          <w:spacing w:val="-7"/>
        </w:rPr>
        <w:t> </w:t>
      </w:r>
      <w:r>
        <w:rPr/>
        <w:t>required</w:t>
      </w:r>
      <w:r>
        <w:rPr>
          <w:spacing w:val="-6"/>
        </w:rPr>
        <w:t> </w:t>
      </w:r>
      <w:r>
        <w:rPr/>
        <w:t>because</w:t>
      </w:r>
      <w:r>
        <w:rPr>
          <w:spacing w:val="-7"/>
        </w:rPr>
        <w:t> </w:t>
      </w:r>
      <w:r>
        <w:rPr/>
        <w:t>of</w:t>
      </w:r>
      <w:r>
        <w:rPr>
          <w:spacing w:val="-6"/>
        </w:rPr>
        <w:t> </w:t>
      </w:r>
      <w:r>
        <w:rPr/>
        <w:t>failure</w:t>
      </w:r>
      <w:r>
        <w:rPr>
          <w:spacing w:val="-7"/>
        </w:rPr>
        <w:t> </w:t>
      </w:r>
      <w:r>
        <w:rPr/>
        <w:t>to</w:t>
      </w:r>
      <w:r>
        <w:rPr>
          <w:spacing w:val="-6"/>
        </w:rPr>
        <w:t> </w:t>
      </w:r>
      <w:r>
        <w:rPr/>
        <w:t>reduce</w:t>
      </w:r>
      <w:r>
        <w:rPr>
          <w:spacing w:val="-7"/>
        </w:rPr>
        <w:t> </w:t>
      </w:r>
      <w:r>
        <w:rPr/>
        <w:t>CO</w:t>
      </w:r>
      <w:r>
        <w:rPr>
          <w:position w:val="-6"/>
          <w:sz w:val="11"/>
        </w:rPr>
        <w:t>2</w:t>
      </w:r>
      <w:r>
        <w:rPr>
          <w:spacing w:val="16"/>
          <w:position w:val="-6"/>
          <w:sz w:val="11"/>
        </w:rPr>
        <w:t> </w:t>
      </w:r>
      <w:r>
        <w:rPr/>
        <w:t>emissions</w:t>
      </w:r>
      <w:r>
        <w:rPr>
          <w:spacing w:val="-7"/>
        </w:rPr>
        <w:t> </w:t>
      </w:r>
      <w:r>
        <w:rPr>
          <w:spacing w:val="-9"/>
        </w:rPr>
        <w:t>in </w:t>
      </w:r>
      <w:r>
        <w:rPr/>
        <w:t>other ways. Furthermore, several of the studies above indicate that an ‘in principle’ acceptance of the technology can be </w:t>
      </w:r>
      <w:r>
        <w:rPr>
          <w:spacing w:val="-4"/>
        </w:rPr>
        <w:t>very </w:t>
      </w:r>
      <w:r>
        <w:rPr/>
        <w:t>different from acceptance of storage at a specific</w:t>
      </w:r>
      <w:r>
        <w:rPr>
          <w:spacing w:val="-13"/>
        </w:rPr>
        <w:t> </w:t>
      </w:r>
      <w:r>
        <w:rPr/>
        <w:t>site.</w:t>
      </w:r>
    </w:p>
    <w:p>
      <w:pPr>
        <w:pStyle w:val="BodyText"/>
        <w:spacing w:before="3"/>
        <w:rPr>
          <w:sz w:val="21"/>
        </w:rPr>
      </w:pPr>
    </w:p>
    <w:p>
      <w:pPr>
        <w:pStyle w:val="ListParagraph"/>
        <w:numPr>
          <w:ilvl w:val="3"/>
          <w:numId w:val="7"/>
        </w:numPr>
        <w:tabs>
          <w:tab w:pos="977" w:val="left" w:leader="none"/>
        </w:tabs>
        <w:spacing w:line="240" w:lineRule="auto" w:before="1" w:after="0"/>
        <w:ind w:left="977" w:right="0" w:hanging="820"/>
        <w:jc w:val="both"/>
        <w:rPr>
          <w:i/>
          <w:sz w:val="20"/>
        </w:rPr>
      </w:pPr>
      <w:r>
        <w:rPr>
          <w:i/>
          <w:sz w:val="20"/>
        </w:rPr>
        <w:t>Underground storage of other</w:t>
      </w:r>
      <w:r>
        <w:rPr>
          <w:i/>
          <w:spacing w:val="-5"/>
          <w:sz w:val="20"/>
        </w:rPr>
        <w:t> </w:t>
      </w:r>
      <w:r>
        <w:rPr>
          <w:i/>
          <w:sz w:val="20"/>
        </w:rPr>
        <w:t>fluids</w:t>
      </w:r>
    </w:p>
    <w:p>
      <w:pPr>
        <w:pStyle w:val="BodyText"/>
        <w:spacing w:line="240" w:lineRule="exact" w:before="4"/>
        <w:ind w:left="157" w:right="531"/>
        <w:jc w:val="both"/>
      </w:pPr>
      <w:r>
        <w:rPr/>
        <w:t>Given</w:t>
      </w:r>
      <w:r>
        <w:rPr>
          <w:spacing w:val="-24"/>
        </w:rPr>
        <w:t> </w:t>
      </w:r>
      <w:r>
        <w:rPr/>
        <w:t>minimal</w:t>
      </w:r>
      <w:r>
        <w:rPr>
          <w:spacing w:val="-22"/>
        </w:rPr>
        <w:t> </w:t>
      </w:r>
      <w:r>
        <w:rPr/>
        <w:t>experience</w:t>
      </w:r>
      <w:r>
        <w:rPr>
          <w:spacing w:val="-23"/>
        </w:rPr>
        <w:t> </w:t>
      </w:r>
      <w:r>
        <w:rPr/>
        <w:t>with</w:t>
      </w:r>
      <w:r>
        <w:rPr>
          <w:spacing w:val="-23"/>
        </w:rPr>
        <w:t> </w:t>
      </w:r>
      <w:r>
        <w:rPr/>
        <w:t>storage</w:t>
      </w:r>
      <w:r>
        <w:rPr>
          <w:spacing w:val="-23"/>
        </w:rPr>
        <w:t> </w:t>
      </w:r>
      <w:r>
        <w:rPr/>
        <w:t>of</w:t>
      </w:r>
      <w:r>
        <w:rPr>
          <w:spacing w:val="-23"/>
        </w:rPr>
        <w:t> </w:t>
      </w:r>
      <w:r>
        <w:rPr/>
        <w:t>CO</w:t>
      </w:r>
      <w:r>
        <w:rPr>
          <w:position w:val="-6"/>
          <w:sz w:val="11"/>
        </w:rPr>
        <w:t>2</w:t>
      </w:r>
      <w:r>
        <w:rPr/>
        <w:t>,</w:t>
      </w:r>
      <w:r>
        <w:rPr>
          <w:spacing w:val="-22"/>
        </w:rPr>
        <w:t> </w:t>
      </w:r>
      <w:r>
        <w:rPr/>
        <w:t>efforts</w:t>
      </w:r>
      <w:r>
        <w:rPr>
          <w:spacing w:val="-23"/>
        </w:rPr>
        <w:t> </w:t>
      </w:r>
      <w:r>
        <w:rPr/>
        <w:t>have</w:t>
      </w:r>
      <w:r>
        <w:rPr>
          <w:spacing w:val="-22"/>
        </w:rPr>
        <w:t> </w:t>
      </w:r>
      <w:r>
        <w:rPr/>
        <w:t>been made to find analogues that have similar regulatory (and hence public acceptance) characteristics (Reiner and Herzog, 2004). Proposals for underground natural gas storage schemes have generated</w:t>
      </w:r>
      <w:r>
        <w:rPr>
          <w:spacing w:val="12"/>
        </w:rPr>
        <w:t> </w:t>
      </w:r>
      <w:r>
        <w:rPr/>
        <w:t>public</w:t>
      </w:r>
      <w:r>
        <w:rPr>
          <w:spacing w:val="13"/>
        </w:rPr>
        <w:t> </w:t>
      </w:r>
      <w:r>
        <w:rPr/>
        <w:t>opposition</w:t>
      </w:r>
      <w:r>
        <w:rPr>
          <w:spacing w:val="12"/>
        </w:rPr>
        <w:t> </w:t>
      </w:r>
      <w:r>
        <w:rPr/>
        <w:t>in</w:t>
      </w:r>
      <w:r>
        <w:rPr>
          <w:spacing w:val="13"/>
        </w:rPr>
        <w:t> </w:t>
      </w:r>
      <w:r>
        <w:rPr/>
        <w:t>some</w:t>
      </w:r>
      <w:r>
        <w:rPr>
          <w:spacing w:val="13"/>
        </w:rPr>
        <w:t> </w:t>
      </w:r>
      <w:r>
        <w:rPr/>
        <w:t>localities,</w:t>
      </w:r>
      <w:r>
        <w:rPr>
          <w:spacing w:val="12"/>
        </w:rPr>
        <w:t> </w:t>
      </w:r>
      <w:r>
        <w:rPr/>
        <w:t>despite</w:t>
      </w:r>
      <w:r>
        <w:rPr>
          <w:spacing w:val="13"/>
        </w:rPr>
        <w:t> </w:t>
      </w:r>
      <w:r>
        <w:rPr/>
        <w:t>similar</w:t>
      </w:r>
    </w:p>
    <w:p>
      <w:pPr>
        <w:spacing w:after="0" w:line="240" w:lineRule="exact"/>
        <w:jc w:val="both"/>
        <w:sectPr>
          <w:type w:val="continuous"/>
          <w:pgSz w:w="12240" w:h="15840"/>
          <w:pgMar w:top="400" w:bottom="280" w:left="580" w:right="600"/>
          <w:cols w:num="2" w:equalWidth="0">
            <w:col w:w="5242" w:space="84"/>
            <w:col w:w="5734"/>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49" w:lineRule="auto" w:before="63"/>
        <w:ind w:left="553"/>
        <w:jc w:val="both"/>
      </w:pPr>
      <w:bookmarkStart w:name="5.9 Costs of geological storage" w:id="107"/>
      <w:bookmarkEnd w:id="107"/>
      <w:r>
        <w:rPr/>
      </w:r>
      <w:bookmarkStart w:name="5.9.1 Cost elements for geological stora" w:id="108"/>
      <w:bookmarkEnd w:id="108"/>
      <w:r>
        <w:rPr/>
      </w:r>
      <w:bookmarkStart w:name="5.9.2 Cost estimates" w:id="109"/>
      <w:bookmarkEnd w:id="109"/>
      <w:r>
        <w:rPr/>
      </w:r>
      <w:r>
        <w:rPr/>
        <w:t>facilities</w:t>
      </w:r>
      <w:r>
        <w:rPr>
          <w:spacing w:val="-14"/>
        </w:rPr>
        <w:t> </w:t>
      </w:r>
      <w:r>
        <w:rPr/>
        <w:t>operating</w:t>
      </w:r>
      <w:r>
        <w:rPr>
          <w:spacing w:val="-14"/>
        </w:rPr>
        <w:t> </w:t>
      </w:r>
      <w:r>
        <w:rPr/>
        <w:t>close</w:t>
      </w:r>
      <w:r>
        <w:rPr>
          <w:spacing w:val="-14"/>
        </w:rPr>
        <w:t> </w:t>
      </w:r>
      <w:r>
        <w:rPr/>
        <w:t>by</w:t>
      </w:r>
      <w:r>
        <w:rPr>
          <w:spacing w:val="-13"/>
        </w:rPr>
        <w:t> </w:t>
      </w:r>
      <w:r>
        <w:rPr/>
        <w:t>without</w:t>
      </w:r>
      <w:r>
        <w:rPr>
          <w:spacing w:val="-14"/>
        </w:rPr>
        <w:t> </w:t>
      </w:r>
      <w:r>
        <w:rPr/>
        <w:t>apparent</w:t>
      </w:r>
      <w:r>
        <w:rPr>
          <w:spacing w:val="-14"/>
        </w:rPr>
        <w:t> </w:t>
      </w:r>
      <w:r>
        <w:rPr/>
        <w:t>concern</w:t>
      </w:r>
      <w:r>
        <w:rPr>
          <w:spacing w:val="-14"/>
        </w:rPr>
        <w:t> </w:t>
      </w:r>
      <w:r>
        <w:rPr/>
        <w:t>(Gough</w:t>
      </w:r>
      <w:r>
        <w:rPr>
          <w:spacing w:val="-13"/>
        </w:rPr>
        <w:t> </w:t>
      </w:r>
      <w:r>
        <w:rPr>
          <w:i/>
        </w:rPr>
        <w:t>et </w:t>
      </w:r>
      <w:r>
        <w:rPr>
          <w:i/>
        </w:rPr>
        <w:t>al.</w:t>
      </w:r>
      <w:r>
        <w:rPr/>
        <w:t>,</w:t>
      </w:r>
      <w:r>
        <w:rPr>
          <w:spacing w:val="-12"/>
        </w:rPr>
        <w:t> </w:t>
      </w:r>
      <w:r>
        <w:rPr/>
        <w:t>2002).</w:t>
      </w:r>
      <w:r>
        <w:rPr>
          <w:spacing w:val="-11"/>
        </w:rPr>
        <w:t> </w:t>
      </w:r>
      <w:r>
        <w:rPr/>
        <w:t>Concern</w:t>
      </w:r>
      <w:r>
        <w:rPr>
          <w:spacing w:val="-11"/>
        </w:rPr>
        <w:t> </w:t>
      </w:r>
      <w:r>
        <w:rPr/>
        <w:t>regarding</w:t>
      </w:r>
      <w:r>
        <w:rPr>
          <w:spacing w:val="-12"/>
        </w:rPr>
        <w:t> </w:t>
      </w:r>
      <w:r>
        <w:rPr/>
        <w:t>the</w:t>
      </w:r>
      <w:r>
        <w:rPr>
          <w:spacing w:val="-11"/>
        </w:rPr>
        <w:t> </w:t>
      </w:r>
      <w:r>
        <w:rPr/>
        <w:t>effects</w:t>
      </w:r>
      <w:r>
        <w:rPr>
          <w:spacing w:val="-11"/>
        </w:rPr>
        <w:t> </w:t>
      </w:r>
      <w:r>
        <w:rPr/>
        <w:t>of</w:t>
      </w:r>
      <w:r>
        <w:rPr>
          <w:spacing w:val="-11"/>
        </w:rPr>
        <w:t> </w:t>
      </w:r>
      <w:r>
        <w:rPr/>
        <w:t>underground</w:t>
      </w:r>
      <w:r>
        <w:rPr>
          <w:spacing w:val="-12"/>
        </w:rPr>
        <w:t> </w:t>
      </w:r>
      <w:r>
        <w:rPr>
          <w:spacing w:val="-3"/>
        </w:rPr>
        <w:t>natural </w:t>
      </w:r>
      <w:r>
        <w:rPr/>
        <w:t>gas storage upon local property prices and difficult-to-assess risks appear in one case to have been taken up and possibly amplified by the local media. Public opposition to onshore underground storage is likely to be heightened by accidents such as the two deaths from explosions in 2001 in Hutchinson, Kansas (USA), when compressed natural gas escaped from salt cavern storage facilities (Lee, 2001). However, throughout the world </w:t>
      </w:r>
      <w:r>
        <w:rPr>
          <w:spacing w:val="-3"/>
        </w:rPr>
        <w:t>today, </w:t>
      </w:r>
      <w:r>
        <w:rPr/>
        <w:t>many hundreds of natural gas storage sites  are evidently acceptable to local communities. There has </w:t>
      </w:r>
      <w:r>
        <w:rPr>
          <w:spacing w:val="-4"/>
        </w:rPr>
        <w:t>also </w:t>
      </w:r>
      <w:r>
        <w:rPr/>
        <w:t>been a study of the Underground Injection Control programme in the United States, because of the perceived similarity of the governing regulatory regime (Wilson </w:t>
      </w:r>
      <w:r>
        <w:rPr>
          <w:i/>
        </w:rPr>
        <w:t>et al.</w:t>
      </w:r>
      <w:r>
        <w:rPr/>
        <w:t>,</w:t>
      </w:r>
      <w:r>
        <w:rPr>
          <w:spacing w:val="-3"/>
        </w:rPr>
        <w:t> </w:t>
      </w:r>
      <w:r>
        <w:rPr/>
        <w:t>2003).</w:t>
      </w:r>
    </w:p>
    <w:p>
      <w:pPr>
        <w:pStyle w:val="BodyText"/>
        <w:spacing w:before="10"/>
        <w:rPr>
          <w:sz w:val="21"/>
        </w:rPr>
      </w:pPr>
    </w:p>
    <w:p>
      <w:pPr>
        <w:pStyle w:val="Heading1"/>
        <w:numPr>
          <w:ilvl w:val="1"/>
          <w:numId w:val="7"/>
        </w:numPr>
        <w:tabs>
          <w:tab w:pos="1262" w:val="left" w:leader="none"/>
          <w:tab w:pos="1263" w:val="left" w:leader="none"/>
        </w:tabs>
        <w:spacing w:line="240" w:lineRule="auto" w:before="0" w:after="0"/>
        <w:ind w:left="1262" w:right="0" w:hanging="710"/>
        <w:jc w:val="left"/>
      </w:pPr>
      <w:r>
        <w:rPr/>
        <w:t>Costs of geological</w:t>
      </w:r>
      <w:r>
        <w:rPr>
          <w:spacing w:val="-2"/>
        </w:rPr>
        <w:t> </w:t>
      </w:r>
      <w:r>
        <w:rPr/>
        <w:t>storage</w:t>
      </w:r>
    </w:p>
    <w:p>
      <w:pPr>
        <w:pStyle w:val="BodyText"/>
        <w:spacing w:before="3"/>
        <w:rPr>
          <w:b/>
          <w:sz w:val="21"/>
        </w:rPr>
      </w:pPr>
    </w:p>
    <w:p>
      <w:pPr>
        <w:pStyle w:val="BodyText"/>
        <w:spacing w:line="240" w:lineRule="exact"/>
        <w:ind w:left="553"/>
        <w:jc w:val="both"/>
      </w:pPr>
      <w:r>
        <w:rPr/>
        <w:t>How much will geological storage cost? What are the major factors driving storage costs? Can costs be offset by enhanced oil and gas production? These questions are covered in </w:t>
      </w:r>
      <w:r>
        <w:rPr>
          <w:spacing w:val="-3"/>
        </w:rPr>
        <w:t>this  </w:t>
      </w:r>
      <w:r>
        <w:rPr/>
        <w:t>section. It starts with a review of the cost elements and factors that affect storage costs and then presents estimated costs for different storage options. The system boundary for the storage costs</w:t>
      </w:r>
      <w:r>
        <w:rPr>
          <w:spacing w:val="-19"/>
        </w:rPr>
        <w:t> </w:t>
      </w:r>
      <w:r>
        <w:rPr/>
        <w:t>used</w:t>
      </w:r>
      <w:r>
        <w:rPr>
          <w:spacing w:val="-19"/>
        </w:rPr>
        <w:t> </w:t>
      </w:r>
      <w:r>
        <w:rPr/>
        <w:t>here</w:t>
      </w:r>
      <w:r>
        <w:rPr>
          <w:spacing w:val="-19"/>
        </w:rPr>
        <w:t> </w:t>
      </w:r>
      <w:r>
        <w:rPr/>
        <w:t>is</w:t>
      </w:r>
      <w:r>
        <w:rPr>
          <w:spacing w:val="-19"/>
        </w:rPr>
        <w:t> </w:t>
      </w:r>
      <w:r>
        <w:rPr/>
        <w:t>the</w:t>
      </w:r>
      <w:r>
        <w:rPr>
          <w:spacing w:val="-19"/>
        </w:rPr>
        <w:t> </w:t>
      </w:r>
      <w:r>
        <w:rPr/>
        <w:t>delivery</w:t>
      </w:r>
      <w:r>
        <w:rPr>
          <w:spacing w:val="-19"/>
        </w:rPr>
        <w:t> </w:t>
      </w:r>
      <w:r>
        <w:rPr/>
        <w:t>point</w:t>
      </w:r>
      <w:r>
        <w:rPr>
          <w:spacing w:val="-18"/>
        </w:rPr>
        <w:t> </w:t>
      </w:r>
      <w:r>
        <w:rPr/>
        <w:t>between</w:t>
      </w:r>
      <w:r>
        <w:rPr>
          <w:spacing w:val="-19"/>
        </w:rPr>
        <w:t> </w:t>
      </w:r>
      <w:r>
        <w:rPr/>
        <w:t>the</w:t>
      </w:r>
      <w:r>
        <w:rPr>
          <w:spacing w:val="-19"/>
        </w:rPr>
        <w:t> </w:t>
      </w:r>
      <w:r>
        <w:rPr/>
        <w:t>transport</w:t>
      </w:r>
      <w:r>
        <w:rPr>
          <w:spacing w:val="-19"/>
        </w:rPr>
        <w:t> </w:t>
      </w:r>
      <w:r>
        <w:rPr>
          <w:spacing w:val="-3"/>
        </w:rPr>
        <w:t>system </w:t>
      </w:r>
      <w:r>
        <w:rPr/>
        <w:t>and the storage site facilities. It is generally expected that CO</w:t>
      </w:r>
      <w:r>
        <w:rPr>
          <w:position w:val="-6"/>
          <w:sz w:val="11"/>
        </w:rPr>
        <w:t>2 </w:t>
      </w:r>
      <w:r>
        <w:rPr/>
        <w:t>will be delivered as a dense fluid (liquid or supercritical) under pressure at this boundary. The costs of capture, compression and transport to the site are excluded from the storage costs presented</w:t>
      </w:r>
      <w:r>
        <w:rPr>
          <w:spacing w:val="-9"/>
        </w:rPr>
        <w:t> </w:t>
      </w:r>
      <w:r>
        <w:rPr/>
        <w:t>here.</w:t>
      </w:r>
      <w:r>
        <w:rPr>
          <w:spacing w:val="-12"/>
        </w:rPr>
        <w:t> </w:t>
      </w:r>
      <w:r>
        <w:rPr/>
        <w:t>The</w:t>
      </w:r>
      <w:r>
        <w:rPr>
          <w:spacing w:val="-8"/>
        </w:rPr>
        <w:t> </w:t>
      </w:r>
      <w:r>
        <w:rPr/>
        <w:t>figures</w:t>
      </w:r>
      <w:r>
        <w:rPr>
          <w:spacing w:val="-9"/>
        </w:rPr>
        <w:t> </w:t>
      </w:r>
      <w:r>
        <w:rPr/>
        <w:t>presented</w:t>
      </w:r>
      <w:r>
        <w:rPr>
          <w:spacing w:val="-8"/>
        </w:rPr>
        <w:t> </w:t>
      </w:r>
      <w:r>
        <w:rPr/>
        <w:t>are</w:t>
      </w:r>
      <w:r>
        <w:rPr>
          <w:spacing w:val="-9"/>
        </w:rPr>
        <w:t> </w:t>
      </w:r>
      <w:r>
        <w:rPr/>
        <w:t>levelized</w:t>
      </w:r>
      <w:r>
        <w:rPr>
          <w:spacing w:val="-9"/>
        </w:rPr>
        <w:t> </w:t>
      </w:r>
      <w:r>
        <w:rPr/>
        <w:t>costs,</w:t>
      </w:r>
      <w:r>
        <w:rPr>
          <w:spacing w:val="-7"/>
        </w:rPr>
        <w:t> </w:t>
      </w:r>
      <w:r>
        <w:rPr/>
        <w:t>which incorporate economic assumptions such as the project lifetime, discount</w:t>
      </w:r>
      <w:r>
        <w:rPr>
          <w:spacing w:val="-19"/>
        </w:rPr>
        <w:t> </w:t>
      </w:r>
      <w:r>
        <w:rPr/>
        <w:t>rates</w:t>
      </w:r>
      <w:r>
        <w:rPr>
          <w:spacing w:val="-18"/>
        </w:rPr>
        <w:t> </w:t>
      </w:r>
      <w:r>
        <w:rPr/>
        <w:t>and</w:t>
      </w:r>
      <w:r>
        <w:rPr>
          <w:spacing w:val="-18"/>
        </w:rPr>
        <w:t> </w:t>
      </w:r>
      <w:r>
        <w:rPr/>
        <w:t>inflation</w:t>
      </w:r>
      <w:r>
        <w:rPr>
          <w:spacing w:val="-18"/>
        </w:rPr>
        <w:t> </w:t>
      </w:r>
      <w:r>
        <w:rPr/>
        <w:t>(see</w:t>
      </w:r>
      <w:r>
        <w:rPr>
          <w:spacing w:val="-18"/>
        </w:rPr>
        <w:t> </w:t>
      </w:r>
      <w:r>
        <w:rPr/>
        <w:t>Section</w:t>
      </w:r>
      <w:r>
        <w:rPr>
          <w:spacing w:val="-18"/>
        </w:rPr>
        <w:t> </w:t>
      </w:r>
      <w:r>
        <w:rPr/>
        <w:t>3.7.2).</w:t>
      </w:r>
      <w:r>
        <w:rPr>
          <w:spacing w:val="-21"/>
        </w:rPr>
        <w:t> </w:t>
      </w:r>
      <w:r>
        <w:rPr/>
        <w:t>They</w:t>
      </w:r>
      <w:r>
        <w:rPr>
          <w:spacing w:val="-18"/>
        </w:rPr>
        <w:t> </w:t>
      </w:r>
      <w:r>
        <w:rPr/>
        <w:t>incorporate both capital and operating costs.</w:t>
      </w:r>
    </w:p>
    <w:p>
      <w:pPr>
        <w:pStyle w:val="BodyText"/>
        <w:spacing w:before="4"/>
        <w:rPr>
          <w:sz w:val="21"/>
        </w:rPr>
      </w:pPr>
    </w:p>
    <w:p>
      <w:pPr>
        <w:pStyle w:val="Heading2"/>
        <w:numPr>
          <w:ilvl w:val="2"/>
          <w:numId w:val="7"/>
        </w:numPr>
        <w:tabs>
          <w:tab w:pos="1373" w:val="left" w:leader="none"/>
          <w:tab w:pos="1374" w:val="left" w:leader="none"/>
        </w:tabs>
        <w:spacing w:line="240" w:lineRule="auto" w:before="0" w:after="0"/>
        <w:ind w:left="1373" w:right="0" w:hanging="821"/>
        <w:jc w:val="left"/>
        <w:rPr>
          <w:i/>
        </w:rPr>
      </w:pPr>
      <w:r>
        <w:rPr>
          <w:i/>
        </w:rPr>
        <w:t>Cost elements for geological</w:t>
      </w:r>
      <w:r>
        <w:rPr>
          <w:i/>
          <w:spacing w:val="-1"/>
        </w:rPr>
        <w:t> </w:t>
      </w:r>
      <w:r>
        <w:rPr>
          <w:i/>
        </w:rPr>
        <w:t>storage</w:t>
      </w:r>
    </w:p>
    <w:p>
      <w:pPr>
        <w:pStyle w:val="BodyText"/>
        <w:spacing w:before="3"/>
        <w:rPr>
          <w:b/>
          <w:i/>
          <w:sz w:val="21"/>
        </w:rPr>
      </w:pPr>
    </w:p>
    <w:p>
      <w:pPr>
        <w:pStyle w:val="BodyText"/>
        <w:spacing w:line="240" w:lineRule="exact"/>
        <w:ind w:left="553"/>
        <w:jc w:val="both"/>
      </w:pPr>
      <w:r>
        <w:rPr/>
        <w:t>The major capital costs for CO</w:t>
      </w:r>
      <w:r>
        <w:rPr>
          <w:position w:val="-6"/>
          <w:sz w:val="11"/>
        </w:rPr>
        <w:t>2 </w:t>
      </w:r>
      <w:r>
        <w:rPr/>
        <w:t>geological storage are drilling wells,</w:t>
      </w:r>
      <w:r>
        <w:rPr>
          <w:spacing w:val="-11"/>
        </w:rPr>
        <w:t> </w:t>
      </w:r>
      <w:r>
        <w:rPr/>
        <w:t>infrastructure</w:t>
      </w:r>
      <w:r>
        <w:rPr>
          <w:spacing w:val="-10"/>
        </w:rPr>
        <w:t> </w:t>
      </w:r>
      <w:r>
        <w:rPr/>
        <w:t>and</w:t>
      </w:r>
      <w:r>
        <w:rPr>
          <w:spacing w:val="-10"/>
        </w:rPr>
        <w:t> </w:t>
      </w:r>
      <w:r>
        <w:rPr/>
        <w:t>project</w:t>
      </w:r>
      <w:r>
        <w:rPr>
          <w:spacing w:val="-10"/>
        </w:rPr>
        <w:t> </w:t>
      </w:r>
      <w:r>
        <w:rPr/>
        <w:t>management.</w:t>
      </w:r>
      <w:r>
        <w:rPr>
          <w:spacing w:val="-11"/>
        </w:rPr>
        <w:t> </w:t>
      </w:r>
      <w:r>
        <w:rPr/>
        <w:t>For</w:t>
      </w:r>
      <w:r>
        <w:rPr>
          <w:spacing w:val="-10"/>
        </w:rPr>
        <w:t> </w:t>
      </w:r>
      <w:r>
        <w:rPr/>
        <w:t>some</w:t>
      </w:r>
      <w:r>
        <w:rPr>
          <w:spacing w:val="-10"/>
        </w:rPr>
        <w:t> </w:t>
      </w:r>
      <w:r>
        <w:rPr/>
        <w:t>storage sites, there may be in-field pipelines to distribute and deliver CO</w:t>
      </w:r>
      <w:r>
        <w:rPr>
          <w:position w:val="-6"/>
          <w:sz w:val="11"/>
        </w:rPr>
        <w:t>2 </w:t>
      </w:r>
      <w:r>
        <w:rPr/>
        <w:t>from centralized facilities to wells within the site. Where required, these are included in storage cost estimates. For enhanced oil, gas and coal bed methane options, additional facilities</w:t>
      </w:r>
      <w:r>
        <w:rPr>
          <w:spacing w:val="-9"/>
        </w:rPr>
        <w:t> </w:t>
      </w:r>
      <w:r>
        <w:rPr/>
        <w:t>may</w:t>
      </w:r>
      <w:r>
        <w:rPr>
          <w:spacing w:val="-9"/>
        </w:rPr>
        <w:t> </w:t>
      </w:r>
      <w:r>
        <w:rPr/>
        <w:t>be</w:t>
      </w:r>
      <w:r>
        <w:rPr>
          <w:spacing w:val="-8"/>
        </w:rPr>
        <w:t> </w:t>
      </w:r>
      <w:r>
        <w:rPr/>
        <w:t>required</w:t>
      </w:r>
      <w:r>
        <w:rPr>
          <w:spacing w:val="-9"/>
        </w:rPr>
        <w:t> </w:t>
      </w:r>
      <w:r>
        <w:rPr/>
        <w:t>to</w:t>
      </w:r>
      <w:r>
        <w:rPr>
          <w:spacing w:val="-8"/>
        </w:rPr>
        <w:t> </w:t>
      </w:r>
      <w:r>
        <w:rPr/>
        <w:t>handle</w:t>
      </w:r>
      <w:r>
        <w:rPr>
          <w:spacing w:val="-9"/>
        </w:rPr>
        <w:t> </w:t>
      </w:r>
      <w:r>
        <w:rPr/>
        <w:t>produced</w:t>
      </w:r>
      <w:r>
        <w:rPr>
          <w:spacing w:val="-8"/>
        </w:rPr>
        <w:t> </w:t>
      </w:r>
      <w:r>
        <w:rPr/>
        <w:t>oil</w:t>
      </w:r>
      <w:r>
        <w:rPr>
          <w:spacing w:val="-9"/>
        </w:rPr>
        <w:t> </w:t>
      </w:r>
      <w:r>
        <w:rPr/>
        <w:t>and</w:t>
      </w:r>
      <w:r>
        <w:rPr>
          <w:spacing w:val="-9"/>
        </w:rPr>
        <w:t> </w:t>
      </w:r>
      <w:r>
        <w:rPr/>
        <w:t>gas.</w:t>
      </w:r>
      <w:r>
        <w:rPr>
          <w:spacing w:val="-8"/>
        </w:rPr>
        <w:t> </w:t>
      </w:r>
      <w:r>
        <w:rPr>
          <w:spacing w:val="-3"/>
        </w:rPr>
        <w:t>Reuse </w:t>
      </w:r>
      <w:r>
        <w:rPr/>
        <w:t>of infrastructure and wells may reduce costs at some sites.    At some sites, there may be additional costs for remediation work for well abandonment that are not included in existing estimates. Operating costs include manpower, maintenance and fuel. The costs for  licensing,  geological,  geophysical  and engineering feasibility studies required for site selection, reservoir characterization and evaluation  before  storage  starts are included in the cost estimates. Bock </w:t>
      </w:r>
      <w:r>
        <w:rPr>
          <w:i/>
        </w:rPr>
        <w:t>et al. </w:t>
      </w:r>
      <w:r>
        <w:rPr/>
        <w:t>(2003) estimate these as US$ 1.685 million for saline formation and depleted oil and gas field storage case studies in the United States. Characterization costs will vary widely from site to site, depending on the extent of pre-existing data, geological complexity of the storage formations and caprock and risks of leakage.</w:t>
      </w:r>
      <w:r>
        <w:rPr>
          <w:spacing w:val="13"/>
        </w:rPr>
        <w:t> </w:t>
      </w:r>
      <w:r>
        <w:rPr/>
        <w:t>In</w:t>
      </w:r>
      <w:r>
        <w:rPr>
          <w:spacing w:val="13"/>
        </w:rPr>
        <w:t> </w:t>
      </w:r>
      <w:r>
        <w:rPr/>
        <w:t>addition,</w:t>
      </w:r>
      <w:r>
        <w:rPr>
          <w:spacing w:val="13"/>
        </w:rPr>
        <w:t> </w:t>
      </w:r>
      <w:r>
        <w:rPr/>
        <w:t>to</w:t>
      </w:r>
      <w:r>
        <w:rPr>
          <w:spacing w:val="13"/>
        </w:rPr>
        <w:t> </w:t>
      </w:r>
      <w:r>
        <w:rPr/>
        <w:t>some</w:t>
      </w:r>
      <w:r>
        <w:rPr>
          <w:spacing w:val="14"/>
        </w:rPr>
        <w:t> </w:t>
      </w:r>
      <w:r>
        <w:rPr/>
        <w:t>degree,</w:t>
      </w:r>
      <w:r>
        <w:rPr>
          <w:spacing w:val="13"/>
        </w:rPr>
        <w:t> </w:t>
      </w:r>
      <w:r>
        <w:rPr/>
        <w:t>economies</w:t>
      </w:r>
      <w:r>
        <w:rPr>
          <w:spacing w:val="13"/>
        </w:rPr>
        <w:t> </w:t>
      </w:r>
      <w:r>
        <w:rPr/>
        <w:t>of</w:t>
      </w:r>
      <w:r>
        <w:rPr>
          <w:spacing w:val="13"/>
        </w:rPr>
        <w:t> </w:t>
      </w:r>
      <w:r>
        <w:rPr/>
        <w:t>scale</w:t>
      </w:r>
      <w:r>
        <w:rPr>
          <w:spacing w:val="14"/>
        </w:rPr>
        <w:t> </w:t>
      </w:r>
      <w:r>
        <w:rPr/>
        <w:t>may</w:t>
      </w:r>
    </w:p>
    <w:p>
      <w:pPr>
        <w:pStyle w:val="BodyText"/>
        <w:spacing w:before="63"/>
        <w:ind w:left="241"/>
        <w:jc w:val="both"/>
      </w:pPr>
      <w:r>
        <w:rPr/>
        <w:br w:type="column"/>
      </w:r>
      <w:r>
        <w:rPr/>
        <w:t>lower the cost per tonne of larger projects; this possibility has</w:t>
      </w:r>
    </w:p>
    <w:p>
      <w:pPr>
        <w:pStyle w:val="BodyText"/>
        <w:spacing w:before="10"/>
        <w:ind w:left="241"/>
        <w:jc w:val="both"/>
      </w:pPr>
      <w:r>
        <w:rPr/>
        <w:t>not been considered in these estimates.</w:t>
      </w:r>
    </w:p>
    <w:p>
      <w:pPr>
        <w:pStyle w:val="BodyText"/>
        <w:spacing w:line="249" w:lineRule="auto" w:before="10"/>
        <w:ind w:left="241" w:right="133" w:firstLine="283"/>
        <w:jc w:val="both"/>
      </w:pPr>
      <w:r>
        <w:rPr/>
        <w:t>Monitoring of storage will add further costs and is usually reported separately from the storage cost estimates in the literature. These costs will be sensitive to the regulatory requirements and duration of monitoring. Over  the  </w:t>
      </w:r>
      <w:r>
        <w:rPr>
          <w:spacing w:val="-3"/>
        </w:rPr>
        <w:t>long  </w:t>
      </w:r>
      <w:r>
        <w:rPr/>
        <w:t>term, there may be additional costs for remediation and </w:t>
      </w:r>
      <w:r>
        <w:rPr>
          <w:spacing w:val="-5"/>
        </w:rPr>
        <w:t>for </w:t>
      </w:r>
      <w:r>
        <w:rPr/>
        <w:t>liabilities.</w:t>
      </w:r>
    </w:p>
    <w:p>
      <w:pPr>
        <w:pStyle w:val="BodyText"/>
        <w:spacing w:line="225" w:lineRule="auto" w:before="13"/>
        <w:ind w:left="241" w:right="134" w:firstLine="283"/>
        <w:jc w:val="both"/>
      </w:pPr>
      <w:r>
        <w:rPr/>
        <w:t>The cost of CO</w:t>
      </w:r>
      <w:r>
        <w:rPr>
          <w:position w:val="-6"/>
          <w:sz w:val="11"/>
        </w:rPr>
        <w:t>2 </w:t>
      </w:r>
      <w:r>
        <w:rPr/>
        <w:t>geological storage is site-specific, which leads to a high degree of variability. Cost depends on the type of storage option (e.g., oil or gas reservoir, saline formation),</w:t>
      </w:r>
    </w:p>
    <w:p>
      <w:pPr>
        <w:pStyle w:val="BodyText"/>
        <w:spacing w:line="249" w:lineRule="auto" w:before="13"/>
        <w:ind w:left="241" w:right="133"/>
        <w:jc w:val="both"/>
      </w:pPr>
      <w:r>
        <w:rPr/>
        <w:t>location, depth and characteristics of the storage reservoir formation and the benefits and prices of any saleable products. Onshore storage costs depend on the location, terrain  and other geographic factors. The unit costs are usually higher offshore, reflecting the need for platforms or sub-sea facilities and higher operating costs, as shown in separate studies for Europe (Hendriks </w:t>
      </w:r>
      <w:r>
        <w:rPr>
          <w:i/>
        </w:rPr>
        <w:t>et al.</w:t>
      </w:r>
      <w:r>
        <w:rPr/>
        <w:t>, 2002) and Australia (Allinson </w:t>
      </w:r>
      <w:r>
        <w:rPr>
          <w:i/>
        </w:rPr>
        <w:t>et al.</w:t>
      </w:r>
      <w:r>
        <w:rPr/>
        <w:t>, 2003).</w:t>
      </w:r>
      <w:r>
        <w:rPr>
          <w:spacing w:val="-11"/>
        </w:rPr>
        <w:t> </w:t>
      </w:r>
      <w:r>
        <w:rPr/>
        <w:t>The</w:t>
      </w:r>
      <w:r>
        <w:rPr>
          <w:spacing w:val="-7"/>
        </w:rPr>
        <w:t> </w:t>
      </w:r>
      <w:r>
        <w:rPr/>
        <w:t>equipment</w:t>
      </w:r>
      <w:r>
        <w:rPr>
          <w:spacing w:val="-7"/>
        </w:rPr>
        <w:t> </w:t>
      </w:r>
      <w:r>
        <w:rPr/>
        <w:t>and</w:t>
      </w:r>
      <w:r>
        <w:rPr>
          <w:spacing w:val="-6"/>
        </w:rPr>
        <w:t> </w:t>
      </w:r>
      <w:r>
        <w:rPr/>
        <w:t>technologies</w:t>
      </w:r>
      <w:r>
        <w:rPr>
          <w:spacing w:val="-7"/>
        </w:rPr>
        <w:t> </w:t>
      </w:r>
      <w:r>
        <w:rPr/>
        <w:t>required</w:t>
      </w:r>
      <w:r>
        <w:rPr>
          <w:spacing w:val="-7"/>
        </w:rPr>
        <w:t> </w:t>
      </w:r>
      <w:r>
        <w:rPr/>
        <w:t>for</w:t>
      </w:r>
      <w:r>
        <w:rPr>
          <w:spacing w:val="-7"/>
        </w:rPr>
        <w:t> </w:t>
      </w:r>
      <w:r>
        <w:rPr/>
        <w:t>storage</w:t>
      </w:r>
      <w:r>
        <w:rPr>
          <w:spacing w:val="-6"/>
        </w:rPr>
        <w:t> </w:t>
      </w:r>
      <w:r>
        <w:rPr/>
        <w:t>are already widely used in the energy industries, so that costs can be estimated with</w:t>
      </w:r>
      <w:r>
        <w:rPr>
          <w:spacing w:val="-2"/>
        </w:rPr>
        <w:t> </w:t>
      </w:r>
      <w:r>
        <w:rPr/>
        <w:t>confidence.</w:t>
      </w:r>
    </w:p>
    <w:p>
      <w:pPr>
        <w:pStyle w:val="BodyText"/>
        <w:spacing w:before="7"/>
        <w:rPr>
          <w:sz w:val="21"/>
        </w:rPr>
      </w:pPr>
    </w:p>
    <w:p>
      <w:pPr>
        <w:pStyle w:val="Heading2"/>
        <w:numPr>
          <w:ilvl w:val="2"/>
          <w:numId w:val="7"/>
        </w:numPr>
        <w:tabs>
          <w:tab w:pos="1061" w:val="left" w:leader="none"/>
          <w:tab w:pos="1062" w:val="left" w:leader="none"/>
        </w:tabs>
        <w:spacing w:line="240" w:lineRule="auto" w:before="0" w:after="0"/>
        <w:ind w:left="1061" w:right="0" w:hanging="821"/>
        <w:jc w:val="left"/>
        <w:rPr>
          <w:i/>
        </w:rPr>
      </w:pPr>
      <w:r>
        <w:rPr>
          <w:i/>
        </w:rPr>
        <w:t>Cost estimates</w:t>
      </w:r>
    </w:p>
    <w:p>
      <w:pPr>
        <w:pStyle w:val="BodyText"/>
        <w:spacing w:before="8"/>
        <w:rPr>
          <w:b/>
          <w:i/>
          <w:sz w:val="21"/>
        </w:rPr>
      </w:pPr>
    </w:p>
    <w:p>
      <w:pPr>
        <w:pStyle w:val="BodyText"/>
        <w:spacing w:line="249" w:lineRule="auto"/>
        <w:ind w:left="241" w:right="133"/>
        <w:jc w:val="both"/>
      </w:pPr>
      <w:r>
        <w:rPr/>
        <w:t>There are comprehensive assessments of storage costs for the United States, Australia and Europe (Hendriks </w:t>
      </w:r>
      <w:r>
        <w:rPr>
          <w:i/>
        </w:rPr>
        <w:t>et al.</w:t>
      </w:r>
      <w:r>
        <w:rPr/>
        <w:t>, 2002; Allinson </w:t>
      </w:r>
      <w:r>
        <w:rPr>
          <w:i/>
        </w:rPr>
        <w:t>et al.</w:t>
      </w:r>
      <w:r>
        <w:rPr/>
        <w:t>, 2003; Bock </w:t>
      </w:r>
      <w:r>
        <w:rPr>
          <w:i/>
        </w:rPr>
        <w:t>et al.</w:t>
      </w:r>
      <w:r>
        <w:rPr/>
        <w:t>, 2003). These are based on representative geological characteristics for the regions. </w:t>
      </w:r>
      <w:r>
        <w:rPr>
          <w:spacing w:val="-7"/>
        </w:rPr>
        <w:t>In </w:t>
      </w:r>
      <w:r>
        <w:rPr/>
        <w:t>some</w:t>
      </w:r>
      <w:r>
        <w:rPr>
          <w:spacing w:val="-11"/>
        </w:rPr>
        <w:t> </w:t>
      </w:r>
      <w:r>
        <w:rPr/>
        <w:t>cases,</w:t>
      </w:r>
      <w:r>
        <w:rPr>
          <w:spacing w:val="-9"/>
        </w:rPr>
        <w:t> </w:t>
      </w:r>
      <w:r>
        <w:rPr/>
        <w:t>the</w:t>
      </w:r>
      <w:r>
        <w:rPr>
          <w:spacing w:val="-11"/>
        </w:rPr>
        <w:t> </w:t>
      </w:r>
      <w:r>
        <w:rPr/>
        <w:t>original</w:t>
      </w:r>
      <w:r>
        <w:rPr>
          <w:spacing w:val="-10"/>
        </w:rPr>
        <w:t> </w:t>
      </w:r>
      <w:r>
        <w:rPr/>
        <w:t>cost</w:t>
      </w:r>
      <w:r>
        <w:rPr>
          <w:spacing w:val="-10"/>
        </w:rPr>
        <w:t> </w:t>
      </w:r>
      <w:r>
        <w:rPr/>
        <w:t>estimates</w:t>
      </w:r>
      <w:r>
        <w:rPr>
          <w:spacing w:val="-11"/>
        </w:rPr>
        <w:t> </w:t>
      </w:r>
      <w:r>
        <w:rPr/>
        <w:t>include</w:t>
      </w:r>
      <w:r>
        <w:rPr>
          <w:spacing w:val="-10"/>
        </w:rPr>
        <w:t> </w:t>
      </w:r>
      <w:r>
        <w:rPr/>
        <w:t>compression</w:t>
      </w:r>
      <w:r>
        <w:rPr>
          <w:spacing w:val="-10"/>
        </w:rPr>
        <w:t> </w:t>
      </w:r>
      <w:r>
        <w:rPr/>
        <w:t>and pipeline</w:t>
      </w:r>
      <w:r>
        <w:rPr>
          <w:spacing w:val="-7"/>
        </w:rPr>
        <w:t> </w:t>
      </w:r>
      <w:r>
        <w:rPr/>
        <w:t>costs</w:t>
      </w:r>
      <w:r>
        <w:rPr>
          <w:spacing w:val="-7"/>
        </w:rPr>
        <w:t> </w:t>
      </w:r>
      <w:r>
        <w:rPr/>
        <w:t>and</w:t>
      </w:r>
      <w:r>
        <w:rPr>
          <w:spacing w:val="-7"/>
        </w:rPr>
        <w:t> </w:t>
      </w:r>
      <w:r>
        <w:rPr/>
        <w:t>corrections</w:t>
      </w:r>
      <w:r>
        <w:rPr>
          <w:spacing w:val="-6"/>
        </w:rPr>
        <w:t> </w:t>
      </w:r>
      <w:r>
        <w:rPr/>
        <w:t>have</w:t>
      </w:r>
      <w:r>
        <w:rPr>
          <w:spacing w:val="-7"/>
        </w:rPr>
        <w:t> </w:t>
      </w:r>
      <w:r>
        <w:rPr/>
        <w:t>been</w:t>
      </w:r>
      <w:r>
        <w:rPr>
          <w:spacing w:val="-7"/>
        </w:rPr>
        <w:t> </w:t>
      </w:r>
      <w:r>
        <w:rPr/>
        <w:t>made</w:t>
      </w:r>
      <w:r>
        <w:rPr>
          <w:spacing w:val="-7"/>
        </w:rPr>
        <w:t> </w:t>
      </w:r>
      <w:r>
        <w:rPr/>
        <w:t>to</w:t>
      </w:r>
      <w:r>
        <w:rPr>
          <w:spacing w:val="-6"/>
        </w:rPr>
        <w:t> </w:t>
      </w:r>
      <w:r>
        <w:rPr/>
        <w:t>derive</w:t>
      </w:r>
      <w:r>
        <w:rPr>
          <w:spacing w:val="-7"/>
        </w:rPr>
        <w:t> </w:t>
      </w:r>
      <w:r>
        <w:rPr/>
        <w:t>storage costs </w:t>
      </w:r>
      <w:r>
        <w:rPr>
          <w:spacing w:val="-3"/>
        </w:rPr>
        <w:t>(T</w:t>
      </w:r>
      <w:hyperlink w:history="true" w:anchor="_bookmark49">
        <w:r>
          <w:rPr>
            <w:spacing w:val="-3"/>
          </w:rPr>
          <w:t>able</w:t>
        </w:r>
      </w:hyperlink>
      <w:r>
        <w:rPr>
          <w:spacing w:val="-3"/>
        </w:rPr>
        <w:t> </w:t>
      </w:r>
      <w:r>
        <w:rPr/>
        <w:t>5.9). These estimates include capital, operating and site characterization costs, but exclude monitoring costs, remediation and any additional costs required to address </w:t>
      </w:r>
      <w:r>
        <w:rPr>
          <w:spacing w:val="-3"/>
        </w:rPr>
        <w:t>long- </w:t>
      </w:r>
      <w:r>
        <w:rPr/>
        <w:t>term liabilities.</w:t>
      </w:r>
    </w:p>
    <w:p>
      <w:pPr>
        <w:pStyle w:val="BodyText"/>
        <w:spacing w:line="240" w:lineRule="exact" w:before="3"/>
        <w:ind w:left="241" w:right="133" w:firstLine="283"/>
        <w:jc w:val="both"/>
      </w:pPr>
      <w:r>
        <w:rPr/>
        <w:t>The</w:t>
      </w:r>
      <w:r>
        <w:rPr>
          <w:spacing w:val="-15"/>
        </w:rPr>
        <w:t> </w:t>
      </w:r>
      <w:r>
        <w:rPr/>
        <w:t>storage</w:t>
      </w:r>
      <w:r>
        <w:rPr>
          <w:spacing w:val="-15"/>
        </w:rPr>
        <w:t> </w:t>
      </w:r>
      <w:r>
        <w:rPr/>
        <w:t>option</w:t>
      </w:r>
      <w:r>
        <w:rPr>
          <w:spacing w:val="-15"/>
        </w:rPr>
        <w:t> </w:t>
      </w:r>
      <w:r>
        <w:rPr/>
        <w:t>type,</w:t>
      </w:r>
      <w:r>
        <w:rPr>
          <w:spacing w:val="-15"/>
        </w:rPr>
        <w:t> </w:t>
      </w:r>
      <w:r>
        <w:rPr/>
        <w:t>depth</w:t>
      </w:r>
      <w:r>
        <w:rPr>
          <w:spacing w:val="-15"/>
        </w:rPr>
        <w:t> </w:t>
      </w:r>
      <w:r>
        <w:rPr/>
        <w:t>and</w:t>
      </w:r>
      <w:r>
        <w:rPr>
          <w:spacing w:val="-14"/>
        </w:rPr>
        <w:t> </w:t>
      </w:r>
      <w:r>
        <w:rPr/>
        <w:t>geological</w:t>
      </w:r>
      <w:r>
        <w:rPr>
          <w:spacing w:val="-15"/>
        </w:rPr>
        <w:t> </w:t>
      </w:r>
      <w:r>
        <w:rPr/>
        <w:t>characteristics affect the number, spacing and cost of wells, as well as the facilities cost. </w:t>
      </w:r>
      <w:r>
        <w:rPr>
          <w:spacing w:val="-4"/>
        </w:rPr>
        <w:t>Well </w:t>
      </w:r>
      <w:r>
        <w:rPr/>
        <w:t>and compression costs both increase with depth.</w:t>
      </w:r>
      <w:r>
        <w:rPr>
          <w:spacing w:val="-26"/>
        </w:rPr>
        <w:t> </w:t>
      </w:r>
      <w:r>
        <w:rPr>
          <w:spacing w:val="-4"/>
        </w:rPr>
        <w:t>Well</w:t>
      </w:r>
      <w:r>
        <w:rPr>
          <w:spacing w:val="-23"/>
        </w:rPr>
        <w:t> </w:t>
      </w:r>
      <w:r>
        <w:rPr/>
        <w:t>costs</w:t>
      </w:r>
      <w:r>
        <w:rPr>
          <w:spacing w:val="-22"/>
        </w:rPr>
        <w:t> </w:t>
      </w:r>
      <w:r>
        <w:rPr/>
        <w:t>depend</w:t>
      </w:r>
      <w:r>
        <w:rPr>
          <w:spacing w:val="-23"/>
        </w:rPr>
        <w:t> </w:t>
      </w:r>
      <w:r>
        <w:rPr/>
        <w:t>on</w:t>
      </w:r>
      <w:r>
        <w:rPr>
          <w:spacing w:val="-22"/>
        </w:rPr>
        <w:t> </w:t>
      </w:r>
      <w:r>
        <w:rPr/>
        <w:t>the</w:t>
      </w:r>
      <w:r>
        <w:rPr>
          <w:spacing w:val="-22"/>
        </w:rPr>
        <w:t> </w:t>
      </w:r>
      <w:r>
        <w:rPr/>
        <w:t>specific</w:t>
      </w:r>
      <w:r>
        <w:rPr>
          <w:spacing w:val="-23"/>
        </w:rPr>
        <w:t> </w:t>
      </w:r>
      <w:r>
        <w:rPr/>
        <w:t>technology,</w:t>
      </w:r>
      <w:r>
        <w:rPr>
          <w:spacing w:val="-22"/>
        </w:rPr>
        <w:t> </w:t>
      </w:r>
      <w:r>
        <w:rPr/>
        <w:t>the</w:t>
      </w:r>
      <w:r>
        <w:rPr>
          <w:spacing w:val="-23"/>
        </w:rPr>
        <w:t> </w:t>
      </w:r>
      <w:r>
        <w:rPr/>
        <w:t>location, the scale of the operation and local regulations. The cost of wells is a major component; however, the cost of individual wells ranges from about US$ 200,000 for some onshore sites (Bock </w:t>
      </w:r>
      <w:r>
        <w:rPr>
          <w:i/>
        </w:rPr>
        <w:t>et al., </w:t>
      </w:r>
      <w:r>
        <w:rPr/>
        <w:t>2003) to US$ 25 million for offshore horizontal wells </w:t>
      </w:r>
      <w:r>
        <w:rPr>
          <w:spacing w:val="-3"/>
        </w:rPr>
        <w:t>(T</w:t>
      </w:r>
      <w:hyperlink w:history="true" w:anchor="_bookmark50">
        <w:r>
          <w:rPr>
            <w:spacing w:val="-3"/>
          </w:rPr>
          <w:t>able </w:t>
        </w:r>
        <w:r>
          <w:rPr/>
          <w:t>5.10;</w:t>
        </w:r>
      </w:hyperlink>
      <w:r>
        <w:rPr/>
        <w:t> Kaarstad, 2002). Increasing storage costs with</w:t>
      </w:r>
      <w:r>
        <w:rPr>
          <w:spacing w:val="-9"/>
        </w:rPr>
        <w:t> </w:t>
      </w:r>
      <w:r>
        <w:rPr/>
        <w:t>depth</w:t>
      </w:r>
      <w:r>
        <w:rPr>
          <w:spacing w:val="-8"/>
        </w:rPr>
        <w:t> </w:t>
      </w:r>
      <w:r>
        <w:rPr/>
        <w:t>have</w:t>
      </w:r>
      <w:r>
        <w:rPr>
          <w:spacing w:val="-8"/>
        </w:rPr>
        <w:t> </w:t>
      </w:r>
      <w:r>
        <w:rPr/>
        <w:t>been</w:t>
      </w:r>
      <w:r>
        <w:rPr>
          <w:spacing w:val="-9"/>
        </w:rPr>
        <w:t> </w:t>
      </w:r>
      <w:r>
        <w:rPr/>
        <w:t>demonstrated</w:t>
      </w:r>
      <w:r>
        <w:rPr>
          <w:spacing w:val="-8"/>
        </w:rPr>
        <w:t> </w:t>
      </w:r>
      <w:r>
        <w:rPr/>
        <w:t>(Hendriks</w:t>
      </w:r>
      <w:r>
        <w:rPr>
          <w:spacing w:val="-7"/>
        </w:rPr>
        <w:t> </w:t>
      </w:r>
      <w:r>
        <w:rPr>
          <w:i/>
        </w:rPr>
        <w:t>et</w:t>
      </w:r>
      <w:r>
        <w:rPr>
          <w:i/>
          <w:spacing w:val="-9"/>
        </w:rPr>
        <w:t> </w:t>
      </w:r>
      <w:r>
        <w:rPr>
          <w:i/>
        </w:rPr>
        <w:t>al.</w:t>
      </w:r>
      <w:r>
        <w:rPr/>
        <w:t>,</w:t>
      </w:r>
      <w:r>
        <w:rPr>
          <w:spacing w:val="-7"/>
        </w:rPr>
        <w:t> </w:t>
      </w:r>
      <w:r>
        <w:rPr/>
        <w:t>2002).</w:t>
      </w:r>
      <w:r>
        <w:rPr>
          <w:spacing w:val="-11"/>
        </w:rPr>
        <w:t> </w:t>
      </w:r>
      <w:r>
        <w:rPr/>
        <w:t>The geological</w:t>
      </w:r>
      <w:r>
        <w:rPr>
          <w:spacing w:val="-6"/>
        </w:rPr>
        <w:t> </w:t>
      </w:r>
      <w:r>
        <w:rPr/>
        <w:t>characteristics</w:t>
      </w:r>
      <w:r>
        <w:rPr>
          <w:spacing w:val="-7"/>
        </w:rPr>
        <w:t> </w:t>
      </w:r>
      <w:r>
        <w:rPr/>
        <w:t>of</w:t>
      </w:r>
      <w:r>
        <w:rPr>
          <w:spacing w:val="-6"/>
        </w:rPr>
        <w:t> </w:t>
      </w:r>
      <w:r>
        <w:rPr/>
        <w:t>the</w:t>
      </w:r>
      <w:r>
        <w:rPr>
          <w:spacing w:val="-6"/>
        </w:rPr>
        <w:t> </w:t>
      </w:r>
      <w:r>
        <w:rPr/>
        <w:t>injection</w:t>
      </w:r>
      <w:r>
        <w:rPr>
          <w:spacing w:val="-6"/>
        </w:rPr>
        <w:t> </w:t>
      </w:r>
      <w:r>
        <w:rPr/>
        <w:t>formation</w:t>
      </w:r>
      <w:r>
        <w:rPr>
          <w:spacing w:val="-6"/>
        </w:rPr>
        <w:t> </w:t>
      </w:r>
      <w:r>
        <w:rPr/>
        <w:t>are</w:t>
      </w:r>
      <w:r>
        <w:rPr>
          <w:spacing w:val="-5"/>
        </w:rPr>
        <w:t> </w:t>
      </w:r>
      <w:r>
        <w:rPr/>
        <w:t>another major cost driver, that is, the reservoir thickness, </w:t>
      </w:r>
      <w:r>
        <w:rPr>
          <w:spacing w:val="-2"/>
        </w:rPr>
        <w:t>permeability </w:t>
      </w:r>
      <w:r>
        <w:rPr/>
        <w:t>and effective radius that affect the amount and rate of </w:t>
      </w:r>
      <w:r>
        <w:rPr>
          <w:spacing w:val="-5"/>
        </w:rPr>
        <w:t>CO</w:t>
      </w:r>
      <w:r>
        <w:rPr>
          <w:spacing w:val="-5"/>
          <w:position w:val="-6"/>
          <w:sz w:val="11"/>
        </w:rPr>
        <w:t>2 </w:t>
      </w:r>
      <w:r>
        <w:rPr/>
        <w:t>injection and therefore the number of wells needed. It is more costly to inject and store other gases (NO</w:t>
      </w:r>
      <w:r>
        <w:rPr>
          <w:position w:val="-6"/>
          <w:sz w:val="11"/>
        </w:rPr>
        <w:t>x</w:t>
      </w:r>
      <w:r>
        <w:rPr/>
        <w:t>, SO</w:t>
      </w:r>
      <w:r>
        <w:rPr>
          <w:position w:val="-6"/>
          <w:sz w:val="11"/>
        </w:rPr>
        <w:t>x</w:t>
      </w:r>
      <w:r>
        <w:rPr/>
        <w:t>, H</w:t>
      </w:r>
      <w:r>
        <w:rPr>
          <w:position w:val="-6"/>
          <w:sz w:val="11"/>
        </w:rPr>
        <w:t>2</w:t>
      </w:r>
      <w:r>
        <w:rPr/>
        <w:t>S) with CO</w:t>
      </w:r>
      <w:r>
        <w:rPr>
          <w:position w:val="-6"/>
          <w:sz w:val="11"/>
        </w:rPr>
        <w:t>2 </w:t>
      </w:r>
      <w:r>
        <w:rPr/>
        <w:t>because of their corrosive and hazardous nature, although </w:t>
      </w:r>
      <w:r>
        <w:rPr>
          <w:spacing w:val="-5"/>
        </w:rPr>
        <w:t>the </w:t>
      </w:r>
      <w:r>
        <w:rPr/>
        <w:t>capture cost may be reduced (Allinson </w:t>
      </w:r>
      <w:r>
        <w:rPr>
          <w:i/>
        </w:rPr>
        <w:t>et al.</w:t>
      </w:r>
      <w:r>
        <w:rPr/>
        <w:t>,</w:t>
      </w:r>
      <w:r>
        <w:rPr>
          <w:spacing w:val="-2"/>
        </w:rPr>
        <w:t> </w:t>
      </w:r>
      <w:r>
        <w:rPr/>
        <w:t>2003).</w:t>
      </w:r>
    </w:p>
    <w:p>
      <w:pPr>
        <w:spacing w:after="0" w:line="240" w:lineRule="exact"/>
        <w:jc w:val="both"/>
        <w:sectPr>
          <w:type w:val="continuous"/>
          <w:pgSz w:w="12240" w:h="15840"/>
          <w:pgMar w:top="400" w:bottom="280" w:left="580" w:right="600"/>
          <w:cols w:num="2" w:equalWidth="0">
            <w:col w:w="5599" w:space="40"/>
            <w:col w:w="5421"/>
          </w:cols>
        </w:sectPr>
      </w:pPr>
    </w:p>
    <w:p>
      <w:pPr>
        <w:pStyle w:val="BodyText"/>
      </w:pPr>
    </w:p>
    <w:p>
      <w:pPr>
        <w:pStyle w:val="BodyText"/>
        <w:spacing w:before="9"/>
      </w:pPr>
    </w:p>
    <w:p>
      <w:pPr>
        <w:spacing w:before="1"/>
        <w:ind w:left="157" w:right="0" w:firstLine="0"/>
        <w:jc w:val="both"/>
        <w:rPr>
          <w:sz w:val="18"/>
        </w:rPr>
      </w:pPr>
      <w:bookmarkStart w:name="_bookmark49" w:id="110"/>
      <w:bookmarkEnd w:id="110"/>
      <w:r>
        <w:rPr/>
      </w:r>
      <w:r>
        <w:rPr>
          <w:b/>
          <w:spacing w:val="-17"/>
          <w:w w:val="200"/>
          <w:sz w:val="18"/>
        </w:rPr>
        <w:t>t</w:t>
      </w:r>
      <w:r>
        <w:rPr>
          <w:b/>
          <w:sz w:val="18"/>
        </w:rPr>
        <w:t>able 5.9  </w:t>
      </w:r>
      <w:r>
        <w:rPr>
          <w:sz w:val="18"/>
        </w:rPr>
        <w:t>Compilation of C</w:t>
      </w:r>
      <w:r>
        <w:rPr>
          <w:spacing w:val="-1"/>
          <w:sz w:val="18"/>
        </w:rPr>
        <w:t>O</w:t>
      </w:r>
      <w:r>
        <w:rPr>
          <w:w w:val="104"/>
          <w:position w:val="-5"/>
          <w:sz w:val="10"/>
        </w:rPr>
        <w:t>2</w:t>
      </w:r>
      <w:r>
        <w:rPr>
          <w:position w:val="-5"/>
          <w:sz w:val="10"/>
        </w:rPr>
        <w:t> </w:t>
      </w:r>
      <w:r>
        <w:rPr>
          <w:spacing w:val="-5"/>
          <w:position w:val="-5"/>
          <w:sz w:val="10"/>
        </w:rPr>
        <w:t> </w:t>
      </w:r>
      <w:r>
        <w:rPr>
          <w:spacing w:val="-1"/>
          <w:sz w:val="18"/>
        </w:rPr>
        <w:t>storag</w:t>
      </w:r>
      <w:r>
        <w:rPr>
          <w:sz w:val="18"/>
        </w:rPr>
        <w:t>e</w:t>
      </w:r>
      <w:r>
        <w:rPr>
          <w:spacing w:val="-1"/>
          <w:sz w:val="18"/>
        </w:rPr>
        <w:t> </w:t>
      </w:r>
      <w:r>
        <w:rPr>
          <w:sz w:val="18"/>
        </w:rPr>
        <w:t>cost estimates for di</w:t>
      </w:r>
      <w:r>
        <w:rPr>
          <w:spacing w:val="-4"/>
          <w:sz w:val="18"/>
        </w:rPr>
        <w:t>f</w:t>
      </w:r>
      <w:r>
        <w:rPr>
          <w:sz w:val="18"/>
        </w:rPr>
        <w:t>ferent options.</w:t>
      </w:r>
    </w:p>
    <w:p>
      <w:pPr>
        <w:pStyle w:val="BodyText"/>
        <w:spacing w:before="11"/>
        <w:rPr>
          <w:sz w:val="18"/>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1230"/>
        <w:gridCol w:w="841"/>
        <w:gridCol w:w="508"/>
        <w:gridCol w:w="500"/>
        <w:gridCol w:w="568"/>
        <w:gridCol w:w="2385"/>
        <w:gridCol w:w="2543"/>
      </w:tblGrid>
      <w:tr>
        <w:trPr>
          <w:trHeight w:val="270" w:hRule="atLeast"/>
        </w:trPr>
        <w:tc>
          <w:tcPr>
            <w:tcW w:w="1800" w:type="dxa"/>
            <w:vMerge w:val="restart"/>
            <w:shd w:val="clear" w:color="auto" w:fill="E0EEE0"/>
          </w:tcPr>
          <w:p>
            <w:pPr>
              <w:pStyle w:val="TableParagraph"/>
              <w:spacing w:before="0"/>
              <w:ind w:left="0"/>
              <w:rPr>
                <w:sz w:val="16"/>
              </w:rPr>
            </w:pPr>
          </w:p>
          <w:p>
            <w:pPr>
              <w:pStyle w:val="TableParagraph"/>
              <w:spacing w:before="141"/>
              <w:ind w:left="78"/>
              <w:rPr>
                <w:b/>
                <w:sz w:val="16"/>
              </w:rPr>
            </w:pPr>
            <w:r>
              <w:rPr>
                <w:b/>
                <w:sz w:val="16"/>
              </w:rPr>
              <w:t>Option type</w:t>
            </w:r>
          </w:p>
        </w:tc>
        <w:tc>
          <w:tcPr>
            <w:tcW w:w="1230" w:type="dxa"/>
            <w:vMerge w:val="restart"/>
            <w:shd w:val="clear" w:color="auto" w:fill="E0EEE0"/>
          </w:tcPr>
          <w:p>
            <w:pPr>
              <w:pStyle w:val="TableParagraph"/>
              <w:spacing w:before="0"/>
              <w:ind w:left="0"/>
              <w:rPr>
                <w:sz w:val="16"/>
              </w:rPr>
            </w:pPr>
          </w:p>
          <w:p>
            <w:pPr>
              <w:pStyle w:val="TableParagraph"/>
              <w:spacing w:before="141"/>
              <w:ind w:left="78"/>
              <w:rPr>
                <w:b/>
                <w:sz w:val="16"/>
              </w:rPr>
            </w:pPr>
            <w:r>
              <w:rPr>
                <w:b/>
                <w:sz w:val="16"/>
              </w:rPr>
              <w:t>On or offshore</w:t>
            </w:r>
          </w:p>
        </w:tc>
        <w:tc>
          <w:tcPr>
            <w:tcW w:w="841" w:type="dxa"/>
            <w:vMerge w:val="restart"/>
            <w:shd w:val="clear" w:color="auto" w:fill="E0EEE0"/>
          </w:tcPr>
          <w:p>
            <w:pPr>
              <w:pStyle w:val="TableParagraph"/>
              <w:spacing w:before="0"/>
              <w:ind w:left="0"/>
              <w:rPr>
                <w:sz w:val="16"/>
              </w:rPr>
            </w:pPr>
          </w:p>
          <w:p>
            <w:pPr>
              <w:pStyle w:val="TableParagraph"/>
              <w:spacing w:before="141"/>
              <w:ind w:left="78"/>
              <w:rPr>
                <w:b/>
                <w:sz w:val="16"/>
              </w:rPr>
            </w:pPr>
            <w:r>
              <w:rPr>
                <w:b/>
                <w:sz w:val="16"/>
              </w:rPr>
              <w:t>Location</w:t>
            </w:r>
          </w:p>
        </w:tc>
        <w:tc>
          <w:tcPr>
            <w:tcW w:w="1576" w:type="dxa"/>
            <w:gridSpan w:val="3"/>
            <w:shd w:val="clear" w:color="auto" w:fill="E0EEE0"/>
          </w:tcPr>
          <w:p>
            <w:pPr>
              <w:pStyle w:val="TableParagraph"/>
              <w:spacing w:line="204" w:lineRule="exact" w:before="45"/>
              <w:ind w:left="77"/>
              <w:rPr>
                <w:b/>
                <w:sz w:val="16"/>
              </w:rPr>
            </w:pPr>
            <w:r>
              <w:rPr>
                <w:b/>
                <w:sz w:val="16"/>
              </w:rPr>
              <w:t>US$/tCO</w:t>
            </w:r>
            <w:r>
              <w:rPr>
                <w:b/>
                <w:position w:val="-4"/>
                <w:sz w:val="9"/>
              </w:rPr>
              <w:t>2 </w:t>
            </w:r>
            <w:r>
              <w:rPr>
                <w:b/>
                <w:sz w:val="16"/>
              </w:rPr>
              <w:t>stored</w:t>
            </w:r>
          </w:p>
        </w:tc>
        <w:tc>
          <w:tcPr>
            <w:tcW w:w="2385" w:type="dxa"/>
            <w:vMerge w:val="restart"/>
            <w:shd w:val="clear" w:color="auto" w:fill="E0EEE0"/>
          </w:tcPr>
          <w:p>
            <w:pPr>
              <w:pStyle w:val="TableParagraph"/>
              <w:spacing w:before="0"/>
              <w:ind w:left="0"/>
              <w:rPr>
                <w:sz w:val="16"/>
              </w:rPr>
            </w:pPr>
          </w:p>
          <w:p>
            <w:pPr>
              <w:pStyle w:val="TableParagraph"/>
              <w:spacing w:before="141"/>
              <w:ind w:left="76"/>
              <w:rPr>
                <w:b/>
                <w:sz w:val="16"/>
              </w:rPr>
            </w:pPr>
            <w:r>
              <w:rPr>
                <w:b/>
                <w:sz w:val="16"/>
              </w:rPr>
              <w:t>Comments</w:t>
            </w:r>
          </w:p>
        </w:tc>
        <w:tc>
          <w:tcPr>
            <w:tcW w:w="2543" w:type="dxa"/>
            <w:vMerge w:val="restart"/>
            <w:shd w:val="clear" w:color="auto" w:fill="E0EEE0"/>
          </w:tcPr>
          <w:p>
            <w:pPr>
              <w:pStyle w:val="TableParagraph"/>
              <w:spacing w:before="0"/>
              <w:ind w:left="0"/>
              <w:rPr>
                <w:sz w:val="16"/>
              </w:rPr>
            </w:pPr>
          </w:p>
          <w:p>
            <w:pPr>
              <w:pStyle w:val="TableParagraph"/>
              <w:spacing w:before="141"/>
              <w:ind w:left="75"/>
              <w:rPr>
                <w:b/>
                <w:sz w:val="16"/>
              </w:rPr>
            </w:pPr>
            <w:r>
              <w:rPr>
                <w:b/>
                <w:sz w:val="16"/>
              </w:rPr>
              <w:t>Nature of midpoint value</w:t>
            </w:r>
          </w:p>
        </w:tc>
      </w:tr>
      <w:tr>
        <w:trPr>
          <w:trHeight w:val="270" w:hRule="atLeast"/>
        </w:trPr>
        <w:tc>
          <w:tcPr>
            <w:tcW w:w="1800" w:type="dxa"/>
            <w:vMerge/>
            <w:tcBorders>
              <w:top w:val="nil"/>
            </w:tcBorders>
            <w:shd w:val="clear" w:color="auto" w:fill="E0EEE0"/>
          </w:tcPr>
          <w:p>
            <w:pPr>
              <w:rPr>
                <w:sz w:val="2"/>
                <w:szCs w:val="2"/>
              </w:rPr>
            </w:pPr>
          </w:p>
        </w:tc>
        <w:tc>
          <w:tcPr>
            <w:tcW w:w="1230" w:type="dxa"/>
            <w:vMerge/>
            <w:tcBorders>
              <w:top w:val="nil"/>
            </w:tcBorders>
            <w:shd w:val="clear" w:color="auto" w:fill="E0EEE0"/>
          </w:tcPr>
          <w:p>
            <w:pPr>
              <w:rPr>
                <w:sz w:val="2"/>
                <w:szCs w:val="2"/>
              </w:rPr>
            </w:pPr>
          </w:p>
        </w:tc>
        <w:tc>
          <w:tcPr>
            <w:tcW w:w="841" w:type="dxa"/>
            <w:vMerge/>
            <w:tcBorders>
              <w:top w:val="nil"/>
            </w:tcBorders>
            <w:shd w:val="clear" w:color="auto" w:fill="E0EEE0"/>
          </w:tcPr>
          <w:p>
            <w:pPr>
              <w:rPr>
                <w:sz w:val="2"/>
                <w:szCs w:val="2"/>
              </w:rPr>
            </w:pPr>
          </w:p>
        </w:tc>
        <w:tc>
          <w:tcPr>
            <w:tcW w:w="508" w:type="dxa"/>
            <w:shd w:val="clear" w:color="auto" w:fill="E0EEE0"/>
          </w:tcPr>
          <w:p>
            <w:pPr>
              <w:pStyle w:val="TableParagraph"/>
              <w:spacing w:before="45"/>
              <w:ind w:left="100"/>
              <w:rPr>
                <w:b/>
                <w:sz w:val="16"/>
              </w:rPr>
            </w:pPr>
            <w:r>
              <w:rPr>
                <w:b/>
                <w:sz w:val="16"/>
              </w:rPr>
              <w:t>Low</w:t>
            </w:r>
          </w:p>
        </w:tc>
        <w:tc>
          <w:tcPr>
            <w:tcW w:w="500" w:type="dxa"/>
            <w:shd w:val="clear" w:color="auto" w:fill="E0EEE0"/>
          </w:tcPr>
          <w:p>
            <w:pPr>
              <w:pStyle w:val="TableParagraph"/>
              <w:spacing w:before="45"/>
              <w:ind w:left="104"/>
              <w:rPr>
                <w:b/>
                <w:sz w:val="16"/>
              </w:rPr>
            </w:pPr>
            <w:r>
              <w:rPr>
                <w:b/>
                <w:w w:val="105"/>
                <w:sz w:val="16"/>
              </w:rPr>
              <w:t>mid</w:t>
            </w:r>
          </w:p>
        </w:tc>
        <w:tc>
          <w:tcPr>
            <w:tcW w:w="568" w:type="dxa"/>
            <w:shd w:val="clear" w:color="auto" w:fill="E0EEE0"/>
          </w:tcPr>
          <w:p>
            <w:pPr>
              <w:pStyle w:val="TableParagraph"/>
              <w:spacing w:before="45"/>
              <w:ind w:left="111"/>
              <w:rPr>
                <w:b/>
                <w:sz w:val="16"/>
              </w:rPr>
            </w:pPr>
            <w:r>
              <w:rPr>
                <w:b/>
                <w:sz w:val="16"/>
              </w:rPr>
              <w:t>High</w:t>
            </w:r>
          </w:p>
        </w:tc>
        <w:tc>
          <w:tcPr>
            <w:tcW w:w="2385" w:type="dxa"/>
            <w:vMerge/>
            <w:tcBorders>
              <w:top w:val="nil"/>
            </w:tcBorders>
            <w:shd w:val="clear" w:color="auto" w:fill="E0EEE0"/>
          </w:tcPr>
          <w:p>
            <w:pPr>
              <w:rPr>
                <w:sz w:val="2"/>
                <w:szCs w:val="2"/>
              </w:rPr>
            </w:pPr>
          </w:p>
        </w:tc>
        <w:tc>
          <w:tcPr>
            <w:tcW w:w="2543" w:type="dxa"/>
            <w:vMerge/>
            <w:tcBorders>
              <w:top w:val="nil"/>
            </w:tcBorders>
            <w:shd w:val="clear" w:color="auto" w:fill="E0EEE0"/>
          </w:tcPr>
          <w:p>
            <w:pPr>
              <w:rPr>
                <w:sz w:val="2"/>
                <w:szCs w:val="2"/>
              </w:rPr>
            </w:pPr>
          </w:p>
        </w:tc>
      </w:tr>
      <w:tr>
        <w:trPr>
          <w:trHeight w:val="2510" w:hRule="atLeast"/>
        </w:trPr>
        <w:tc>
          <w:tcPr>
            <w:tcW w:w="1800" w:type="dxa"/>
            <w:shd w:val="clear" w:color="auto" w:fill="F9FCF9"/>
          </w:tcPr>
          <w:p>
            <w:pPr>
              <w:pStyle w:val="TableParagraph"/>
              <w:spacing w:line="364" w:lineRule="auto" w:before="45"/>
              <w:ind w:left="78" w:right="210"/>
              <w:rPr>
                <w:sz w:val="16"/>
              </w:rPr>
            </w:pPr>
            <w:r>
              <w:rPr>
                <w:sz w:val="16"/>
              </w:rPr>
              <w:t>Saline formation Saline formation Saline formation Saline formation Saline formation Depleted oil field Depleted gas field Disused oil or gas</w:t>
            </w:r>
            <w:r>
              <w:rPr>
                <w:spacing w:val="12"/>
                <w:sz w:val="16"/>
              </w:rPr>
              <w:t> </w:t>
            </w:r>
            <w:r>
              <w:rPr>
                <w:spacing w:val="-3"/>
                <w:sz w:val="16"/>
              </w:rPr>
              <w:t>field</w:t>
            </w:r>
          </w:p>
          <w:p>
            <w:pPr>
              <w:pStyle w:val="TableParagraph"/>
              <w:spacing w:before="3"/>
              <w:ind w:left="78"/>
              <w:rPr>
                <w:sz w:val="16"/>
              </w:rPr>
            </w:pPr>
            <w:r>
              <w:rPr>
                <w:sz w:val="16"/>
              </w:rPr>
              <w:t>Disused oil or gas</w:t>
            </w:r>
            <w:r>
              <w:rPr>
                <w:spacing w:val="9"/>
                <w:sz w:val="16"/>
              </w:rPr>
              <w:t> </w:t>
            </w:r>
            <w:r>
              <w:rPr>
                <w:sz w:val="16"/>
              </w:rPr>
              <w:t>field</w:t>
            </w:r>
          </w:p>
        </w:tc>
        <w:tc>
          <w:tcPr>
            <w:tcW w:w="1230" w:type="dxa"/>
            <w:shd w:val="clear" w:color="auto" w:fill="F9FCF9"/>
          </w:tcPr>
          <w:p>
            <w:pPr>
              <w:pStyle w:val="TableParagraph"/>
              <w:spacing w:line="364" w:lineRule="auto" w:before="45"/>
              <w:ind w:left="78" w:right="573"/>
              <w:jc w:val="both"/>
              <w:rPr>
                <w:sz w:val="16"/>
              </w:rPr>
            </w:pPr>
            <w:r>
              <w:rPr>
                <w:sz w:val="16"/>
              </w:rPr>
              <w:t>Onshore Onshore Onshore </w:t>
            </w:r>
            <w:r>
              <w:rPr>
                <w:spacing w:val="-1"/>
                <w:sz w:val="16"/>
              </w:rPr>
              <w:t>Offshore Offshore </w:t>
            </w:r>
            <w:r>
              <w:rPr>
                <w:sz w:val="16"/>
              </w:rPr>
              <w:t>Onshore Onshore Onshore</w:t>
            </w:r>
          </w:p>
          <w:p>
            <w:pPr>
              <w:pStyle w:val="TableParagraph"/>
              <w:spacing w:before="3"/>
              <w:ind w:left="78"/>
              <w:rPr>
                <w:sz w:val="16"/>
              </w:rPr>
            </w:pPr>
            <w:r>
              <w:rPr>
                <w:sz w:val="16"/>
              </w:rPr>
              <w:t>Offshore</w:t>
            </w:r>
          </w:p>
        </w:tc>
        <w:tc>
          <w:tcPr>
            <w:tcW w:w="841" w:type="dxa"/>
            <w:shd w:val="clear" w:color="auto" w:fill="F9FCF9"/>
          </w:tcPr>
          <w:p>
            <w:pPr>
              <w:pStyle w:val="TableParagraph"/>
              <w:spacing w:line="364" w:lineRule="auto" w:before="45"/>
              <w:ind w:left="78" w:right="146"/>
              <w:rPr>
                <w:sz w:val="16"/>
              </w:rPr>
            </w:pPr>
            <w:r>
              <w:rPr>
                <w:sz w:val="16"/>
              </w:rPr>
              <w:t>Australia Europe USA</w:t>
            </w:r>
          </w:p>
          <w:p>
            <w:pPr>
              <w:pStyle w:val="TableParagraph"/>
              <w:spacing w:before="1"/>
              <w:ind w:left="78"/>
              <w:rPr>
                <w:sz w:val="16"/>
              </w:rPr>
            </w:pPr>
            <w:r>
              <w:rPr>
                <w:sz w:val="16"/>
              </w:rPr>
              <w:t>Australia</w:t>
            </w:r>
          </w:p>
          <w:p>
            <w:pPr>
              <w:pStyle w:val="TableParagraph"/>
              <w:spacing w:line="364" w:lineRule="auto" w:before="96"/>
              <w:ind w:left="78" w:right="270"/>
              <w:rPr>
                <w:sz w:val="16"/>
              </w:rPr>
            </w:pPr>
            <w:r>
              <w:rPr>
                <w:sz w:val="16"/>
              </w:rPr>
              <w:t>N. Sea USA USA Europe</w:t>
            </w:r>
          </w:p>
          <w:p>
            <w:pPr>
              <w:pStyle w:val="TableParagraph"/>
              <w:spacing w:before="2"/>
              <w:ind w:left="78"/>
              <w:rPr>
                <w:sz w:val="16"/>
              </w:rPr>
            </w:pPr>
            <w:r>
              <w:rPr>
                <w:sz w:val="16"/>
              </w:rPr>
              <w:t>N.</w:t>
            </w:r>
            <w:r>
              <w:rPr>
                <w:spacing w:val="-1"/>
                <w:sz w:val="16"/>
              </w:rPr>
              <w:t> </w:t>
            </w:r>
            <w:r>
              <w:rPr>
                <w:sz w:val="16"/>
              </w:rPr>
              <w:t>Sea</w:t>
            </w:r>
          </w:p>
        </w:tc>
        <w:tc>
          <w:tcPr>
            <w:tcW w:w="508" w:type="dxa"/>
            <w:shd w:val="clear" w:color="auto" w:fill="F9FCF9"/>
          </w:tcPr>
          <w:p>
            <w:pPr>
              <w:pStyle w:val="TableParagraph"/>
              <w:spacing w:before="45"/>
              <w:ind w:left="151"/>
              <w:rPr>
                <w:sz w:val="16"/>
              </w:rPr>
            </w:pPr>
            <w:r>
              <w:rPr>
                <w:sz w:val="16"/>
              </w:rPr>
              <w:t>0.2</w:t>
            </w:r>
          </w:p>
          <w:p>
            <w:pPr>
              <w:pStyle w:val="TableParagraph"/>
              <w:spacing w:before="96"/>
              <w:ind w:left="151"/>
              <w:rPr>
                <w:sz w:val="16"/>
              </w:rPr>
            </w:pPr>
            <w:r>
              <w:rPr>
                <w:sz w:val="16"/>
              </w:rPr>
              <w:t>1.9</w:t>
            </w:r>
          </w:p>
          <w:p>
            <w:pPr>
              <w:pStyle w:val="TableParagraph"/>
              <w:spacing w:before="96"/>
              <w:ind w:left="151"/>
              <w:rPr>
                <w:sz w:val="16"/>
              </w:rPr>
            </w:pPr>
            <w:r>
              <w:rPr>
                <w:sz w:val="16"/>
              </w:rPr>
              <w:t>0.4</w:t>
            </w:r>
          </w:p>
          <w:p>
            <w:pPr>
              <w:pStyle w:val="TableParagraph"/>
              <w:spacing w:before="96"/>
              <w:ind w:left="151"/>
              <w:rPr>
                <w:sz w:val="16"/>
              </w:rPr>
            </w:pPr>
            <w:r>
              <w:rPr>
                <w:sz w:val="16"/>
              </w:rPr>
              <w:t>0.5</w:t>
            </w:r>
          </w:p>
          <w:p>
            <w:pPr>
              <w:pStyle w:val="TableParagraph"/>
              <w:spacing w:before="96"/>
              <w:ind w:left="151"/>
              <w:rPr>
                <w:sz w:val="16"/>
              </w:rPr>
            </w:pPr>
            <w:r>
              <w:rPr>
                <w:sz w:val="16"/>
              </w:rPr>
              <w:t>4.7</w:t>
            </w:r>
          </w:p>
          <w:p>
            <w:pPr>
              <w:pStyle w:val="TableParagraph"/>
              <w:spacing w:before="96"/>
              <w:ind w:left="151"/>
              <w:rPr>
                <w:sz w:val="16"/>
              </w:rPr>
            </w:pPr>
            <w:r>
              <w:rPr>
                <w:sz w:val="16"/>
              </w:rPr>
              <w:t>0.5</w:t>
            </w:r>
          </w:p>
          <w:p>
            <w:pPr>
              <w:pStyle w:val="TableParagraph"/>
              <w:spacing w:before="96"/>
              <w:ind w:left="151"/>
              <w:rPr>
                <w:sz w:val="16"/>
              </w:rPr>
            </w:pPr>
            <w:r>
              <w:rPr>
                <w:sz w:val="16"/>
              </w:rPr>
              <w:t>0.5</w:t>
            </w:r>
          </w:p>
          <w:p>
            <w:pPr>
              <w:pStyle w:val="TableParagraph"/>
              <w:spacing w:before="96"/>
              <w:ind w:left="151"/>
              <w:rPr>
                <w:sz w:val="16"/>
              </w:rPr>
            </w:pPr>
            <w:r>
              <w:rPr>
                <w:sz w:val="16"/>
              </w:rPr>
              <w:t>1.2</w:t>
            </w:r>
          </w:p>
          <w:p>
            <w:pPr>
              <w:pStyle w:val="TableParagraph"/>
              <w:spacing w:before="96"/>
              <w:ind w:left="151"/>
              <w:rPr>
                <w:sz w:val="16"/>
              </w:rPr>
            </w:pPr>
            <w:r>
              <w:rPr>
                <w:sz w:val="16"/>
              </w:rPr>
              <w:t>3.8</w:t>
            </w:r>
          </w:p>
        </w:tc>
        <w:tc>
          <w:tcPr>
            <w:tcW w:w="500" w:type="dxa"/>
            <w:shd w:val="clear" w:color="auto" w:fill="F9FCF9"/>
          </w:tcPr>
          <w:p>
            <w:pPr>
              <w:pStyle w:val="TableParagraph"/>
              <w:spacing w:before="45"/>
              <w:ind w:left="147"/>
              <w:rPr>
                <w:sz w:val="16"/>
              </w:rPr>
            </w:pPr>
            <w:r>
              <w:rPr>
                <w:sz w:val="16"/>
              </w:rPr>
              <w:t>0.5</w:t>
            </w:r>
          </w:p>
          <w:p>
            <w:pPr>
              <w:pStyle w:val="TableParagraph"/>
              <w:spacing w:before="96"/>
              <w:ind w:left="147"/>
              <w:rPr>
                <w:sz w:val="16"/>
              </w:rPr>
            </w:pPr>
            <w:r>
              <w:rPr>
                <w:sz w:val="16"/>
              </w:rPr>
              <w:t>2.8</w:t>
            </w:r>
          </w:p>
          <w:p>
            <w:pPr>
              <w:pStyle w:val="TableParagraph"/>
              <w:spacing w:before="96"/>
              <w:ind w:left="147"/>
              <w:rPr>
                <w:sz w:val="16"/>
              </w:rPr>
            </w:pPr>
            <w:r>
              <w:rPr>
                <w:sz w:val="16"/>
              </w:rPr>
              <w:t>0.5</w:t>
            </w:r>
          </w:p>
          <w:p>
            <w:pPr>
              <w:pStyle w:val="TableParagraph"/>
              <w:spacing w:before="96"/>
              <w:ind w:left="147"/>
              <w:rPr>
                <w:sz w:val="16"/>
              </w:rPr>
            </w:pPr>
            <w:r>
              <w:rPr>
                <w:sz w:val="16"/>
              </w:rPr>
              <w:t>3.4</w:t>
            </w:r>
          </w:p>
          <w:p>
            <w:pPr>
              <w:pStyle w:val="TableParagraph"/>
              <w:spacing w:before="96"/>
              <w:ind w:left="147"/>
              <w:rPr>
                <w:sz w:val="16"/>
              </w:rPr>
            </w:pPr>
            <w:r>
              <w:rPr>
                <w:sz w:val="16"/>
              </w:rPr>
              <w:t>7.7</w:t>
            </w:r>
          </w:p>
          <w:p>
            <w:pPr>
              <w:pStyle w:val="TableParagraph"/>
              <w:spacing w:before="96"/>
              <w:ind w:left="147"/>
              <w:rPr>
                <w:sz w:val="16"/>
              </w:rPr>
            </w:pPr>
            <w:r>
              <w:rPr>
                <w:sz w:val="16"/>
              </w:rPr>
              <w:t>1.3</w:t>
            </w:r>
          </w:p>
          <w:p>
            <w:pPr>
              <w:pStyle w:val="TableParagraph"/>
              <w:spacing w:before="96"/>
              <w:ind w:left="147"/>
              <w:rPr>
                <w:sz w:val="16"/>
              </w:rPr>
            </w:pPr>
            <w:r>
              <w:rPr>
                <w:sz w:val="16"/>
              </w:rPr>
              <w:t>2.4</w:t>
            </w:r>
          </w:p>
          <w:p>
            <w:pPr>
              <w:pStyle w:val="TableParagraph"/>
              <w:spacing w:before="96"/>
              <w:ind w:left="147"/>
              <w:rPr>
                <w:sz w:val="16"/>
              </w:rPr>
            </w:pPr>
            <w:r>
              <w:rPr>
                <w:sz w:val="16"/>
              </w:rPr>
              <w:t>1.7</w:t>
            </w:r>
          </w:p>
          <w:p>
            <w:pPr>
              <w:pStyle w:val="TableParagraph"/>
              <w:spacing w:before="96"/>
              <w:ind w:left="147"/>
              <w:rPr>
                <w:sz w:val="16"/>
              </w:rPr>
            </w:pPr>
            <w:r>
              <w:rPr>
                <w:sz w:val="16"/>
              </w:rPr>
              <w:t>6.0</w:t>
            </w:r>
          </w:p>
        </w:tc>
        <w:tc>
          <w:tcPr>
            <w:tcW w:w="568" w:type="dxa"/>
            <w:shd w:val="clear" w:color="auto" w:fill="F9FCF9"/>
          </w:tcPr>
          <w:p>
            <w:pPr>
              <w:pStyle w:val="TableParagraph"/>
              <w:spacing w:before="45"/>
              <w:ind w:left="180"/>
              <w:rPr>
                <w:sz w:val="16"/>
              </w:rPr>
            </w:pPr>
            <w:r>
              <w:rPr>
                <w:sz w:val="16"/>
              </w:rPr>
              <w:t>5.1</w:t>
            </w:r>
          </w:p>
          <w:p>
            <w:pPr>
              <w:pStyle w:val="TableParagraph"/>
              <w:spacing w:before="96"/>
              <w:ind w:left="180"/>
              <w:rPr>
                <w:sz w:val="16"/>
              </w:rPr>
            </w:pPr>
            <w:r>
              <w:rPr>
                <w:sz w:val="16"/>
              </w:rPr>
              <w:t>6.2</w:t>
            </w:r>
          </w:p>
          <w:p>
            <w:pPr>
              <w:pStyle w:val="TableParagraph"/>
              <w:spacing w:before="96"/>
              <w:ind w:left="180"/>
              <w:rPr>
                <w:sz w:val="16"/>
              </w:rPr>
            </w:pPr>
            <w:r>
              <w:rPr>
                <w:sz w:val="16"/>
              </w:rPr>
              <w:t>4.5</w:t>
            </w:r>
          </w:p>
          <w:p>
            <w:pPr>
              <w:pStyle w:val="TableParagraph"/>
              <w:spacing w:before="96"/>
              <w:ind w:left="140"/>
              <w:rPr>
                <w:sz w:val="16"/>
              </w:rPr>
            </w:pPr>
            <w:r>
              <w:rPr>
                <w:sz w:val="16"/>
              </w:rPr>
              <w:t>30.2</w:t>
            </w:r>
          </w:p>
          <w:p>
            <w:pPr>
              <w:pStyle w:val="TableParagraph"/>
              <w:spacing w:before="96"/>
              <w:ind w:left="140"/>
              <w:rPr>
                <w:sz w:val="16"/>
              </w:rPr>
            </w:pPr>
            <w:r>
              <w:rPr>
                <w:sz w:val="16"/>
              </w:rPr>
              <w:t>12.0</w:t>
            </w:r>
          </w:p>
          <w:p>
            <w:pPr>
              <w:pStyle w:val="TableParagraph"/>
              <w:spacing w:before="96"/>
              <w:ind w:left="180"/>
              <w:rPr>
                <w:sz w:val="16"/>
              </w:rPr>
            </w:pPr>
            <w:r>
              <w:rPr>
                <w:sz w:val="16"/>
              </w:rPr>
              <w:t>4.0</w:t>
            </w:r>
          </w:p>
          <w:p>
            <w:pPr>
              <w:pStyle w:val="TableParagraph"/>
              <w:spacing w:before="96"/>
              <w:ind w:left="140"/>
              <w:rPr>
                <w:sz w:val="16"/>
              </w:rPr>
            </w:pPr>
            <w:r>
              <w:rPr>
                <w:sz w:val="16"/>
              </w:rPr>
              <w:t>12.2</w:t>
            </w:r>
          </w:p>
          <w:p>
            <w:pPr>
              <w:pStyle w:val="TableParagraph"/>
              <w:spacing w:before="96"/>
              <w:ind w:left="180"/>
              <w:rPr>
                <w:sz w:val="16"/>
              </w:rPr>
            </w:pPr>
            <w:r>
              <w:rPr>
                <w:sz w:val="16"/>
              </w:rPr>
              <w:t>3.8</w:t>
            </w:r>
          </w:p>
          <w:p>
            <w:pPr>
              <w:pStyle w:val="TableParagraph"/>
              <w:spacing w:before="96"/>
              <w:ind w:left="180"/>
              <w:rPr>
                <w:sz w:val="16"/>
              </w:rPr>
            </w:pPr>
            <w:r>
              <w:rPr>
                <w:sz w:val="16"/>
              </w:rPr>
              <w:t>8.1</w:t>
            </w:r>
          </w:p>
        </w:tc>
        <w:tc>
          <w:tcPr>
            <w:tcW w:w="2385" w:type="dxa"/>
            <w:shd w:val="clear" w:color="auto" w:fill="F9FCF9"/>
          </w:tcPr>
          <w:p>
            <w:pPr>
              <w:pStyle w:val="TableParagraph"/>
              <w:spacing w:line="364" w:lineRule="auto" w:before="45"/>
              <w:ind w:left="76" w:right="323"/>
              <w:rPr>
                <w:sz w:val="9"/>
              </w:rPr>
            </w:pPr>
            <w:r>
              <w:rPr>
                <w:sz w:val="16"/>
              </w:rPr>
              <w:t>Statistics for 20 sites</w:t>
            </w:r>
            <w:r>
              <w:rPr>
                <w:position w:val="5"/>
                <w:sz w:val="9"/>
              </w:rPr>
              <w:t>a </w:t>
            </w:r>
            <w:r>
              <w:rPr>
                <w:sz w:val="16"/>
              </w:rPr>
              <w:t>Representative range</w:t>
            </w:r>
            <w:r>
              <w:rPr>
                <w:position w:val="5"/>
                <w:sz w:val="9"/>
              </w:rPr>
              <w:t>b </w:t>
            </w:r>
            <w:r>
              <w:rPr>
                <w:sz w:val="16"/>
              </w:rPr>
              <w:t>Low/base/high cases for USA</w:t>
            </w:r>
            <w:r>
              <w:rPr>
                <w:position w:val="5"/>
                <w:sz w:val="9"/>
              </w:rPr>
              <w:t>c </w:t>
            </w:r>
            <w:r>
              <w:rPr>
                <w:sz w:val="16"/>
              </w:rPr>
              <w:t>Statistics for 34 sites</w:t>
            </w:r>
            <w:r>
              <w:rPr>
                <w:position w:val="5"/>
                <w:sz w:val="9"/>
              </w:rPr>
              <w:t>a </w:t>
            </w:r>
            <w:r>
              <w:rPr>
                <w:sz w:val="16"/>
              </w:rPr>
              <w:t>Representative range</w:t>
            </w:r>
            <w:r>
              <w:rPr>
                <w:position w:val="5"/>
                <w:sz w:val="9"/>
              </w:rPr>
              <w:t>b </w:t>
            </w:r>
            <w:r>
              <w:rPr>
                <w:sz w:val="16"/>
              </w:rPr>
              <w:t>Low/base/high cases for USA</w:t>
            </w:r>
            <w:r>
              <w:rPr>
                <w:position w:val="5"/>
                <w:sz w:val="9"/>
              </w:rPr>
              <w:t>c </w:t>
            </w:r>
            <w:r>
              <w:rPr>
                <w:sz w:val="16"/>
              </w:rPr>
              <w:t>Low/base/high cases for USA</w:t>
            </w:r>
            <w:r>
              <w:rPr>
                <w:position w:val="5"/>
                <w:sz w:val="9"/>
              </w:rPr>
              <w:t>c </w:t>
            </w:r>
            <w:r>
              <w:rPr>
                <w:sz w:val="16"/>
              </w:rPr>
              <w:t>Representative range</w:t>
            </w:r>
            <w:r>
              <w:rPr>
                <w:position w:val="5"/>
                <w:sz w:val="9"/>
              </w:rPr>
              <w:t>b</w:t>
            </w:r>
          </w:p>
          <w:p>
            <w:pPr>
              <w:pStyle w:val="TableParagraph"/>
              <w:spacing w:before="3"/>
              <w:ind w:left="76"/>
              <w:rPr>
                <w:sz w:val="9"/>
              </w:rPr>
            </w:pPr>
            <w:r>
              <w:rPr>
                <w:sz w:val="16"/>
              </w:rPr>
              <w:t>Low/base/high cases for USA</w:t>
            </w:r>
            <w:r>
              <w:rPr>
                <w:position w:val="5"/>
                <w:sz w:val="9"/>
              </w:rPr>
              <w:t>c</w:t>
            </w:r>
          </w:p>
        </w:tc>
        <w:tc>
          <w:tcPr>
            <w:tcW w:w="2543" w:type="dxa"/>
            <w:shd w:val="clear" w:color="auto" w:fill="F9FCF9"/>
          </w:tcPr>
          <w:p>
            <w:pPr>
              <w:pStyle w:val="TableParagraph"/>
              <w:spacing w:before="45"/>
              <w:ind w:left="75"/>
              <w:rPr>
                <w:sz w:val="16"/>
              </w:rPr>
            </w:pPr>
            <w:r>
              <w:rPr>
                <w:sz w:val="16"/>
              </w:rPr>
              <w:t>Median</w:t>
            </w:r>
          </w:p>
          <w:p>
            <w:pPr>
              <w:pStyle w:val="TableParagraph"/>
              <w:spacing w:before="96"/>
              <w:ind w:left="75"/>
              <w:jc w:val="both"/>
              <w:rPr>
                <w:sz w:val="16"/>
              </w:rPr>
            </w:pPr>
            <w:r>
              <w:rPr>
                <w:sz w:val="16"/>
              </w:rPr>
              <w:t>Most likely value</w:t>
            </w:r>
          </w:p>
          <w:p>
            <w:pPr>
              <w:pStyle w:val="TableParagraph"/>
              <w:spacing w:line="364" w:lineRule="auto" w:before="96"/>
              <w:ind w:left="75" w:right="307"/>
              <w:jc w:val="both"/>
              <w:rPr>
                <w:sz w:val="16"/>
              </w:rPr>
            </w:pPr>
            <w:r>
              <w:rPr>
                <w:sz w:val="16"/>
              </w:rPr>
              <w:t>Base case for average parameters Median</w:t>
            </w:r>
          </w:p>
          <w:p>
            <w:pPr>
              <w:pStyle w:val="TableParagraph"/>
              <w:spacing w:before="1"/>
              <w:ind w:left="75"/>
              <w:jc w:val="both"/>
              <w:rPr>
                <w:sz w:val="16"/>
              </w:rPr>
            </w:pPr>
            <w:r>
              <w:rPr>
                <w:sz w:val="16"/>
              </w:rPr>
              <w:t>Most likely</w:t>
            </w:r>
            <w:r>
              <w:rPr>
                <w:spacing w:val="3"/>
                <w:sz w:val="16"/>
              </w:rPr>
              <w:t> </w:t>
            </w:r>
            <w:r>
              <w:rPr>
                <w:sz w:val="16"/>
              </w:rPr>
              <w:t>value</w:t>
            </w:r>
          </w:p>
          <w:p>
            <w:pPr>
              <w:pStyle w:val="TableParagraph"/>
              <w:spacing w:line="364" w:lineRule="auto" w:before="96"/>
              <w:ind w:left="75" w:right="307"/>
              <w:jc w:val="both"/>
              <w:rPr>
                <w:sz w:val="16"/>
              </w:rPr>
            </w:pPr>
            <w:r>
              <w:rPr>
                <w:sz w:val="16"/>
              </w:rPr>
              <w:t>Base case for average parameters Base case for average parameters Most likely</w:t>
            </w:r>
            <w:r>
              <w:rPr>
                <w:spacing w:val="5"/>
                <w:sz w:val="16"/>
              </w:rPr>
              <w:t> </w:t>
            </w:r>
            <w:r>
              <w:rPr>
                <w:sz w:val="16"/>
              </w:rPr>
              <w:t>value</w:t>
            </w:r>
          </w:p>
          <w:p>
            <w:pPr>
              <w:pStyle w:val="TableParagraph"/>
              <w:spacing w:before="1"/>
              <w:ind w:left="75"/>
              <w:jc w:val="both"/>
              <w:rPr>
                <w:sz w:val="16"/>
              </w:rPr>
            </w:pPr>
            <w:r>
              <w:rPr>
                <w:sz w:val="16"/>
              </w:rPr>
              <w:t>Most likely</w:t>
            </w:r>
            <w:r>
              <w:rPr>
                <w:spacing w:val="3"/>
                <w:sz w:val="16"/>
              </w:rPr>
              <w:t> </w:t>
            </w:r>
            <w:r>
              <w:rPr>
                <w:sz w:val="16"/>
              </w:rPr>
              <w:t>value</w:t>
            </w:r>
          </w:p>
        </w:tc>
      </w:tr>
    </w:tbl>
    <w:p>
      <w:pPr>
        <w:spacing w:line="261" w:lineRule="auto" w:before="170"/>
        <w:ind w:left="157" w:right="644" w:firstLine="0"/>
        <w:jc w:val="both"/>
        <w:rPr>
          <w:sz w:val="16"/>
        </w:rPr>
      </w:pPr>
      <w:r>
        <w:rPr>
          <w:sz w:val="16"/>
        </w:rPr>
        <w:t>Note: The ranges and </w:t>
      </w:r>
      <w:r>
        <w:rPr>
          <w:spacing w:val="-3"/>
          <w:sz w:val="16"/>
        </w:rPr>
        <w:t>low, </w:t>
      </w:r>
      <w:r>
        <w:rPr>
          <w:sz w:val="16"/>
        </w:rPr>
        <w:t>most likely (mid), high values reported in different studies were calculated in different ways. The estimates exclude monitoring costs.</w:t>
      </w:r>
    </w:p>
    <w:p>
      <w:pPr>
        <w:pStyle w:val="ListParagraph"/>
        <w:numPr>
          <w:ilvl w:val="0"/>
          <w:numId w:val="26"/>
        </w:numPr>
        <w:tabs>
          <w:tab w:pos="441" w:val="left" w:leader="none"/>
        </w:tabs>
        <w:spacing w:line="261" w:lineRule="auto" w:before="0" w:after="0"/>
        <w:ind w:left="440" w:right="643" w:hanging="284"/>
        <w:jc w:val="both"/>
        <w:rPr>
          <w:sz w:val="16"/>
        </w:rPr>
      </w:pPr>
      <w:r>
        <w:rPr>
          <w:sz w:val="16"/>
        </w:rPr>
        <w:t>Figures from Allinson </w:t>
      </w:r>
      <w:r>
        <w:rPr>
          <w:i/>
          <w:sz w:val="16"/>
        </w:rPr>
        <w:t>et al</w:t>
      </w:r>
      <w:r>
        <w:rPr>
          <w:sz w:val="16"/>
        </w:rPr>
        <w:t>., (2003) are statistics for multiple cases from different sites in Australia. Low is the minimum value, most likely is median, high is maximum value of all the cases. The main determinants of storage costs are rate of injection and reservoir characteristics such as permeability, thickness, reservoir depth rather than reservoir type (such as saline aquifer, depleted field, etc.). The reservoir type could be high or low cost depending on these characteristics. The figures are adjusted to exclude compression and transport</w:t>
      </w:r>
      <w:r>
        <w:rPr>
          <w:spacing w:val="-6"/>
          <w:sz w:val="16"/>
        </w:rPr>
        <w:t> </w:t>
      </w:r>
      <w:r>
        <w:rPr>
          <w:sz w:val="16"/>
        </w:rPr>
        <w:t>costs.</w:t>
      </w:r>
    </w:p>
    <w:p>
      <w:pPr>
        <w:pStyle w:val="ListParagraph"/>
        <w:numPr>
          <w:ilvl w:val="0"/>
          <w:numId w:val="26"/>
        </w:numPr>
        <w:tabs>
          <w:tab w:pos="441" w:val="left" w:leader="none"/>
        </w:tabs>
        <w:spacing w:line="182" w:lineRule="exact" w:before="0" w:after="0"/>
        <w:ind w:left="440" w:right="0" w:hanging="285"/>
        <w:jc w:val="both"/>
        <w:rPr>
          <w:sz w:val="16"/>
        </w:rPr>
      </w:pPr>
      <w:r>
        <w:rPr>
          <w:sz w:val="16"/>
        </w:rPr>
        <w:t>Figures from Hendriks </w:t>
      </w:r>
      <w:r>
        <w:rPr>
          <w:i/>
          <w:sz w:val="16"/>
        </w:rPr>
        <w:t>et al.</w:t>
      </w:r>
      <w:r>
        <w:rPr>
          <w:sz w:val="16"/>
        </w:rPr>
        <w:t>, (2002) are described as a representative range of values for storage options 1000-3000 m depth. The full range of costs</w:t>
      </w:r>
      <w:r>
        <w:rPr>
          <w:spacing w:val="12"/>
          <w:sz w:val="16"/>
        </w:rPr>
        <w:t> </w:t>
      </w:r>
      <w:r>
        <w:rPr>
          <w:sz w:val="16"/>
        </w:rPr>
        <w:t>is</w:t>
      </w:r>
    </w:p>
    <w:p>
      <w:pPr>
        <w:spacing w:before="15"/>
        <w:ind w:left="440" w:right="0" w:firstLine="0"/>
        <w:jc w:val="both"/>
        <w:rPr>
          <w:sz w:val="16"/>
        </w:rPr>
      </w:pPr>
      <w:r>
        <w:rPr>
          <w:sz w:val="16"/>
        </w:rPr>
        <w:t>acknowledged to be larger than shown. The figures are converted from Euros to US$.</w:t>
      </w:r>
    </w:p>
    <w:p>
      <w:pPr>
        <w:pStyle w:val="ListParagraph"/>
        <w:numPr>
          <w:ilvl w:val="0"/>
          <w:numId w:val="26"/>
        </w:numPr>
        <w:tabs>
          <w:tab w:pos="441" w:val="left" w:leader="none"/>
        </w:tabs>
        <w:spacing w:line="261" w:lineRule="auto" w:before="16" w:after="0"/>
        <w:ind w:left="440" w:right="644" w:hanging="284"/>
        <w:jc w:val="both"/>
        <w:rPr>
          <w:sz w:val="16"/>
        </w:rPr>
      </w:pPr>
      <w:r>
        <w:rPr>
          <w:sz w:val="16"/>
        </w:rPr>
        <w:t>Bock</w:t>
      </w:r>
      <w:r>
        <w:rPr>
          <w:spacing w:val="-2"/>
          <w:sz w:val="16"/>
        </w:rPr>
        <w:t> </w:t>
      </w:r>
      <w:r>
        <w:rPr>
          <w:i/>
          <w:sz w:val="16"/>
        </w:rPr>
        <w:t>et</w:t>
      </w:r>
      <w:r>
        <w:rPr>
          <w:i/>
          <w:spacing w:val="-2"/>
          <w:sz w:val="16"/>
        </w:rPr>
        <w:t> </w:t>
      </w:r>
      <w:r>
        <w:rPr>
          <w:i/>
          <w:sz w:val="16"/>
        </w:rPr>
        <w:t>al.</w:t>
      </w:r>
      <w:r>
        <w:rPr>
          <w:sz w:val="16"/>
        </w:rPr>
        <w:t>,</w:t>
      </w:r>
      <w:r>
        <w:rPr>
          <w:spacing w:val="-2"/>
          <w:sz w:val="16"/>
        </w:rPr>
        <w:t> </w:t>
      </w:r>
      <w:r>
        <w:rPr>
          <w:sz w:val="16"/>
        </w:rPr>
        <w:t>(2003)</w:t>
      </w:r>
      <w:r>
        <w:rPr>
          <w:spacing w:val="-2"/>
          <w:sz w:val="16"/>
        </w:rPr>
        <w:t> </w:t>
      </w:r>
      <w:r>
        <w:rPr>
          <w:sz w:val="16"/>
        </w:rPr>
        <w:t>define</w:t>
      </w:r>
      <w:r>
        <w:rPr>
          <w:spacing w:val="-2"/>
          <w:sz w:val="16"/>
        </w:rPr>
        <w:t> </w:t>
      </w:r>
      <w:r>
        <w:rPr>
          <w:sz w:val="16"/>
        </w:rPr>
        <w:t>a</w:t>
      </w:r>
      <w:r>
        <w:rPr>
          <w:spacing w:val="-2"/>
          <w:sz w:val="16"/>
        </w:rPr>
        <w:t> </w:t>
      </w:r>
      <w:r>
        <w:rPr>
          <w:sz w:val="16"/>
        </w:rPr>
        <w:t>base</w:t>
      </w:r>
      <w:r>
        <w:rPr>
          <w:spacing w:val="-2"/>
          <w:sz w:val="16"/>
        </w:rPr>
        <w:t> </w:t>
      </w:r>
      <w:r>
        <w:rPr>
          <w:sz w:val="16"/>
        </w:rPr>
        <w:t>case,</w:t>
      </w:r>
      <w:r>
        <w:rPr>
          <w:spacing w:val="-2"/>
          <w:sz w:val="16"/>
        </w:rPr>
        <w:t> </w:t>
      </w:r>
      <w:r>
        <w:rPr>
          <w:sz w:val="16"/>
        </w:rPr>
        <w:t>low-</w:t>
      </w:r>
      <w:r>
        <w:rPr>
          <w:spacing w:val="-2"/>
          <w:sz w:val="16"/>
        </w:rPr>
        <w:t> </w:t>
      </w:r>
      <w:r>
        <w:rPr>
          <w:sz w:val="16"/>
        </w:rPr>
        <w:t>and</w:t>
      </w:r>
      <w:r>
        <w:rPr>
          <w:spacing w:val="-2"/>
          <w:sz w:val="16"/>
        </w:rPr>
        <w:t> </w:t>
      </w:r>
      <w:r>
        <w:rPr>
          <w:sz w:val="16"/>
        </w:rPr>
        <w:t>high-cost</w:t>
      </w:r>
      <w:r>
        <w:rPr>
          <w:spacing w:val="-2"/>
          <w:sz w:val="16"/>
        </w:rPr>
        <w:t> </w:t>
      </w:r>
      <w:r>
        <w:rPr>
          <w:sz w:val="16"/>
        </w:rPr>
        <w:t>cases</w:t>
      </w:r>
      <w:r>
        <w:rPr>
          <w:spacing w:val="-2"/>
          <w:sz w:val="16"/>
        </w:rPr>
        <w:t> </w:t>
      </w:r>
      <w:r>
        <w:rPr>
          <w:sz w:val="16"/>
        </w:rPr>
        <w:t>from</w:t>
      </w:r>
      <w:r>
        <w:rPr>
          <w:spacing w:val="-2"/>
          <w:sz w:val="16"/>
        </w:rPr>
        <w:t> </w:t>
      </w:r>
      <w:r>
        <w:rPr>
          <w:sz w:val="16"/>
        </w:rPr>
        <w:t>analysis</w:t>
      </w:r>
      <w:r>
        <w:rPr>
          <w:spacing w:val="-2"/>
          <w:sz w:val="16"/>
        </w:rPr>
        <w:t> </w:t>
      </w:r>
      <w:r>
        <w:rPr>
          <w:sz w:val="16"/>
        </w:rPr>
        <w:t>of</w:t>
      </w:r>
      <w:r>
        <w:rPr>
          <w:spacing w:val="-2"/>
          <w:sz w:val="16"/>
        </w:rPr>
        <w:t> </w:t>
      </w:r>
      <w:r>
        <w:rPr>
          <w:sz w:val="16"/>
        </w:rPr>
        <w:t>typical</w:t>
      </w:r>
      <w:r>
        <w:rPr>
          <w:spacing w:val="-3"/>
          <w:sz w:val="16"/>
        </w:rPr>
        <w:t> </w:t>
      </w:r>
      <w:r>
        <w:rPr>
          <w:sz w:val="16"/>
        </w:rPr>
        <w:t>reservoirs</w:t>
      </w:r>
      <w:r>
        <w:rPr>
          <w:spacing w:val="-2"/>
          <w:sz w:val="16"/>
        </w:rPr>
        <w:t> </w:t>
      </w:r>
      <w:r>
        <w:rPr>
          <w:sz w:val="16"/>
        </w:rPr>
        <w:t>for</w:t>
      </w:r>
      <w:r>
        <w:rPr>
          <w:spacing w:val="-2"/>
          <w:sz w:val="16"/>
        </w:rPr>
        <w:t> </w:t>
      </w:r>
      <w:r>
        <w:rPr>
          <w:sz w:val="16"/>
        </w:rPr>
        <w:t>US</w:t>
      </w:r>
      <w:r>
        <w:rPr>
          <w:spacing w:val="-3"/>
          <w:sz w:val="16"/>
        </w:rPr>
        <w:t> </w:t>
      </w:r>
      <w:r>
        <w:rPr>
          <w:sz w:val="16"/>
        </w:rPr>
        <w:t>sites.</w:t>
      </w:r>
      <w:r>
        <w:rPr>
          <w:spacing w:val="-3"/>
          <w:sz w:val="16"/>
        </w:rPr>
        <w:t> </w:t>
      </w:r>
      <w:r>
        <w:rPr>
          <w:sz w:val="16"/>
        </w:rPr>
        <w:t>Each</w:t>
      </w:r>
      <w:r>
        <w:rPr>
          <w:spacing w:val="-2"/>
          <w:sz w:val="16"/>
        </w:rPr>
        <w:t> </w:t>
      </w:r>
      <w:r>
        <w:rPr>
          <w:sz w:val="16"/>
        </w:rPr>
        <w:t>case</w:t>
      </w:r>
      <w:r>
        <w:rPr>
          <w:spacing w:val="-2"/>
          <w:sz w:val="16"/>
        </w:rPr>
        <w:t> </w:t>
      </w:r>
      <w:r>
        <w:rPr>
          <w:sz w:val="16"/>
        </w:rPr>
        <w:t>has</w:t>
      </w:r>
      <w:r>
        <w:rPr>
          <w:spacing w:val="-2"/>
          <w:sz w:val="16"/>
        </w:rPr>
        <w:t> </w:t>
      </w:r>
      <w:r>
        <w:rPr>
          <w:sz w:val="16"/>
        </w:rPr>
        <w:t>different</w:t>
      </w:r>
      <w:r>
        <w:rPr>
          <w:spacing w:val="-2"/>
          <w:sz w:val="16"/>
        </w:rPr>
        <w:t> </w:t>
      </w:r>
      <w:r>
        <w:rPr>
          <w:sz w:val="16"/>
        </w:rPr>
        <w:t>depth,</w:t>
      </w:r>
      <w:r>
        <w:rPr>
          <w:spacing w:val="-2"/>
          <w:sz w:val="16"/>
        </w:rPr>
        <w:t> </w:t>
      </w:r>
      <w:r>
        <w:rPr>
          <w:sz w:val="16"/>
        </w:rPr>
        <w:t>reservoir,</w:t>
      </w:r>
      <w:r>
        <w:rPr>
          <w:spacing w:val="-2"/>
          <w:sz w:val="16"/>
        </w:rPr>
        <w:t> </w:t>
      </w:r>
      <w:r>
        <w:rPr>
          <w:sz w:val="16"/>
        </w:rPr>
        <w:t>cost and oil/gas price parameters. The figures are adjusted to exclude compression and transport</w:t>
      </w:r>
      <w:r>
        <w:rPr>
          <w:spacing w:val="-7"/>
          <w:sz w:val="16"/>
        </w:rPr>
        <w:t> </w:t>
      </w:r>
      <w:r>
        <w:rPr>
          <w:sz w:val="16"/>
        </w:rPr>
        <w:t>costs.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3"/>
        </w:rPr>
      </w:pPr>
    </w:p>
    <w:p>
      <w:pPr>
        <w:spacing w:before="0"/>
        <w:ind w:left="177" w:right="0" w:firstLine="0"/>
        <w:jc w:val="both"/>
        <w:rPr>
          <w:sz w:val="18"/>
        </w:rPr>
      </w:pPr>
      <w:bookmarkStart w:name="_bookmark50" w:id="111"/>
      <w:bookmarkEnd w:id="111"/>
      <w:r>
        <w:rPr/>
      </w:r>
      <w:r>
        <w:rPr>
          <w:b/>
          <w:spacing w:val="-17"/>
          <w:w w:val="200"/>
          <w:sz w:val="18"/>
        </w:rPr>
        <w:t>t</w:t>
      </w:r>
      <w:r>
        <w:rPr>
          <w:b/>
          <w:sz w:val="18"/>
        </w:rPr>
        <w:t>able 5.10 </w:t>
      </w:r>
      <w:r>
        <w:rPr>
          <w:sz w:val="18"/>
        </w:rPr>
        <w:t>Investment costs for industry C</w:t>
      </w:r>
      <w:r>
        <w:rPr>
          <w:spacing w:val="-1"/>
          <w:sz w:val="18"/>
        </w:rPr>
        <w:t>O</w:t>
      </w:r>
      <w:r>
        <w:rPr>
          <w:w w:val="104"/>
          <w:position w:val="-5"/>
          <w:sz w:val="10"/>
        </w:rPr>
        <w:t>2</w:t>
      </w:r>
      <w:r>
        <w:rPr>
          <w:position w:val="-5"/>
          <w:sz w:val="10"/>
        </w:rPr>
        <w:t> </w:t>
      </w:r>
      <w:r>
        <w:rPr>
          <w:spacing w:val="-5"/>
          <w:position w:val="-5"/>
          <w:sz w:val="10"/>
        </w:rPr>
        <w:t> </w:t>
      </w:r>
      <w:r>
        <w:rPr>
          <w:spacing w:val="-1"/>
          <w:sz w:val="18"/>
        </w:rPr>
        <w:t>storag</w:t>
      </w:r>
      <w:r>
        <w:rPr>
          <w:sz w:val="18"/>
        </w:rPr>
        <w:t>e</w:t>
      </w:r>
      <w:r>
        <w:rPr>
          <w:spacing w:val="-1"/>
          <w:sz w:val="18"/>
        </w:rPr>
        <w:t> </w:t>
      </w:r>
      <w:r>
        <w:rPr>
          <w:sz w:val="18"/>
        </w:rPr>
        <w:t>projects.</w:t>
      </w:r>
    </w:p>
    <w:p>
      <w:pPr>
        <w:pStyle w:val="BodyText"/>
        <w:rPr>
          <w:sz w:val="19"/>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5"/>
        <w:gridCol w:w="3344"/>
        <w:gridCol w:w="2557"/>
      </w:tblGrid>
      <w:tr>
        <w:trPr>
          <w:trHeight w:val="285" w:hRule="atLeast"/>
        </w:trPr>
        <w:tc>
          <w:tcPr>
            <w:tcW w:w="4325" w:type="dxa"/>
            <w:tcBorders>
              <w:top w:val="single" w:sz="4" w:space="0" w:color="000000"/>
              <w:bottom w:val="single" w:sz="4" w:space="0" w:color="000000"/>
            </w:tcBorders>
            <w:shd w:val="clear" w:color="auto" w:fill="E0EEE0"/>
          </w:tcPr>
          <w:p>
            <w:pPr>
              <w:pStyle w:val="TableParagraph"/>
              <w:spacing w:before="42"/>
              <w:ind w:left="80"/>
              <w:rPr>
                <w:b/>
                <w:sz w:val="18"/>
              </w:rPr>
            </w:pPr>
            <w:r>
              <w:rPr>
                <w:b/>
                <w:sz w:val="18"/>
              </w:rPr>
              <w:t>Project</w:t>
            </w:r>
          </w:p>
        </w:tc>
        <w:tc>
          <w:tcPr>
            <w:tcW w:w="3344" w:type="dxa"/>
            <w:tcBorders>
              <w:top w:val="single" w:sz="4" w:space="0" w:color="000000"/>
              <w:bottom w:val="single" w:sz="4" w:space="0" w:color="000000"/>
            </w:tcBorders>
            <w:shd w:val="clear" w:color="auto" w:fill="E0EEE0"/>
          </w:tcPr>
          <w:p>
            <w:pPr>
              <w:pStyle w:val="TableParagraph"/>
              <w:spacing w:before="42"/>
              <w:ind w:left="1020" w:right="640"/>
              <w:jc w:val="center"/>
              <w:rPr>
                <w:b/>
                <w:sz w:val="18"/>
              </w:rPr>
            </w:pPr>
            <w:r>
              <w:rPr>
                <w:b/>
                <w:sz w:val="18"/>
              </w:rPr>
              <w:t>Sleipner</w:t>
            </w:r>
          </w:p>
        </w:tc>
        <w:tc>
          <w:tcPr>
            <w:tcW w:w="2557" w:type="dxa"/>
            <w:tcBorders>
              <w:top w:val="single" w:sz="4" w:space="0" w:color="000000"/>
              <w:bottom w:val="single" w:sz="4" w:space="0" w:color="000000"/>
            </w:tcBorders>
            <w:shd w:val="clear" w:color="auto" w:fill="E0EEE0"/>
          </w:tcPr>
          <w:p>
            <w:pPr>
              <w:pStyle w:val="TableParagraph"/>
              <w:spacing w:before="42"/>
              <w:ind w:left="647" w:right="779"/>
              <w:jc w:val="center"/>
              <w:rPr>
                <w:b/>
                <w:sz w:val="18"/>
              </w:rPr>
            </w:pPr>
            <w:r>
              <w:rPr>
                <w:b/>
                <w:sz w:val="18"/>
              </w:rPr>
              <w:t>Snøhvit</w:t>
            </w:r>
          </w:p>
        </w:tc>
      </w:tr>
      <w:tr>
        <w:trPr>
          <w:trHeight w:val="307" w:hRule="atLeast"/>
        </w:trPr>
        <w:tc>
          <w:tcPr>
            <w:tcW w:w="4325" w:type="dxa"/>
            <w:vMerge w:val="restart"/>
            <w:tcBorders>
              <w:top w:val="single" w:sz="4" w:space="0" w:color="000000"/>
              <w:bottom w:val="single" w:sz="4" w:space="0" w:color="000000"/>
            </w:tcBorders>
            <w:shd w:val="clear" w:color="auto" w:fill="F9FCF9"/>
          </w:tcPr>
          <w:p>
            <w:pPr>
              <w:pStyle w:val="TableParagraph"/>
              <w:spacing w:line="343" w:lineRule="auto" w:before="42"/>
              <w:ind w:left="80" w:right="3334"/>
              <w:rPr>
                <w:sz w:val="18"/>
              </w:rPr>
            </w:pPr>
            <w:r>
              <w:rPr>
                <w:sz w:val="18"/>
              </w:rPr>
              <w:t>Country Start Storage</w:t>
            </w:r>
            <w:r>
              <w:rPr>
                <w:spacing w:val="-1"/>
                <w:sz w:val="18"/>
              </w:rPr>
              <w:t> </w:t>
            </w:r>
            <w:r>
              <w:rPr>
                <w:spacing w:val="-3"/>
                <w:sz w:val="18"/>
              </w:rPr>
              <w:t>type</w:t>
            </w:r>
          </w:p>
          <w:p>
            <w:pPr>
              <w:pStyle w:val="TableParagraph"/>
              <w:spacing w:line="168" w:lineRule="exact" w:before="0"/>
              <w:ind w:left="80"/>
              <w:rPr>
                <w:sz w:val="18"/>
              </w:rPr>
            </w:pPr>
            <w:r>
              <w:rPr>
                <w:sz w:val="18"/>
              </w:rPr>
              <w:t>Annual CO injection rate (MtCO yr</w:t>
            </w:r>
            <w:r>
              <w:rPr>
                <w:position w:val="6"/>
                <w:sz w:val="10"/>
              </w:rPr>
              <w:t>-1</w:t>
            </w:r>
            <w:r>
              <w:rPr>
                <w:sz w:val="18"/>
              </w:rPr>
              <w:t>)</w:t>
            </w:r>
          </w:p>
          <w:p>
            <w:pPr>
              <w:pStyle w:val="TableParagraph"/>
              <w:tabs>
                <w:tab w:pos="2529" w:val="left" w:leader="none"/>
              </w:tabs>
              <w:spacing w:line="79" w:lineRule="exact" w:before="0"/>
              <w:ind w:left="909"/>
              <w:rPr>
                <w:sz w:val="10"/>
              </w:rPr>
            </w:pPr>
            <w:r>
              <w:rPr>
                <w:w w:val="105"/>
                <w:sz w:val="10"/>
              </w:rPr>
              <w:t>2</w:t>
              <w:tab/>
              <w:t>2</w:t>
            </w:r>
          </w:p>
          <w:p>
            <w:pPr>
              <w:pStyle w:val="TableParagraph"/>
              <w:spacing w:line="343" w:lineRule="auto" w:before="45"/>
              <w:ind w:left="80" w:right="2745"/>
              <w:rPr>
                <w:sz w:val="18"/>
              </w:rPr>
            </w:pPr>
            <w:r>
              <w:rPr>
                <w:sz w:val="18"/>
              </w:rPr>
              <w:t>Onshore/Offshore Number of wells Pipeline length (km)</w:t>
            </w:r>
          </w:p>
          <w:p>
            <w:pPr>
              <w:pStyle w:val="TableParagraph"/>
              <w:spacing w:line="343" w:lineRule="auto" w:before="0"/>
              <w:ind w:left="306" w:right="1030" w:hanging="227"/>
              <w:rPr>
                <w:sz w:val="18"/>
              </w:rPr>
            </w:pPr>
            <w:r>
              <w:rPr>
                <w:sz w:val="18"/>
              </w:rPr>
              <w:t>Capital Investment Costs (US$ million) Capture and Transport</w:t>
            </w:r>
          </w:p>
          <w:p>
            <w:pPr>
              <w:pStyle w:val="TableParagraph"/>
              <w:spacing w:line="343" w:lineRule="auto" w:before="0"/>
              <w:ind w:left="306" w:right="1839"/>
              <w:rPr>
                <w:sz w:val="18"/>
              </w:rPr>
            </w:pPr>
            <w:r>
              <w:rPr>
                <w:sz w:val="18"/>
              </w:rPr>
              <w:t>Compression and dehydration Pipeline</w:t>
            </w:r>
          </w:p>
          <w:p>
            <w:pPr>
              <w:pStyle w:val="TableParagraph"/>
              <w:spacing w:line="205" w:lineRule="exact" w:before="0"/>
              <w:ind w:left="306"/>
              <w:rPr>
                <w:sz w:val="18"/>
              </w:rPr>
            </w:pPr>
            <w:r>
              <w:rPr>
                <w:sz w:val="18"/>
              </w:rPr>
              <w:t>Storage</w:t>
            </w:r>
          </w:p>
          <w:p>
            <w:pPr>
              <w:pStyle w:val="TableParagraph"/>
              <w:spacing w:line="343" w:lineRule="auto" w:before="83"/>
              <w:ind w:left="306" w:right="1914"/>
              <w:rPr>
                <w:sz w:val="18"/>
              </w:rPr>
            </w:pPr>
            <w:r>
              <w:rPr>
                <w:sz w:val="18"/>
              </w:rPr>
              <w:t>Drilling and well completion Facilities</w:t>
            </w:r>
          </w:p>
          <w:p>
            <w:pPr>
              <w:pStyle w:val="TableParagraph"/>
              <w:spacing w:line="205" w:lineRule="exact" w:before="0"/>
              <w:ind w:left="306"/>
              <w:rPr>
                <w:sz w:val="18"/>
              </w:rPr>
            </w:pPr>
            <w:r>
              <w:rPr>
                <w:sz w:val="18"/>
              </w:rPr>
              <w:t>Other</w:t>
            </w:r>
          </w:p>
          <w:p>
            <w:pPr>
              <w:pStyle w:val="TableParagraph"/>
              <w:spacing w:line="343" w:lineRule="auto" w:before="88"/>
              <w:ind w:left="80" w:right="1030"/>
              <w:rPr>
                <w:sz w:val="18"/>
              </w:rPr>
            </w:pPr>
            <w:r>
              <w:rPr>
                <w:sz w:val="18"/>
              </w:rPr>
              <w:t>Total capital investment costs (US$ million) Operating Costs (US$ million)</w:t>
            </w:r>
          </w:p>
          <w:p>
            <w:pPr>
              <w:pStyle w:val="TableParagraph"/>
              <w:spacing w:line="248" w:lineRule="exact" w:before="0"/>
              <w:ind w:left="306"/>
              <w:rPr>
                <w:sz w:val="18"/>
              </w:rPr>
            </w:pPr>
            <w:r>
              <w:rPr>
                <w:sz w:val="18"/>
              </w:rPr>
              <w:t>Fuel and CO</w:t>
            </w:r>
            <w:r>
              <w:rPr>
                <w:position w:val="-5"/>
                <w:sz w:val="10"/>
              </w:rPr>
              <w:t>2 </w:t>
            </w:r>
            <w:r>
              <w:rPr>
                <w:sz w:val="18"/>
              </w:rPr>
              <w:t>tax</w:t>
            </w:r>
          </w:p>
          <w:p>
            <w:pPr>
              <w:pStyle w:val="TableParagraph"/>
              <w:spacing w:before="45"/>
              <w:ind w:left="80"/>
              <w:rPr>
                <w:sz w:val="18"/>
              </w:rPr>
            </w:pPr>
            <w:r>
              <w:rPr>
                <w:sz w:val="18"/>
              </w:rPr>
              <w:t>References</w:t>
            </w:r>
          </w:p>
        </w:tc>
        <w:tc>
          <w:tcPr>
            <w:tcW w:w="3344" w:type="dxa"/>
            <w:tcBorders>
              <w:top w:val="single" w:sz="4" w:space="0" w:color="000000"/>
            </w:tcBorders>
            <w:shd w:val="clear" w:color="auto" w:fill="F9FCF9"/>
          </w:tcPr>
          <w:p>
            <w:pPr>
              <w:pStyle w:val="TableParagraph"/>
              <w:spacing w:before="42"/>
              <w:ind w:left="1020" w:right="643"/>
              <w:jc w:val="center"/>
              <w:rPr>
                <w:sz w:val="18"/>
              </w:rPr>
            </w:pPr>
            <w:r>
              <w:rPr>
                <w:sz w:val="18"/>
              </w:rPr>
              <w:t>Norway</w:t>
            </w:r>
          </w:p>
        </w:tc>
        <w:tc>
          <w:tcPr>
            <w:tcW w:w="2557" w:type="dxa"/>
            <w:tcBorders>
              <w:top w:val="single" w:sz="4" w:space="0" w:color="000000"/>
            </w:tcBorders>
            <w:shd w:val="clear" w:color="auto" w:fill="F9FCF9"/>
          </w:tcPr>
          <w:p>
            <w:pPr>
              <w:pStyle w:val="TableParagraph"/>
              <w:spacing w:before="42"/>
              <w:ind w:left="647" w:right="779"/>
              <w:jc w:val="center"/>
              <w:rPr>
                <w:sz w:val="18"/>
              </w:rPr>
            </w:pPr>
            <w:r>
              <w:rPr>
                <w:sz w:val="18"/>
              </w:rPr>
              <w:t>Norway</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1996</w:t>
            </w:r>
          </w:p>
        </w:tc>
        <w:tc>
          <w:tcPr>
            <w:tcW w:w="2557" w:type="dxa"/>
            <w:shd w:val="clear" w:color="auto" w:fill="F9FCF9"/>
          </w:tcPr>
          <w:p>
            <w:pPr>
              <w:pStyle w:val="TableParagraph"/>
              <w:spacing w:before="19"/>
              <w:ind w:left="647" w:right="779"/>
              <w:jc w:val="center"/>
              <w:rPr>
                <w:sz w:val="18"/>
              </w:rPr>
            </w:pPr>
            <w:r>
              <w:rPr>
                <w:sz w:val="18"/>
              </w:rPr>
              <w:t>2006</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Aquifer</w:t>
            </w:r>
          </w:p>
        </w:tc>
        <w:tc>
          <w:tcPr>
            <w:tcW w:w="2557" w:type="dxa"/>
            <w:shd w:val="clear" w:color="auto" w:fill="F9FCF9"/>
          </w:tcPr>
          <w:p>
            <w:pPr>
              <w:pStyle w:val="TableParagraph"/>
              <w:spacing w:before="19"/>
              <w:ind w:left="647" w:right="779"/>
              <w:jc w:val="center"/>
              <w:rPr>
                <w:sz w:val="18"/>
              </w:rPr>
            </w:pPr>
            <w:r>
              <w:rPr>
                <w:sz w:val="18"/>
              </w:rPr>
              <w:t>Aquifer</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377"/>
              <w:jc w:val="center"/>
              <w:rPr>
                <w:sz w:val="18"/>
              </w:rPr>
            </w:pPr>
            <w:r>
              <w:rPr>
                <w:sz w:val="18"/>
              </w:rPr>
              <w:t>1</w:t>
            </w:r>
          </w:p>
        </w:tc>
        <w:tc>
          <w:tcPr>
            <w:tcW w:w="2557" w:type="dxa"/>
            <w:shd w:val="clear" w:color="auto" w:fill="F9FCF9"/>
          </w:tcPr>
          <w:p>
            <w:pPr>
              <w:pStyle w:val="TableParagraph"/>
              <w:spacing w:before="19"/>
              <w:ind w:left="647" w:right="779"/>
              <w:jc w:val="center"/>
              <w:rPr>
                <w:sz w:val="18"/>
              </w:rPr>
            </w:pPr>
            <w:r>
              <w:rPr>
                <w:sz w:val="18"/>
              </w:rPr>
              <w:t>0.7</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Offshore</w:t>
            </w:r>
          </w:p>
        </w:tc>
        <w:tc>
          <w:tcPr>
            <w:tcW w:w="2557" w:type="dxa"/>
            <w:shd w:val="clear" w:color="auto" w:fill="F9FCF9"/>
          </w:tcPr>
          <w:p>
            <w:pPr>
              <w:pStyle w:val="TableParagraph"/>
              <w:spacing w:before="19"/>
              <w:ind w:left="647" w:right="779"/>
              <w:jc w:val="center"/>
              <w:rPr>
                <w:sz w:val="18"/>
              </w:rPr>
            </w:pPr>
            <w:r>
              <w:rPr>
                <w:sz w:val="18"/>
              </w:rPr>
              <w:t>Offshore</w:t>
            </w:r>
          </w:p>
        </w:tc>
      </w:tr>
      <w:tr>
        <w:trPr>
          <w:trHeight w:val="284"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377"/>
              <w:jc w:val="center"/>
              <w:rPr>
                <w:sz w:val="18"/>
              </w:rPr>
            </w:pPr>
            <w:r>
              <w:rPr>
                <w:sz w:val="18"/>
              </w:rPr>
              <w:t>1</w:t>
            </w:r>
          </w:p>
        </w:tc>
        <w:tc>
          <w:tcPr>
            <w:tcW w:w="2557" w:type="dxa"/>
            <w:shd w:val="clear" w:color="auto" w:fill="F9FCF9"/>
          </w:tcPr>
          <w:p>
            <w:pPr>
              <w:pStyle w:val="TableParagraph"/>
              <w:spacing w:before="19"/>
              <w:ind w:left="0" w:right="132"/>
              <w:jc w:val="center"/>
              <w:rPr>
                <w:sz w:val="18"/>
              </w:rPr>
            </w:pPr>
            <w:r>
              <w:rPr>
                <w:sz w:val="18"/>
              </w:rPr>
              <w:t>1</w:t>
            </w:r>
          </w:p>
        </w:tc>
      </w:tr>
      <w:tr>
        <w:trPr>
          <w:trHeight w:val="432"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377"/>
              <w:jc w:val="center"/>
              <w:rPr>
                <w:sz w:val="18"/>
              </w:rPr>
            </w:pPr>
            <w:r>
              <w:rPr>
                <w:sz w:val="18"/>
              </w:rPr>
              <w:t>0</w:t>
            </w:r>
          </w:p>
        </w:tc>
        <w:tc>
          <w:tcPr>
            <w:tcW w:w="2557" w:type="dxa"/>
            <w:shd w:val="clear" w:color="auto" w:fill="F9FCF9"/>
          </w:tcPr>
          <w:p>
            <w:pPr>
              <w:pStyle w:val="TableParagraph"/>
              <w:spacing w:before="19"/>
              <w:ind w:left="647" w:right="779"/>
              <w:jc w:val="center"/>
              <w:rPr>
                <w:sz w:val="18"/>
              </w:rPr>
            </w:pPr>
            <w:r>
              <w:rPr>
                <w:sz w:val="18"/>
              </w:rPr>
              <w:t>160</w:t>
            </w:r>
          </w:p>
        </w:tc>
      </w:tr>
      <w:tr>
        <w:trPr>
          <w:trHeight w:val="432"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5"/>
              <w:ind w:left="0"/>
              <w:rPr>
                <w:sz w:val="14"/>
              </w:rPr>
            </w:pPr>
          </w:p>
          <w:p>
            <w:pPr>
              <w:pStyle w:val="TableParagraph"/>
              <w:spacing w:before="1"/>
              <w:ind w:left="1020" w:right="643"/>
              <w:jc w:val="center"/>
              <w:rPr>
                <w:sz w:val="18"/>
              </w:rPr>
            </w:pPr>
            <w:r>
              <w:rPr>
                <w:sz w:val="18"/>
              </w:rPr>
              <w:t>79</w:t>
            </w:r>
          </w:p>
        </w:tc>
        <w:tc>
          <w:tcPr>
            <w:tcW w:w="2557" w:type="dxa"/>
            <w:shd w:val="clear" w:color="auto" w:fill="F9FCF9"/>
          </w:tcPr>
          <w:p>
            <w:pPr>
              <w:pStyle w:val="TableParagraph"/>
              <w:spacing w:before="5"/>
              <w:ind w:left="0"/>
              <w:rPr>
                <w:sz w:val="14"/>
              </w:rPr>
            </w:pPr>
          </w:p>
          <w:p>
            <w:pPr>
              <w:pStyle w:val="TableParagraph"/>
              <w:spacing w:before="1"/>
              <w:ind w:left="647" w:right="779"/>
              <w:jc w:val="center"/>
              <w:rPr>
                <w:sz w:val="18"/>
              </w:rPr>
            </w:pPr>
            <w:r>
              <w:rPr>
                <w:sz w:val="18"/>
              </w:rPr>
              <w:t>143</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79</w:t>
            </w:r>
          </w:p>
        </w:tc>
        <w:tc>
          <w:tcPr>
            <w:tcW w:w="2557" w:type="dxa"/>
            <w:shd w:val="clear" w:color="auto" w:fill="F9FCF9"/>
          </w:tcPr>
          <w:p>
            <w:pPr>
              <w:pStyle w:val="TableParagraph"/>
              <w:spacing w:before="19"/>
              <w:ind w:left="647" w:right="779"/>
              <w:jc w:val="center"/>
              <w:rPr>
                <w:sz w:val="18"/>
              </w:rPr>
            </w:pPr>
            <w:r>
              <w:rPr>
                <w:sz w:val="18"/>
              </w:rPr>
              <w:t>70</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none</w:t>
            </w:r>
          </w:p>
        </w:tc>
        <w:tc>
          <w:tcPr>
            <w:tcW w:w="2557" w:type="dxa"/>
            <w:shd w:val="clear" w:color="auto" w:fill="F9FCF9"/>
          </w:tcPr>
          <w:p>
            <w:pPr>
              <w:pStyle w:val="TableParagraph"/>
              <w:spacing w:before="19"/>
              <w:ind w:left="647" w:right="779"/>
              <w:jc w:val="center"/>
              <w:rPr>
                <w:sz w:val="18"/>
              </w:rPr>
            </w:pPr>
            <w:r>
              <w:rPr>
                <w:sz w:val="18"/>
              </w:rPr>
              <w:t>73</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15</w:t>
            </w:r>
          </w:p>
        </w:tc>
        <w:tc>
          <w:tcPr>
            <w:tcW w:w="2557" w:type="dxa"/>
            <w:shd w:val="clear" w:color="auto" w:fill="F9FCF9"/>
          </w:tcPr>
          <w:p>
            <w:pPr>
              <w:pStyle w:val="TableParagraph"/>
              <w:spacing w:before="19"/>
              <w:ind w:left="647" w:right="779"/>
              <w:jc w:val="center"/>
              <w:rPr>
                <w:sz w:val="18"/>
              </w:rPr>
            </w:pPr>
            <w:r>
              <w:rPr>
                <w:sz w:val="18"/>
              </w:rPr>
              <w:t>48</w:t>
            </w:r>
          </w:p>
        </w:tc>
      </w:tr>
      <w:tr>
        <w:trPr>
          <w:trHeight w:val="283"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15</w:t>
            </w:r>
          </w:p>
        </w:tc>
        <w:tc>
          <w:tcPr>
            <w:tcW w:w="2557" w:type="dxa"/>
            <w:shd w:val="clear" w:color="auto" w:fill="F9FCF9"/>
          </w:tcPr>
          <w:p>
            <w:pPr>
              <w:pStyle w:val="TableParagraph"/>
              <w:spacing w:before="19"/>
              <w:ind w:left="647" w:right="779"/>
              <w:jc w:val="center"/>
              <w:rPr>
                <w:sz w:val="18"/>
              </w:rPr>
            </w:pPr>
            <w:r>
              <w:rPr>
                <w:sz w:val="18"/>
              </w:rPr>
              <w:t>25</w:t>
            </w:r>
          </w:p>
        </w:tc>
      </w:tr>
      <w:tr>
        <w:trPr>
          <w:trHeight w:val="285"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36"/>
              <w:ind w:left="377"/>
              <w:jc w:val="center"/>
              <w:rPr>
                <w:sz w:val="10"/>
              </w:rPr>
            </w:pPr>
            <w:r>
              <w:rPr>
                <w:w w:val="104"/>
                <w:sz w:val="10"/>
              </w:rPr>
              <w:t>a</w:t>
            </w:r>
          </w:p>
        </w:tc>
        <w:tc>
          <w:tcPr>
            <w:tcW w:w="2557" w:type="dxa"/>
            <w:shd w:val="clear" w:color="auto" w:fill="F9FCF9"/>
          </w:tcPr>
          <w:p>
            <w:pPr>
              <w:pStyle w:val="TableParagraph"/>
              <w:spacing w:before="21"/>
              <w:ind w:left="647" w:right="779"/>
              <w:jc w:val="center"/>
              <w:rPr>
                <w:sz w:val="18"/>
              </w:rPr>
            </w:pPr>
            <w:r>
              <w:rPr>
                <w:sz w:val="18"/>
              </w:rPr>
              <w:t>12</w:t>
            </w:r>
          </w:p>
        </w:tc>
      </w:tr>
      <w:tr>
        <w:trPr>
          <w:trHeight w:val="286"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36"/>
              <w:ind w:left="377"/>
              <w:jc w:val="center"/>
              <w:rPr>
                <w:sz w:val="10"/>
              </w:rPr>
            </w:pPr>
            <w:r>
              <w:rPr>
                <w:w w:val="104"/>
                <w:sz w:val="10"/>
              </w:rPr>
              <w:t>a</w:t>
            </w:r>
          </w:p>
        </w:tc>
        <w:tc>
          <w:tcPr>
            <w:tcW w:w="2557" w:type="dxa"/>
            <w:shd w:val="clear" w:color="auto" w:fill="F9FCF9"/>
          </w:tcPr>
          <w:p>
            <w:pPr>
              <w:pStyle w:val="TableParagraph"/>
              <w:spacing w:before="21"/>
              <w:ind w:left="647" w:right="779"/>
              <w:jc w:val="center"/>
              <w:rPr>
                <w:sz w:val="18"/>
              </w:rPr>
            </w:pPr>
            <w:r>
              <w:rPr>
                <w:sz w:val="18"/>
              </w:rPr>
              <w:t>11</w:t>
            </w:r>
          </w:p>
        </w:tc>
      </w:tr>
      <w:tr>
        <w:trPr>
          <w:trHeight w:val="432"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19"/>
              <w:ind w:left="1020" w:right="643"/>
              <w:jc w:val="center"/>
              <w:rPr>
                <w:sz w:val="18"/>
              </w:rPr>
            </w:pPr>
            <w:r>
              <w:rPr>
                <w:sz w:val="18"/>
              </w:rPr>
              <w:t>94</w:t>
            </w:r>
          </w:p>
        </w:tc>
        <w:tc>
          <w:tcPr>
            <w:tcW w:w="2557" w:type="dxa"/>
            <w:shd w:val="clear" w:color="auto" w:fill="F9FCF9"/>
          </w:tcPr>
          <w:p>
            <w:pPr>
              <w:pStyle w:val="TableParagraph"/>
              <w:spacing w:before="19"/>
              <w:ind w:left="647" w:right="779"/>
              <w:jc w:val="center"/>
              <w:rPr>
                <w:sz w:val="18"/>
              </w:rPr>
            </w:pPr>
            <w:r>
              <w:rPr>
                <w:sz w:val="18"/>
              </w:rPr>
              <w:t>191</w:t>
            </w:r>
          </w:p>
        </w:tc>
      </w:tr>
      <w:tr>
        <w:trPr>
          <w:trHeight w:val="432" w:hRule="atLeast"/>
        </w:trPr>
        <w:tc>
          <w:tcPr>
            <w:tcW w:w="4325" w:type="dxa"/>
            <w:vMerge/>
            <w:tcBorders>
              <w:top w:val="nil"/>
              <w:bottom w:val="single" w:sz="4" w:space="0" w:color="000000"/>
            </w:tcBorders>
            <w:shd w:val="clear" w:color="auto" w:fill="F9FCF9"/>
          </w:tcPr>
          <w:p>
            <w:pPr>
              <w:rPr>
                <w:sz w:val="2"/>
                <w:szCs w:val="2"/>
              </w:rPr>
            </w:pPr>
          </w:p>
        </w:tc>
        <w:tc>
          <w:tcPr>
            <w:tcW w:w="3344" w:type="dxa"/>
            <w:shd w:val="clear" w:color="auto" w:fill="F9FCF9"/>
          </w:tcPr>
          <w:p>
            <w:pPr>
              <w:pStyle w:val="TableParagraph"/>
              <w:spacing w:before="5"/>
              <w:ind w:left="0"/>
              <w:rPr>
                <w:sz w:val="14"/>
              </w:rPr>
            </w:pPr>
          </w:p>
          <w:p>
            <w:pPr>
              <w:pStyle w:val="TableParagraph"/>
              <w:spacing w:before="1"/>
              <w:ind w:left="377"/>
              <w:jc w:val="center"/>
              <w:rPr>
                <w:sz w:val="18"/>
              </w:rPr>
            </w:pPr>
            <w:r>
              <w:rPr>
                <w:sz w:val="18"/>
              </w:rPr>
              <w:t>7</w:t>
            </w:r>
          </w:p>
        </w:tc>
        <w:tc>
          <w:tcPr>
            <w:tcW w:w="2557" w:type="dxa"/>
            <w:shd w:val="clear" w:color="auto" w:fill="F9FCF9"/>
          </w:tcPr>
          <w:p>
            <w:pPr>
              <w:pStyle w:val="TableParagraph"/>
              <w:spacing w:before="0"/>
              <w:ind w:left="0"/>
              <w:rPr>
                <w:sz w:val="16"/>
              </w:rPr>
            </w:pPr>
          </w:p>
        </w:tc>
      </w:tr>
      <w:tr>
        <w:trPr>
          <w:trHeight w:val="262" w:hRule="atLeast"/>
        </w:trPr>
        <w:tc>
          <w:tcPr>
            <w:tcW w:w="4325" w:type="dxa"/>
            <w:vMerge/>
            <w:tcBorders>
              <w:top w:val="nil"/>
              <w:bottom w:val="single" w:sz="4" w:space="0" w:color="000000"/>
            </w:tcBorders>
            <w:shd w:val="clear" w:color="auto" w:fill="F9FCF9"/>
          </w:tcPr>
          <w:p>
            <w:pPr>
              <w:rPr>
                <w:sz w:val="2"/>
                <w:szCs w:val="2"/>
              </w:rPr>
            </w:pPr>
          </w:p>
        </w:tc>
        <w:tc>
          <w:tcPr>
            <w:tcW w:w="3344" w:type="dxa"/>
            <w:tcBorders>
              <w:bottom w:val="single" w:sz="4" w:space="0" w:color="000000"/>
            </w:tcBorders>
            <w:shd w:val="clear" w:color="auto" w:fill="F9FCF9"/>
          </w:tcPr>
          <w:p>
            <w:pPr>
              <w:pStyle w:val="TableParagraph"/>
              <w:spacing w:before="19"/>
              <w:ind w:left="1020" w:right="643"/>
              <w:jc w:val="center"/>
              <w:rPr>
                <w:sz w:val="18"/>
              </w:rPr>
            </w:pPr>
            <w:r>
              <w:rPr>
                <w:sz w:val="18"/>
              </w:rPr>
              <w:t>Torp and Brown, 2005</w:t>
            </w:r>
          </w:p>
        </w:tc>
        <w:tc>
          <w:tcPr>
            <w:tcW w:w="2557" w:type="dxa"/>
            <w:tcBorders>
              <w:bottom w:val="single" w:sz="4" w:space="0" w:color="000000"/>
            </w:tcBorders>
            <w:shd w:val="clear" w:color="auto" w:fill="F9FCF9"/>
          </w:tcPr>
          <w:p>
            <w:pPr>
              <w:pStyle w:val="TableParagraph"/>
              <w:spacing w:before="19"/>
              <w:ind w:left="647" w:right="780"/>
              <w:jc w:val="center"/>
              <w:rPr>
                <w:sz w:val="18"/>
              </w:rPr>
            </w:pPr>
            <w:r>
              <w:rPr>
                <w:sz w:val="18"/>
              </w:rPr>
              <w:t>Kaarstad, 2002</w:t>
            </w:r>
          </w:p>
        </w:tc>
      </w:tr>
    </w:tbl>
    <w:p>
      <w:pPr>
        <w:spacing w:before="50"/>
        <w:ind w:left="177" w:right="0" w:firstLine="0"/>
        <w:jc w:val="left"/>
        <w:rPr>
          <w:sz w:val="16"/>
        </w:rPr>
      </w:pPr>
      <w:r>
        <w:rPr>
          <w:position w:val="5"/>
          <w:sz w:val="9"/>
        </w:rPr>
        <w:t>a </w:t>
      </w:r>
      <w:r>
        <w:rPr>
          <w:sz w:val="16"/>
        </w:rPr>
        <w:t>No further breakdown figures are available. Subset of a larger system of capital and operating costs for several processes, mostly natural gas and condensate</w:t>
      </w:r>
    </w:p>
    <w:p>
      <w:pPr>
        <w:spacing w:before="16"/>
        <w:ind w:left="177" w:right="0" w:firstLine="0"/>
        <w:jc w:val="left"/>
        <w:rPr>
          <w:sz w:val="16"/>
        </w:rPr>
      </w:pPr>
      <w:r>
        <w:rPr>
          <w:sz w:val="16"/>
        </w:rPr>
        <w:t>processing.</w:t>
      </w:r>
    </w:p>
    <w:p>
      <w:pPr>
        <w:spacing w:after="0"/>
        <w:jc w:val="left"/>
        <w:rPr>
          <w:sz w:val="16"/>
        </w:rPr>
        <w:sectPr>
          <w:pgSz w:w="12240" w:h="15840"/>
          <w:pgMar w:header="567" w:footer="0" w:top="760" w:bottom="280" w:left="580" w:right="600"/>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Heading2"/>
        <w:numPr>
          <w:ilvl w:val="2"/>
          <w:numId w:val="7"/>
        </w:numPr>
        <w:tabs>
          <w:tab w:pos="1374" w:val="left" w:leader="none"/>
        </w:tabs>
        <w:spacing w:line="240" w:lineRule="auto" w:before="63" w:after="0"/>
        <w:ind w:left="1373" w:right="0" w:hanging="821"/>
        <w:jc w:val="both"/>
        <w:rPr>
          <w:i/>
        </w:rPr>
      </w:pPr>
      <w:bookmarkStart w:name="5.9.3 Cost estimates for CO2 geological " w:id="112"/>
      <w:bookmarkEnd w:id="112"/>
      <w:r>
        <w:rPr>
          <w:b w:val="0"/>
          <w:i w:val="0"/>
        </w:rPr>
      </w:r>
      <w:bookmarkStart w:name="5.9.3 Cost estimates for CO2 geological " w:id="113"/>
      <w:bookmarkEnd w:id="113"/>
      <w:r>
        <w:rPr>
          <w:i/>
        </w:rPr>
        <w:t>Cost</w:t>
      </w:r>
      <w:r>
        <w:rPr>
          <w:i/>
        </w:rPr>
        <w:t> estimates for CO</w:t>
      </w:r>
      <w:r>
        <w:rPr>
          <w:i/>
          <w:position w:val="-6"/>
          <w:sz w:val="11"/>
        </w:rPr>
        <w:t>2 </w:t>
      </w:r>
      <w:r>
        <w:rPr>
          <w:i/>
        </w:rPr>
        <w:t>geological</w:t>
      </w:r>
      <w:r>
        <w:rPr>
          <w:i/>
          <w:spacing w:val="-7"/>
        </w:rPr>
        <w:t> </w:t>
      </w:r>
      <w:r>
        <w:rPr>
          <w:i/>
        </w:rPr>
        <w:t>storage</w:t>
      </w:r>
    </w:p>
    <w:p>
      <w:pPr>
        <w:pStyle w:val="BodyText"/>
        <w:spacing w:line="249" w:lineRule="auto" w:before="200"/>
        <w:ind w:left="553" w:right="1"/>
        <w:jc w:val="both"/>
      </w:pPr>
      <w:r>
        <w:rPr/>
        <w:t>This section reviews storage costs for options without benefits from enhanced oil or gas production. It describes the detailed cost estimates for different storage options.</w:t>
      </w:r>
    </w:p>
    <w:p>
      <w:pPr>
        <w:pStyle w:val="BodyText"/>
        <w:rPr>
          <w:sz w:val="21"/>
        </w:rPr>
      </w:pPr>
    </w:p>
    <w:p>
      <w:pPr>
        <w:pStyle w:val="ListParagraph"/>
        <w:numPr>
          <w:ilvl w:val="3"/>
          <w:numId w:val="7"/>
        </w:numPr>
        <w:tabs>
          <w:tab w:pos="1374" w:val="left" w:leader="none"/>
        </w:tabs>
        <w:spacing w:line="240" w:lineRule="auto" w:before="1" w:after="0"/>
        <w:ind w:left="1373" w:right="0" w:hanging="821"/>
        <w:jc w:val="both"/>
        <w:rPr>
          <w:i/>
          <w:sz w:val="20"/>
        </w:rPr>
      </w:pPr>
      <w:bookmarkStart w:name="5.9.4 Cost estimates for storage with en" w:id="114"/>
      <w:bookmarkEnd w:id="114"/>
      <w:r>
        <w:rPr/>
      </w:r>
      <w:bookmarkStart w:name="5.9.4 Cost estimates for storage with en" w:id="115"/>
      <w:bookmarkEnd w:id="115"/>
      <w:r>
        <w:rPr>
          <w:i/>
          <w:sz w:val="20"/>
        </w:rPr>
        <w:t>Saline</w:t>
      </w:r>
      <w:r>
        <w:rPr>
          <w:i/>
          <w:sz w:val="20"/>
        </w:rPr>
        <w:t> formations</w:t>
      </w:r>
    </w:p>
    <w:p>
      <w:pPr>
        <w:pStyle w:val="BodyText"/>
        <w:spacing w:line="249" w:lineRule="auto" w:before="10"/>
        <w:ind w:left="553"/>
        <w:jc w:val="both"/>
      </w:pPr>
      <w:r>
        <w:rPr/>
        <w:t>The comprehensive review by Allinson </w:t>
      </w:r>
      <w:r>
        <w:rPr>
          <w:i/>
        </w:rPr>
        <w:t>et al., </w:t>
      </w:r>
      <w:r>
        <w:rPr/>
        <w:t>(2003), covering storage</w:t>
      </w:r>
      <w:r>
        <w:rPr>
          <w:spacing w:val="-35"/>
        </w:rPr>
        <w:t> </w:t>
      </w:r>
      <w:r>
        <w:rPr/>
        <w:t>costs</w:t>
      </w:r>
      <w:r>
        <w:rPr>
          <w:spacing w:val="-34"/>
        </w:rPr>
        <w:t> </w:t>
      </w:r>
      <w:r>
        <w:rPr/>
        <w:t>for</w:t>
      </w:r>
      <w:r>
        <w:rPr>
          <w:spacing w:val="-34"/>
        </w:rPr>
        <w:t> </w:t>
      </w:r>
      <w:r>
        <w:rPr>
          <w:spacing w:val="2"/>
        </w:rPr>
        <w:t>morethan</w:t>
      </w:r>
      <w:r>
        <w:rPr>
          <w:spacing w:val="-35"/>
        </w:rPr>
        <w:t> </w:t>
      </w:r>
      <w:r>
        <w:rPr/>
        <w:t>50</w:t>
      </w:r>
      <w:r>
        <w:rPr>
          <w:spacing w:val="-34"/>
        </w:rPr>
        <w:t> </w:t>
      </w:r>
      <w:r>
        <w:rPr/>
        <w:t>sites</w:t>
      </w:r>
      <w:r>
        <w:rPr>
          <w:spacing w:val="-34"/>
        </w:rPr>
        <w:t> </w:t>
      </w:r>
      <w:r>
        <w:rPr/>
        <w:t>aroundAustralia,</w:t>
      </w:r>
      <w:r>
        <w:rPr>
          <w:spacing w:val="-35"/>
        </w:rPr>
        <w:t> </w:t>
      </w:r>
      <w:r>
        <w:rPr/>
        <w:t>illustrates</w:t>
      </w:r>
      <w:r>
        <w:rPr>
          <w:spacing w:val="-35"/>
        </w:rPr>
        <w:t> </w:t>
      </w:r>
      <w:r>
        <w:rPr/>
        <w:t>the variability</w:t>
      </w:r>
      <w:r>
        <w:rPr>
          <w:spacing w:val="-13"/>
        </w:rPr>
        <w:t> </w:t>
      </w:r>
      <w:r>
        <w:rPr/>
        <w:t>that</w:t>
      </w:r>
      <w:r>
        <w:rPr>
          <w:spacing w:val="-12"/>
        </w:rPr>
        <w:t> </w:t>
      </w:r>
      <w:r>
        <w:rPr/>
        <w:t>might</w:t>
      </w:r>
      <w:r>
        <w:rPr>
          <w:spacing w:val="-13"/>
        </w:rPr>
        <w:t> </w:t>
      </w:r>
      <w:r>
        <w:rPr/>
        <w:t>occur</w:t>
      </w:r>
      <w:r>
        <w:rPr>
          <w:spacing w:val="-12"/>
        </w:rPr>
        <w:t> </w:t>
      </w:r>
      <w:r>
        <w:rPr/>
        <w:t>across</w:t>
      </w:r>
      <w:r>
        <w:rPr>
          <w:spacing w:val="-12"/>
        </w:rPr>
        <w:t> </w:t>
      </w:r>
      <w:r>
        <w:rPr/>
        <w:t>a</w:t>
      </w:r>
      <w:r>
        <w:rPr>
          <w:spacing w:val="-13"/>
        </w:rPr>
        <w:t> </w:t>
      </w:r>
      <w:r>
        <w:rPr/>
        <w:t>range</w:t>
      </w:r>
      <w:r>
        <w:rPr>
          <w:spacing w:val="-12"/>
        </w:rPr>
        <w:t> </w:t>
      </w:r>
      <w:r>
        <w:rPr/>
        <w:t>of</w:t>
      </w:r>
      <w:r>
        <w:rPr>
          <w:spacing w:val="-12"/>
        </w:rPr>
        <w:t> </w:t>
      </w:r>
      <w:r>
        <w:rPr/>
        <w:t>sites</w:t>
      </w:r>
      <w:r>
        <w:rPr>
          <w:spacing w:val="-13"/>
        </w:rPr>
        <w:t> </w:t>
      </w:r>
      <w:r>
        <w:rPr/>
        <w:t>at</w:t>
      </w:r>
      <w:r>
        <w:rPr>
          <w:spacing w:val="-12"/>
        </w:rPr>
        <w:t> </w:t>
      </w:r>
      <w:r>
        <w:rPr/>
        <w:t>the</w:t>
      </w:r>
      <w:r>
        <w:rPr>
          <w:spacing w:val="-12"/>
        </w:rPr>
        <w:t> </w:t>
      </w:r>
      <w:r>
        <w:rPr/>
        <w:t>national or</w:t>
      </w:r>
      <w:r>
        <w:rPr>
          <w:spacing w:val="-22"/>
        </w:rPr>
        <w:t> </w:t>
      </w:r>
      <w:r>
        <w:rPr/>
        <w:t>regional</w:t>
      </w:r>
      <w:r>
        <w:rPr>
          <w:spacing w:val="-21"/>
        </w:rPr>
        <w:t> </w:t>
      </w:r>
      <w:r>
        <w:rPr/>
        <w:t>scale.</w:t>
      </w:r>
      <w:r>
        <w:rPr>
          <w:spacing w:val="-22"/>
        </w:rPr>
        <w:t> </w:t>
      </w:r>
      <w:r>
        <w:rPr/>
        <w:t>Onshore</w:t>
      </w:r>
      <w:r>
        <w:rPr>
          <w:spacing w:val="-21"/>
        </w:rPr>
        <w:t> </w:t>
      </w:r>
      <w:r>
        <w:rPr/>
        <w:t>costs</w:t>
      </w:r>
      <w:r>
        <w:rPr>
          <w:spacing w:val="-22"/>
        </w:rPr>
        <w:t> </w:t>
      </w:r>
      <w:r>
        <w:rPr/>
        <w:t>for</w:t>
      </w:r>
      <w:r>
        <w:rPr>
          <w:spacing w:val="-21"/>
        </w:rPr>
        <w:t> </w:t>
      </w:r>
      <w:r>
        <w:rPr/>
        <w:t>20</w:t>
      </w:r>
      <w:r>
        <w:rPr>
          <w:spacing w:val="-21"/>
        </w:rPr>
        <w:t> </w:t>
      </w:r>
      <w:r>
        <w:rPr/>
        <w:t>sites</w:t>
      </w:r>
      <w:r>
        <w:rPr>
          <w:spacing w:val="-22"/>
        </w:rPr>
        <w:t> </w:t>
      </w:r>
      <w:r>
        <w:rPr/>
        <w:t>have</w:t>
      </w:r>
      <w:r>
        <w:rPr>
          <w:spacing w:val="-22"/>
        </w:rPr>
        <w:t> </w:t>
      </w:r>
      <w:r>
        <w:rPr/>
        <w:t>a</w:t>
      </w:r>
      <w:r>
        <w:rPr>
          <w:spacing w:val="-21"/>
        </w:rPr>
        <w:t> </w:t>
      </w:r>
      <w:r>
        <w:rPr/>
        <w:t>median</w:t>
      </w:r>
      <w:r>
        <w:rPr>
          <w:spacing w:val="-21"/>
        </w:rPr>
        <w:t> </w:t>
      </w:r>
      <w:r>
        <w:rPr/>
        <w:t>cost</w:t>
      </w:r>
      <w:r>
        <w:rPr>
          <w:spacing w:val="-21"/>
        </w:rPr>
        <w:t> </w:t>
      </w:r>
      <w:r>
        <w:rPr/>
        <w:t>of</w:t>
      </w:r>
    </w:p>
    <w:p>
      <w:pPr>
        <w:pStyle w:val="BodyText"/>
        <w:spacing w:line="206" w:lineRule="auto" w:before="22"/>
        <w:ind w:left="553" w:right="1"/>
        <w:jc w:val="both"/>
      </w:pPr>
      <w:r>
        <w:rPr/>
        <w:t>0.5 US$/tCO</w:t>
      </w:r>
      <w:r>
        <w:rPr>
          <w:position w:val="-6"/>
          <w:sz w:val="11"/>
        </w:rPr>
        <w:t>2 </w:t>
      </w:r>
      <w:r>
        <w:rPr/>
        <w:t>stored, with a range of 0.2–5.1 US$/tCO</w:t>
      </w:r>
      <w:r>
        <w:rPr>
          <w:position w:val="-6"/>
          <w:sz w:val="11"/>
        </w:rPr>
        <w:t>2 </w:t>
      </w:r>
      <w:r>
        <w:rPr/>
        <w:t>stored. The</w:t>
      </w:r>
      <w:r>
        <w:rPr>
          <w:spacing w:val="-24"/>
        </w:rPr>
        <w:t> </w:t>
      </w:r>
      <w:r>
        <w:rPr/>
        <w:t>37</w:t>
      </w:r>
      <w:r>
        <w:rPr>
          <w:spacing w:val="-23"/>
        </w:rPr>
        <w:t> </w:t>
      </w:r>
      <w:r>
        <w:rPr/>
        <w:t>offshore</w:t>
      </w:r>
      <w:r>
        <w:rPr>
          <w:spacing w:val="-24"/>
        </w:rPr>
        <w:t> </w:t>
      </w:r>
      <w:r>
        <w:rPr/>
        <w:t>sites</w:t>
      </w:r>
      <w:r>
        <w:rPr>
          <w:spacing w:val="-23"/>
        </w:rPr>
        <w:t> </w:t>
      </w:r>
      <w:r>
        <w:rPr/>
        <w:t>have</w:t>
      </w:r>
      <w:r>
        <w:rPr>
          <w:spacing w:val="-23"/>
        </w:rPr>
        <w:t> </w:t>
      </w:r>
      <w:r>
        <w:rPr/>
        <w:t>a</w:t>
      </w:r>
      <w:r>
        <w:rPr>
          <w:spacing w:val="-24"/>
        </w:rPr>
        <w:t> </w:t>
      </w:r>
      <w:r>
        <w:rPr/>
        <w:t>median</w:t>
      </w:r>
      <w:r>
        <w:rPr>
          <w:spacing w:val="-23"/>
        </w:rPr>
        <w:t> </w:t>
      </w:r>
      <w:r>
        <w:rPr/>
        <w:t>value</w:t>
      </w:r>
      <w:r>
        <w:rPr>
          <w:spacing w:val="-24"/>
        </w:rPr>
        <w:t> </w:t>
      </w:r>
      <w:r>
        <w:rPr/>
        <w:t>of</w:t>
      </w:r>
      <w:r>
        <w:rPr>
          <w:spacing w:val="-23"/>
        </w:rPr>
        <w:t> </w:t>
      </w:r>
      <w:r>
        <w:rPr/>
        <w:t>3.4</w:t>
      </w:r>
      <w:r>
        <w:rPr>
          <w:spacing w:val="-23"/>
        </w:rPr>
        <w:t> </w:t>
      </w:r>
      <w:r>
        <w:rPr/>
        <w:t>US$/tCO</w:t>
      </w:r>
      <w:r>
        <w:rPr>
          <w:position w:val="-6"/>
          <w:sz w:val="11"/>
        </w:rPr>
        <w:t>2</w:t>
      </w:r>
      <w:r>
        <w:rPr>
          <w:spacing w:val="-1"/>
          <w:position w:val="-6"/>
          <w:sz w:val="11"/>
        </w:rPr>
        <w:t> </w:t>
      </w:r>
      <w:r>
        <w:rPr/>
        <w:t>stored and a range of 0.5–30.2 US$/tCO</w:t>
      </w:r>
      <w:r>
        <w:rPr>
          <w:position w:val="-6"/>
          <w:sz w:val="11"/>
        </w:rPr>
        <w:t>2 </w:t>
      </w:r>
      <w:r>
        <w:rPr/>
        <w:t>stored. This work includes sensitivity</w:t>
      </w:r>
      <w:r>
        <w:rPr>
          <w:spacing w:val="11"/>
        </w:rPr>
        <w:t> </w:t>
      </w:r>
      <w:r>
        <w:rPr/>
        <w:t>studies</w:t>
      </w:r>
      <w:r>
        <w:rPr>
          <w:spacing w:val="13"/>
        </w:rPr>
        <w:t> </w:t>
      </w:r>
      <w:r>
        <w:rPr/>
        <w:t>that</w:t>
      </w:r>
      <w:r>
        <w:rPr>
          <w:spacing w:val="12"/>
        </w:rPr>
        <w:t> </w:t>
      </w:r>
      <w:r>
        <w:rPr/>
        <w:t>use</w:t>
      </w:r>
      <w:r>
        <w:rPr>
          <w:spacing w:val="13"/>
        </w:rPr>
        <w:t> </w:t>
      </w:r>
      <w:r>
        <w:rPr/>
        <w:t>Monte</w:t>
      </w:r>
      <w:r>
        <w:rPr>
          <w:spacing w:val="12"/>
        </w:rPr>
        <w:t> </w:t>
      </w:r>
      <w:r>
        <w:rPr/>
        <w:t>Carlo</w:t>
      </w:r>
      <w:r>
        <w:rPr>
          <w:spacing w:val="13"/>
        </w:rPr>
        <w:t> </w:t>
      </w:r>
      <w:r>
        <w:rPr/>
        <w:t>analyses</w:t>
      </w:r>
      <w:r>
        <w:rPr>
          <w:spacing w:val="12"/>
        </w:rPr>
        <w:t> </w:t>
      </w:r>
      <w:r>
        <w:rPr/>
        <w:t>of</w:t>
      </w:r>
      <w:r>
        <w:rPr>
          <w:spacing w:val="13"/>
        </w:rPr>
        <w:t> </w:t>
      </w:r>
      <w:r>
        <w:rPr/>
        <w:t>estimated</w:t>
      </w:r>
    </w:p>
    <w:p>
      <w:pPr>
        <w:pStyle w:val="BodyText"/>
        <w:spacing w:line="249" w:lineRule="auto"/>
        <w:ind w:left="553"/>
        <w:jc w:val="both"/>
      </w:pPr>
      <w:r>
        <w:rPr/>
        <w:t>costs to changes in input parameters. The main determinants </w:t>
      </w:r>
      <w:r>
        <w:rPr>
          <w:spacing w:val="-8"/>
        </w:rPr>
        <w:t>of </w:t>
      </w:r>
      <w:r>
        <w:rPr/>
        <w:t>storage costs are reservoir and injection characteristics such as permeability,</w:t>
      </w:r>
      <w:r>
        <w:rPr>
          <w:spacing w:val="-11"/>
        </w:rPr>
        <w:t> </w:t>
      </w:r>
      <w:r>
        <w:rPr/>
        <w:t>thickness</w:t>
      </w:r>
      <w:r>
        <w:rPr>
          <w:spacing w:val="-11"/>
        </w:rPr>
        <w:t> </w:t>
      </w:r>
      <w:r>
        <w:rPr/>
        <w:t>and</w:t>
      </w:r>
      <w:r>
        <w:rPr>
          <w:spacing w:val="-11"/>
        </w:rPr>
        <w:t> </w:t>
      </w:r>
      <w:r>
        <w:rPr/>
        <w:t>reservoir</w:t>
      </w:r>
      <w:r>
        <w:rPr>
          <w:spacing w:val="-11"/>
        </w:rPr>
        <w:t> </w:t>
      </w:r>
      <w:r>
        <w:rPr/>
        <w:t>depth,</w:t>
      </w:r>
      <w:r>
        <w:rPr>
          <w:spacing w:val="-11"/>
        </w:rPr>
        <w:t> </w:t>
      </w:r>
      <w:r>
        <w:rPr/>
        <w:t>that</w:t>
      </w:r>
      <w:r>
        <w:rPr>
          <w:spacing w:val="-11"/>
        </w:rPr>
        <w:t> </w:t>
      </w:r>
      <w:r>
        <w:rPr/>
        <w:t>affect</w:t>
      </w:r>
      <w:r>
        <w:rPr>
          <w:spacing w:val="-11"/>
        </w:rPr>
        <w:t> </w:t>
      </w:r>
      <w:r>
        <w:rPr/>
        <w:t>injection rate and well costs rather than option type (such as saline formation or depleted</w:t>
      </w:r>
      <w:r>
        <w:rPr>
          <w:spacing w:val="-1"/>
        </w:rPr>
        <w:t> </w:t>
      </w:r>
      <w:r>
        <w:rPr/>
        <w:t>field).</w:t>
      </w:r>
    </w:p>
    <w:p>
      <w:pPr>
        <w:pStyle w:val="BodyText"/>
        <w:spacing w:line="249" w:lineRule="auto" w:before="2"/>
        <w:ind w:left="553" w:firstLine="283"/>
        <w:jc w:val="both"/>
      </w:pPr>
      <w:r>
        <w:rPr/>
        <w:t>Bock </w:t>
      </w:r>
      <w:r>
        <w:rPr>
          <w:i/>
        </w:rPr>
        <w:t>et al. </w:t>
      </w:r>
      <w:r>
        <w:rPr/>
        <w:t>(2003) have made detailed cost estimates on </w:t>
      </w:r>
      <w:r>
        <w:rPr>
          <w:spacing w:val="-12"/>
        </w:rPr>
        <w:t>a </w:t>
      </w:r>
      <w:r>
        <w:rPr/>
        <w:t>series of cases for storage in onshore saline formations in the United States. Their assumptions on geological characteristics are based on a statistical review of more than 20 different formations. These formations represent wide ranges in </w:t>
      </w:r>
      <w:r>
        <w:rPr>
          <w:spacing w:val="-3"/>
        </w:rPr>
        <w:t>depth </w:t>
      </w:r>
      <w:r>
        <w:rPr/>
        <w:t>(700–1800 m), thickness, permeability, injection rate and </w:t>
      </w:r>
      <w:r>
        <w:rPr>
          <w:spacing w:val="-4"/>
        </w:rPr>
        <w:t>well </w:t>
      </w:r>
      <w:r>
        <w:rPr/>
        <w:t>numbers. The base-case estimate for average </w:t>
      </w:r>
      <w:r>
        <w:rPr>
          <w:spacing w:val="-2"/>
        </w:rPr>
        <w:t>characteristics </w:t>
      </w:r>
      <w:r>
        <w:rPr/>
        <w:t>has a storage cost of 0.5 US$/tCO</w:t>
      </w:r>
      <w:r>
        <w:rPr>
          <w:position w:val="-6"/>
          <w:sz w:val="11"/>
        </w:rPr>
        <w:t>2  </w:t>
      </w:r>
      <w:r>
        <w:rPr/>
        <w:t>stored. High- and </w:t>
      </w:r>
      <w:r>
        <w:rPr>
          <w:spacing w:val="6"/>
        </w:rPr>
        <w:t> </w:t>
      </w:r>
      <w:r>
        <w:rPr/>
        <w:t>low-cost</w:t>
      </w:r>
    </w:p>
    <w:p>
      <w:pPr>
        <w:pStyle w:val="BodyText"/>
        <w:spacing w:line="186" w:lineRule="exact"/>
        <w:ind w:left="553"/>
        <w:jc w:val="both"/>
      </w:pPr>
      <w:r>
        <w:rPr/>
        <w:t>cases</w:t>
      </w:r>
      <w:r>
        <w:rPr>
          <w:spacing w:val="8"/>
        </w:rPr>
        <w:t> </w:t>
      </w:r>
      <w:r>
        <w:rPr/>
        <w:t>representing</w:t>
      </w:r>
      <w:r>
        <w:rPr>
          <w:spacing w:val="9"/>
        </w:rPr>
        <w:t> </w:t>
      </w:r>
      <w:r>
        <w:rPr/>
        <w:t>a</w:t>
      </w:r>
      <w:r>
        <w:rPr>
          <w:spacing w:val="9"/>
        </w:rPr>
        <w:t> </w:t>
      </w:r>
      <w:r>
        <w:rPr/>
        <w:t>range</w:t>
      </w:r>
      <w:r>
        <w:rPr>
          <w:spacing w:val="9"/>
        </w:rPr>
        <w:t> </w:t>
      </w:r>
      <w:r>
        <w:rPr/>
        <w:t>of</w:t>
      </w:r>
      <w:r>
        <w:rPr>
          <w:spacing w:val="9"/>
        </w:rPr>
        <w:t> </w:t>
      </w:r>
      <w:r>
        <w:rPr/>
        <w:t>formations</w:t>
      </w:r>
      <w:r>
        <w:rPr>
          <w:spacing w:val="9"/>
        </w:rPr>
        <w:t> </w:t>
      </w:r>
      <w:r>
        <w:rPr/>
        <w:t>and</w:t>
      </w:r>
      <w:r>
        <w:rPr>
          <w:spacing w:val="9"/>
        </w:rPr>
        <w:t> </w:t>
      </w:r>
      <w:r>
        <w:rPr/>
        <w:t>input</w:t>
      </w:r>
      <w:r>
        <w:rPr>
          <w:spacing w:val="9"/>
        </w:rPr>
        <w:t> </w:t>
      </w:r>
      <w:r>
        <w:rPr/>
        <w:t>parameters</w:t>
      </w:r>
    </w:p>
    <w:p>
      <w:pPr>
        <w:pStyle w:val="BodyText"/>
        <w:spacing w:line="206" w:lineRule="auto" w:before="29"/>
        <w:ind w:left="553" w:right="1"/>
        <w:jc w:val="both"/>
      </w:pPr>
      <w:r>
        <w:rPr/>
        <w:t>are 0.4–4.5 US$/tCO</w:t>
      </w:r>
      <w:r>
        <w:rPr>
          <w:position w:val="-6"/>
          <w:sz w:val="11"/>
        </w:rPr>
        <w:t>2 </w:t>
      </w:r>
      <w:r>
        <w:rPr/>
        <w:t>stored. This illustrates the variability resulting from input parameters.</w:t>
      </w:r>
    </w:p>
    <w:p>
      <w:pPr>
        <w:pStyle w:val="BodyText"/>
        <w:spacing w:line="249" w:lineRule="auto" w:before="15"/>
        <w:ind w:left="553" w:right="1" w:firstLine="283"/>
        <w:jc w:val="both"/>
      </w:pPr>
      <w:r>
        <w:rPr/>
        <w:t>Onshore storage costs for saline formations in Europe for depths of 1000–3000 m are 1.9–6.2 US$/tCO</w:t>
      </w:r>
      <w:r>
        <w:rPr>
          <w:position w:val="-6"/>
          <w:sz w:val="11"/>
        </w:rPr>
        <w:t>2</w:t>
      </w:r>
      <w:r>
        <w:rPr/>
        <w:t>, with a most</w:t>
      </w:r>
    </w:p>
    <w:p>
      <w:pPr>
        <w:pStyle w:val="BodyText"/>
        <w:spacing w:line="240" w:lineRule="exact" w:before="58"/>
        <w:ind w:left="242" w:right="133"/>
        <w:jc w:val="both"/>
      </w:pPr>
      <w:r>
        <w:rPr/>
        <w:br w:type="column"/>
      </w:r>
      <w:r>
        <w:rPr/>
        <w:t>and gas fields at the same depths have storage costs of 3.8–8.1 US$/tCO</w:t>
      </w:r>
      <w:r>
        <w:rPr>
          <w:position w:val="-6"/>
          <w:sz w:val="11"/>
        </w:rPr>
        <w:t>2 </w:t>
      </w:r>
      <w:r>
        <w:rPr/>
        <w:t>stored (most likely value is 6.0 US$/tCO</w:t>
      </w:r>
      <w:r>
        <w:rPr>
          <w:position w:val="-6"/>
          <w:sz w:val="11"/>
        </w:rPr>
        <w:t>2 </w:t>
      </w:r>
      <w:r>
        <w:rPr/>
        <w:t>stored). The costs depend on the depth of the reservoir and reuse of platforms.</w:t>
      </w:r>
      <w:r>
        <w:rPr>
          <w:spacing w:val="-9"/>
        </w:rPr>
        <w:t> </w:t>
      </w:r>
      <w:r>
        <w:rPr/>
        <w:t>Disused</w:t>
      </w:r>
      <w:r>
        <w:rPr>
          <w:spacing w:val="-8"/>
        </w:rPr>
        <w:t> </w:t>
      </w:r>
      <w:r>
        <w:rPr/>
        <w:t>fields</w:t>
      </w:r>
      <w:r>
        <w:rPr>
          <w:spacing w:val="-9"/>
        </w:rPr>
        <w:t> </w:t>
      </w:r>
      <w:r>
        <w:rPr/>
        <w:t>may</w:t>
      </w:r>
      <w:r>
        <w:rPr>
          <w:spacing w:val="-8"/>
        </w:rPr>
        <w:t> </w:t>
      </w:r>
      <w:r>
        <w:rPr/>
        <w:t>benefit</w:t>
      </w:r>
      <w:r>
        <w:rPr>
          <w:spacing w:val="-9"/>
        </w:rPr>
        <w:t> </w:t>
      </w:r>
      <w:r>
        <w:rPr/>
        <w:t>from</w:t>
      </w:r>
      <w:r>
        <w:rPr>
          <w:spacing w:val="-8"/>
        </w:rPr>
        <w:t> </w:t>
      </w:r>
      <w:r>
        <w:rPr/>
        <w:t>reduced</w:t>
      </w:r>
      <w:r>
        <w:rPr>
          <w:spacing w:val="-8"/>
        </w:rPr>
        <w:t> </w:t>
      </w:r>
      <w:r>
        <w:rPr/>
        <w:t>exploration and monitoring costs.</w:t>
      </w:r>
    </w:p>
    <w:p>
      <w:pPr>
        <w:pStyle w:val="BodyText"/>
        <w:spacing w:before="3"/>
        <w:rPr>
          <w:sz w:val="21"/>
        </w:rPr>
      </w:pPr>
    </w:p>
    <w:p>
      <w:pPr>
        <w:pStyle w:val="ListParagraph"/>
        <w:numPr>
          <w:ilvl w:val="3"/>
          <w:numId w:val="27"/>
        </w:numPr>
        <w:tabs>
          <w:tab w:pos="1063" w:val="left" w:leader="none"/>
        </w:tabs>
        <w:spacing w:line="240" w:lineRule="auto" w:before="1" w:after="0"/>
        <w:ind w:left="1062" w:right="0" w:hanging="821"/>
        <w:jc w:val="both"/>
        <w:rPr>
          <w:i/>
          <w:sz w:val="20"/>
        </w:rPr>
      </w:pPr>
      <w:r>
        <w:rPr>
          <w:i/>
          <w:sz w:val="20"/>
        </w:rPr>
        <w:t>Representative storage</w:t>
      </w:r>
      <w:r>
        <w:rPr>
          <w:i/>
          <w:spacing w:val="-2"/>
          <w:sz w:val="20"/>
        </w:rPr>
        <w:t> </w:t>
      </w:r>
      <w:r>
        <w:rPr>
          <w:i/>
          <w:sz w:val="20"/>
        </w:rPr>
        <w:t>costs</w:t>
      </w:r>
    </w:p>
    <w:p>
      <w:pPr>
        <w:pStyle w:val="BodyText"/>
        <w:spacing w:line="240" w:lineRule="exact" w:before="4"/>
        <w:ind w:left="242" w:right="133"/>
        <w:jc w:val="both"/>
      </w:pPr>
      <w:r>
        <w:rPr/>
        <w:t>The different studies for saline formations and disused oil and gas fields show a very wide range of costs, 0.2–30.0 US$/tCO</w:t>
      </w:r>
      <w:r>
        <w:rPr>
          <w:position w:val="-6"/>
          <w:sz w:val="11"/>
        </w:rPr>
        <w:t>2 </w:t>
      </w:r>
      <w:r>
        <w:rPr/>
        <w:t>stored, because of the site-specific nature of the costs. This reflects the wide range of geological parameters that occur in any region or country. In effect, there will be multiple sites in any geographic area with a cost curve, providing increasing storage capacity with increasing cost.</w:t>
      </w:r>
    </w:p>
    <w:p>
      <w:pPr>
        <w:pStyle w:val="BodyText"/>
        <w:spacing w:line="240" w:lineRule="exact"/>
        <w:ind w:left="242" w:right="134" w:firstLine="283"/>
        <w:jc w:val="both"/>
      </w:pPr>
      <w:r>
        <w:rPr/>
        <w:t>The</w:t>
      </w:r>
      <w:r>
        <w:rPr>
          <w:spacing w:val="-13"/>
        </w:rPr>
        <w:t> </w:t>
      </w:r>
      <w:r>
        <w:rPr/>
        <w:t>extensive</w:t>
      </w:r>
      <w:r>
        <w:rPr>
          <w:spacing w:val="-22"/>
        </w:rPr>
        <w:t> </w:t>
      </w:r>
      <w:r>
        <w:rPr/>
        <w:t>Australian</w:t>
      </w:r>
      <w:r>
        <w:rPr>
          <w:spacing w:val="-12"/>
        </w:rPr>
        <w:t> </w:t>
      </w:r>
      <w:r>
        <w:rPr/>
        <w:t>data</w:t>
      </w:r>
      <w:r>
        <w:rPr>
          <w:spacing w:val="-12"/>
        </w:rPr>
        <w:t> </w:t>
      </w:r>
      <w:r>
        <w:rPr/>
        <w:t>set</w:t>
      </w:r>
      <w:r>
        <w:rPr>
          <w:spacing w:val="-12"/>
        </w:rPr>
        <w:t> </w:t>
      </w:r>
      <w:r>
        <w:rPr/>
        <w:t>indicates</w:t>
      </w:r>
      <w:r>
        <w:rPr>
          <w:spacing w:val="-12"/>
        </w:rPr>
        <w:t> </w:t>
      </w:r>
      <w:r>
        <w:rPr/>
        <w:t>that</w:t>
      </w:r>
      <w:r>
        <w:rPr>
          <w:spacing w:val="-12"/>
        </w:rPr>
        <w:t> </w:t>
      </w:r>
      <w:r>
        <w:rPr/>
        <w:t>storage</w:t>
      </w:r>
      <w:r>
        <w:rPr>
          <w:spacing w:val="-12"/>
        </w:rPr>
        <w:t> </w:t>
      </w:r>
      <w:r>
        <w:rPr/>
        <w:t>costs are less than 5.1 US$/tCO</w:t>
      </w:r>
      <w:r>
        <w:rPr>
          <w:position w:val="-6"/>
          <w:sz w:val="11"/>
        </w:rPr>
        <w:t>2 </w:t>
      </w:r>
      <w:r>
        <w:rPr/>
        <w:t>stored for all the onshore sites and more than half the offshore sites. Studies for USA and Europe also</w:t>
      </w:r>
      <w:r>
        <w:rPr>
          <w:spacing w:val="-9"/>
        </w:rPr>
        <w:t> </w:t>
      </w:r>
      <w:r>
        <w:rPr/>
        <w:t>show</w:t>
      </w:r>
      <w:r>
        <w:rPr>
          <w:spacing w:val="-8"/>
        </w:rPr>
        <w:t> </w:t>
      </w:r>
      <w:r>
        <w:rPr/>
        <w:t>that</w:t>
      </w:r>
      <w:r>
        <w:rPr>
          <w:spacing w:val="-8"/>
        </w:rPr>
        <w:t> </w:t>
      </w:r>
      <w:r>
        <w:rPr/>
        <w:t>storage</w:t>
      </w:r>
      <w:r>
        <w:rPr>
          <w:spacing w:val="-8"/>
        </w:rPr>
        <w:t> </w:t>
      </w:r>
      <w:r>
        <w:rPr/>
        <w:t>costs</w:t>
      </w:r>
      <w:r>
        <w:rPr>
          <w:spacing w:val="-9"/>
        </w:rPr>
        <w:t> </w:t>
      </w:r>
      <w:r>
        <w:rPr/>
        <w:t>are</w:t>
      </w:r>
      <w:r>
        <w:rPr>
          <w:spacing w:val="-8"/>
        </w:rPr>
        <w:t> </w:t>
      </w:r>
      <w:r>
        <w:rPr/>
        <w:t>generally</w:t>
      </w:r>
      <w:r>
        <w:rPr>
          <w:spacing w:val="-8"/>
        </w:rPr>
        <w:t> </w:t>
      </w:r>
      <w:r>
        <w:rPr/>
        <w:t>less</w:t>
      </w:r>
      <w:r>
        <w:rPr>
          <w:spacing w:val="-8"/>
        </w:rPr>
        <w:t> </w:t>
      </w:r>
      <w:r>
        <w:rPr/>
        <w:t>than</w:t>
      </w:r>
      <w:r>
        <w:rPr>
          <w:spacing w:val="-8"/>
        </w:rPr>
        <w:t> </w:t>
      </w:r>
      <w:r>
        <w:rPr/>
        <w:t>8</w:t>
      </w:r>
      <w:r>
        <w:rPr>
          <w:spacing w:val="-9"/>
        </w:rPr>
        <w:t> </w:t>
      </w:r>
      <w:r>
        <w:rPr/>
        <w:t>US$/tCO</w:t>
      </w:r>
      <w:r>
        <w:rPr>
          <w:position w:val="-6"/>
          <w:sz w:val="11"/>
        </w:rPr>
        <w:t>2</w:t>
      </w:r>
      <w:r>
        <w:rPr/>
        <w:t>, except for high-cost cases for offshore sites in Europe </w:t>
      </w:r>
      <w:r>
        <w:rPr>
          <w:spacing w:val="-4"/>
        </w:rPr>
        <w:t>and </w:t>
      </w:r>
      <w:r>
        <w:rPr/>
        <w:t>depleted</w:t>
      </w:r>
      <w:r>
        <w:rPr>
          <w:spacing w:val="-7"/>
        </w:rPr>
        <w:t> </w:t>
      </w:r>
      <w:r>
        <w:rPr/>
        <w:t>gas</w:t>
      </w:r>
      <w:r>
        <w:rPr>
          <w:spacing w:val="-7"/>
        </w:rPr>
        <w:t> </w:t>
      </w:r>
      <w:r>
        <w:rPr/>
        <w:t>fields</w:t>
      </w:r>
      <w:r>
        <w:rPr>
          <w:spacing w:val="-8"/>
        </w:rPr>
        <w:t> </w:t>
      </w:r>
      <w:r>
        <w:rPr/>
        <w:t>in</w:t>
      </w:r>
      <w:r>
        <w:rPr>
          <w:spacing w:val="-7"/>
        </w:rPr>
        <w:t> </w:t>
      </w:r>
      <w:r>
        <w:rPr/>
        <w:t>the</w:t>
      </w:r>
      <w:r>
        <w:rPr>
          <w:spacing w:val="-6"/>
        </w:rPr>
        <w:t> </w:t>
      </w:r>
      <w:r>
        <w:rPr/>
        <w:t>United</w:t>
      </w:r>
      <w:r>
        <w:rPr>
          <w:spacing w:val="-8"/>
        </w:rPr>
        <w:t> </w:t>
      </w:r>
      <w:r>
        <w:rPr/>
        <w:t>States.</w:t>
      </w:r>
      <w:r>
        <w:rPr>
          <w:spacing w:val="-18"/>
        </w:rPr>
        <w:t> </w:t>
      </w:r>
      <w:r>
        <w:rPr/>
        <w:t>A</w:t>
      </w:r>
      <w:r>
        <w:rPr>
          <w:spacing w:val="-17"/>
        </w:rPr>
        <w:t> </w:t>
      </w:r>
      <w:r>
        <w:rPr/>
        <w:t>recent</w:t>
      </w:r>
      <w:r>
        <w:rPr>
          <w:spacing w:val="-7"/>
        </w:rPr>
        <w:t> </w:t>
      </w:r>
      <w:r>
        <w:rPr/>
        <w:t>study</w:t>
      </w:r>
      <w:r>
        <w:rPr>
          <w:spacing w:val="-8"/>
        </w:rPr>
        <w:t> </w:t>
      </w:r>
      <w:r>
        <w:rPr/>
        <w:t>suggests that 90% of European storage capacity could be used for costs less that 2 US$/tCO</w:t>
      </w:r>
      <w:r>
        <w:rPr>
          <w:position w:val="-6"/>
          <w:sz w:val="11"/>
        </w:rPr>
        <w:t>2 </w:t>
      </w:r>
      <w:r>
        <w:rPr/>
        <w:t>(Wildenborg </w:t>
      </w:r>
      <w:r>
        <w:rPr>
          <w:i/>
        </w:rPr>
        <w:t>et al.</w:t>
      </w:r>
      <w:r>
        <w:rPr/>
        <w:t>,</w:t>
      </w:r>
      <w:r>
        <w:rPr>
          <w:spacing w:val="-10"/>
        </w:rPr>
        <w:t> </w:t>
      </w:r>
      <w:r>
        <w:rPr/>
        <w:t>2005b).</w:t>
      </w:r>
    </w:p>
    <w:p>
      <w:pPr>
        <w:pStyle w:val="BodyText"/>
        <w:spacing w:line="240" w:lineRule="exact"/>
        <w:ind w:left="242" w:right="133" w:firstLine="283"/>
        <w:jc w:val="both"/>
      </w:pPr>
      <w:r>
        <w:rPr/>
        <w:t>Assessment of these cost estimates indicates that there is significant potential for storage at costs in the range of 0.5–8 US$/tCO</w:t>
      </w:r>
      <w:r>
        <w:rPr>
          <w:position w:val="-6"/>
          <w:sz w:val="11"/>
        </w:rPr>
        <w:t>2 </w:t>
      </w:r>
      <w:r>
        <w:rPr/>
        <w:t>stored, estimates that are based on the median, base case or most likely values presented for the different studies (T</w:t>
      </w:r>
      <w:hyperlink w:history="true" w:anchor="_bookmark49">
        <w:r>
          <w:rPr/>
          <w:t>able 5.9). </w:t>
        </w:r>
      </w:hyperlink>
      <w:r>
        <w:rPr/>
        <w:t>These exclude monitoring costs, well remediation and longer term costs.</w:t>
      </w:r>
    </w:p>
    <w:p>
      <w:pPr>
        <w:pStyle w:val="BodyText"/>
        <w:spacing w:before="4"/>
        <w:rPr>
          <w:sz w:val="21"/>
        </w:rPr>
      </w:pPr>
    </w:p>
    <w:p>
      <w:pPr>
        <w:pStyle w:val="ListParagraph"/>
        <w:numPr>
          <w:ilvl w:val="3"/>
          <w:numId w:val="27"/>
        </w:numPr>
        <w:tabs>
          <w:tab w:pos="1063" w:val="left" w:leader="none"/>
        </w:tabs>
        <w:spacing w:line="240" w:lineRule="auto" w:before="0" w:after="0"/>
        <w:ind w:left="1062" w:right="0" w:hanging="821"/>
        <w:jc w:val="both"/>
        <w:rPr>
          <w:i/>
          <w:sz w:val="20"/>
        </w:rPr>
      </w:pPr>
      <w:r>
        <w:rPr>
          <w:i/>
          <w:sz w:val="20"/>
        </w:rPr>
        <w:t>Investment costs for storage</w:t>
      </w:r>
      <w:r>
        <w:rPr>
          <w:i/>
          <w:spacing w:val="-3"/>
          <w:sz w:val="20"/>
        </w:rPr>
        <w:t> </w:t>
      </w:r>
      <w:r>
        <w:rPr>
          <w:i/>
          <w:sz w:val="20"/>
        </w:rPr>
        <w:t>projects</w:t>
      </w:r>
    </w:p>
    <w:p>
      <w:pPr>
        <w:pStyle w:val="BodyText"/>
        <w:spacing w:line="249" w:lineRule="auto" w:before="10"/>
        <w:ind w:left="242" w:right="133"/>
        <w:jc w:val="both"/>
      </w:pPr>
      <w:r>
        <w:rPr/>
        <w:t>Some information is available on the capital and operating costs of industry capture and storage projects </w:t>
      </w:r>
      <w:r>
        <w:rPr>
          <w:spacing w:val="-3"/>
        </w:rPr>
        <w:t>(T</w:t>
      </w:r>
      <w:hyperlink w:history="true" w:anchor="_bookmark50">
        <w:r>
          <w:rPr>
            <w:spacing w:val="-3"/>
          </w:rPr>
          <w:t>able </w:t>
        </w:r>
        <w:r>
          <w:rPr/>
          <w:t>5.10). </w:t>
        </w:r>
      </w:hyperlink>
      <w:r>
        <w:rPr/>
        <w:t>At Sleipner,</w:t>
      </w:r>
      <w:r>
        <w:rPr>
          <w:spacing w:val="-10"/>
        </w:rPr>
        <w:t> </w:t>
      </w:r>
      <w:r>
        <w:rPr/>
        <w:t>the</w:t>
      </w:r>
      <w:r>
        <w:rPr>
          <w:spacing w:val="-10"/>
        </w:rPr>
        <w:t> </w:t>
      </w:r>
      <w:r>
        <w:rPr/>
        <w:t>incremental</w:t>
      </w:r>
      <w:r>
        <w:rPr>
          <w:spacing w:val="-9"/>
        </w:rPr>
        <w:t> </w:t>
      </w:r>
      <w:r>
        <w:rPr/>
        <w:t>capital</w:t>
      </w:r>
      <w:r>
        <w:rPr>
          <w:spacing w:val="-10"/>
        </w:rPr>
        <w:t> </w:t>
      </w:r>
      <w:r>
        <w:rPr/>
        <w:t>cost</w:t>
      </w:r>
      <w:r>
        <w:rPr>
          <w:spacing w:val="-9"/>
        </w:rPr>
        <w:t> </w:t>
      </w:r>
      <w:r>
        <w:rPr/>
        <w:t>for</w:t>
      </w:r>
      <w:r>
        <w:rPr>
          <w:spacing w:val="-10"/>
        </w:rPr>
        <w:t> </w:t>
      </w:r>
      <w:r>
        <w:rPr/>
        <w:t>the</w:t>
      </w:r>
      <w:r>
        <w:rPr>
          <w:spacing w:val="-10"/>
        </w:rPr>
        <w:t> </w:t>
      </w:r>
      <w:r>
        <w:rPr/>
        <w:t>storage</w:t>
      </w:r>
      <w:r>
        <w:rPr>
          <w:spacing w:val="-9"/>
        </w:rPr>
        <w:t> </w:t>
      </w:r>
      <w:r>
        <w:rPr/>
        <w:t>component</w:t>
      </w:r>
    </w:p>
    <w:p>
      <w:pPr>
        <w:spacing w:after="0" w:line="249" w:lineRule="auto"/>
        <w:jc w:val="both"/>
        <w:sectPr>
          <w:type w:val="continuous"/>
          <w:pgSz w:w="12240" w:h="15840"/>
          <w:pgMar w:top="400" w:bottom="280" w:left="580" w:right="600"/>
          <w:cols w:num="2" w:equalWidth="0">
            <w:col w:w="5599" w:space="40"/>
            <w:col w:w="5421"/>
          </w:cols>
        </w:sectPr>
      </w:pPr>
    </w:p>
    <w:p>
      <w:pPr>
        <w:pStyle w:val="BodyText"/>
        <w:spacing w:line="177" w:lineRule="auto"/>
        <w:ind w:left="553"/>
      </w:pPr>
      <w:r>
        <w:rPr/>
        <w:t>likely</w:t>
      </w:r>
      <w:r>
        <w:rPr>
          <w:spacing w:val="-14"/>
        </w:rPr>
        <w:t> </w:t>
      </w:r>
      <w:r>
        <w:rPr/>
        <w:t>value</w:t>
      </w:r>
      <w:r>
        <w:rPr>
          <w:spacing w:val="-14"/>
        </w:rPr>
        <w:t> </w:t>
      </w:r>
      <w:r>
        <w:rPr/>
        <w:t>of</w:t>
      </w:r>
      <w:r>
        <w:rPr>
          <w:spacing w:val="-14"/>
        </w:rPr>
        <w:t> </w:t>
      </w:r>
      <w:r>
        <w:rPr/>
        <w:t>2.8</w:t>
      </w:r>
      <w:r>
        <w:rPr>
          <w:spacing w:val="-13"/>
        </w:rPr>
        <w:t> </w:t>
      </w:r>
      <w:r>
        <w:rPr/>
        <w:t>US$/tCO</w:t>
      </w:r>
      <w:r>
        <w:rPr>
          <w:position w:val="-6"/>
          <w:sz w:val="11"/>
        </w:rPr>
        <w:t>2</w:t>
      </w:r>
      <w:r>
        <w:rPr>
          <w:spacing w:val="9"/>
          <w:position w:val="-6"/>
          <w:sz w:val="11"/>
        </w:rPr>
        <w:t> </w:t>
      </w:r>
      <w:r>
        <w:rPr/>
        <w:t>stored</w:t>
      </w:r>
      <w:r>
        <w:rPr>
          <w:spacing w:val="-14"/>
        </w:rPr>
        <w:t> </w:t>
      </w:r>
      <w:r>
        <w:rPr/>
        <w:t>(Hendriks</w:t>
      </w:r>
      <w:r>
        <w:rPr>
          <w:spacing w:val="-13"/>
        </w:rPr>
        <w:t> </w:t>
      </w:r>
      <w:r>
        <w:rPr>
          <w:i/>
        </w:rPr>
        <w:t>et</w:t>
      </w:r>
      <w:r>
        <w:rPr>
          <w:i/>
          <w:spacing w:val="-13"/>
        </w:rPr>
        <w:t> </w:t>
      </w:r>
      <w:r>
        <w:rPr>
          <w:i/>
        </w:rPr>
        <w:t>al.</w:t>
      </w:r>
      <w:r>
        <w:rPr/>
        <w:t>,</w:t>
      </w:r>
      <w:r>
        <w:rPr>
          <w:spacing w:val="-14"/>
        </w:rPr>
        <w:t> </w:t>
      </w:r>
      <w:r>
        <w:rPr/>
        <w:t>2002).</w:t>
      </w:r>
      <w:r>
        <w:rPr>
          <w:spacing w:val="-17"/>
        </w:rPr>
        <w:t> </w:t>
      </w:r>
      <w:r>
        <w:rPr/>
        <w:t>This</w:t>
      </w:r>
    </w:p>
    <w:p>
      <w:pPr>
        <w:pStyle w:val="BodyText"/>
        <w:spacing w:line="177" w:lineRule="auto"/>
        <w:ind w:left="243"/>
        <w:rPr>
          <w:sz w:val="11"/>
        </w:rPr>
      </w:pPr>
      <w:r>
        <w:rPr/>
        <w:br w:type="column"/>
      </w:r>
      <w:r>
        <w:rPr/>
        <w:t>comprising a horizontal well to inject 1 MtCO</w:t>
      </w:r>
      <w:r>
        <w:rPr>
          <w:position w:val="-6"/>
          <w:sz w:val="11"/>
        </w:rPr>
        <w:t>2</w:t>
      </w:r>
    </w:p>
    <w:p>
      <w:pPr>
        <w:spacing w:line="182" w:lineRule="exact" w:before="0"/>
        <w:ind w:left="30" w:right="0" w:firstLine="0"/>
        <w:jc w:val="left"/>
        <w:rPr>
          <w:sz w:val="20"/>
        </w:rPr>
      </w:pPr>
      <w:r>
        <w:rPr/>
        <w:br w:type="column"/>
      </w:r>
      <w:r>
        <w:rPr>
          <w:sz w:val="20"/>
        </w:rPr>
        <w:t>yr</w:t>
      </w:r>
      <w:r>
        <w:rPr>
          <w:position w:val="7"/>
          <w:sz w:val="11"/>
        </w:rPr>
        <w:t>-1 </w:t>
      </w:r>
      <w:r>
        <w:rPr>
          <w:sz w:val="20"/>
        </w:rPr>
        <w:t>was US$</w:t>
      </w:r>
    </w:p>
    <w:p>
      <w:pPr>
        <w:spacing w:after="0" w:line="182" w:lineRule="exact"/>
        <w:jc w:val="left"/>
        <w:rPr>
          <w:sz w:val="20"/>
        </w:rPr>
        <w:sectPr>
          <w:type w:val="continuous"/>
          <w:pgSz w:w="12240" w:h="15840"/>
          <w:pgMar w:top="400" w:bottom="280" w:left="580" w:right="600"/>
          <w:cols w:num="3" w:equalWidth="0">
            <w:col w:w="5597" w:space="40"/>
            <w:col w:w="4149" w:space="39"/>
            <w:col w:w="1235"/>
          </w:cols>
        </w:sectPr>
      </w:pPr>
    </w:p>
    <w:p>
      <w:pPr>
        <w:pStyle w:val="BodyText"/>
        <w:spacing w:line="201" w:lineRule="exact"/>
        <w:ind w:left="553"/>
        <w:jc w:val="both"/>
      </w:pPr>
      <w:r>
        <w:rPr/>
        <w:t>study</w:t>
      </w:r>
      <w:r>
        <w:rPr>
          <w:spacing w:val="-9"/>
        </w:rPr>
        <w:t> </w:t>
      </w:r>
      <w:r>
        <w:rPr/>
        <w:t>also</w:t>
      </w:r>
      <w:r>
        <w:rPr>
          <w:spacing w:val="-8"/>
        </w:rPr>
        <w:t> </w:t>
      </w:r>
      <w:r>
        <w:rPr/>
        <w:t>presents</w:t>
      </w:r>
      <w:r>
        <w:rPr>
          <w:spacing w:val="-9"/>
        </w:rPr>
        <w:t> </w:t>
      </w:r>
      <w:r>
        <w:rPr/>
        <w:t>estimated</w:t>
      </w:r>
      <w:r>
        <w:rPr>
          <w:spacing w:val="-8"/>
        </w:rPr>
        <w:t> </w:t>
      </w:r>
      <w:r>
        <w:rPr/>
        <w:t>costs</w:t>
      </w:r>
      <w:r>
        <w:rPr>
          <w:spacing w:val="-9"/>
        </w:rPr>
        <w:t> </w:t>
      </w:r>
      <w:r>
        <w:rPr/>
        <w:t>for</w:t>
      </w:r>
      <w:r>
        <w:rPr>
          <w:spacing w:val="-8"/>
        </w:rPr>
        <w:t> </w:t>
      </w:r>
      <w:r>
        <w:rPr/>
        <w:t>offshore</w:t>
      </w:r>
      <w:r>
        <w:rPr>
          <w:spacing w:val="-9"/>
        </w:rPr>
        <w:t> </w:t>
      </w:r>
      <w:r>
        <w:rPr/>
        <w:t>storage</w:t>
      </w:r>
      <w:r>
        <w:rPr>
          <w:spacing w:val="-8"/>
        </w:rPr>
        <w:t> </w:t>
      </w:r>
      <w:r>
        <w:rPr/>
        <w:t>over</w:t>
      </w:r>
      <w:r>
        <w:rPr>
          <w:spacing w:val="-9"/>
        </w:rPr>
        <w:t> </w:t>
      </w:r>
      <w:r>
        <w:rPr/>
        <w:t>the</w:t>
      </w:r>
    </w:p>
    <w:p>
      <w:pPr>
        <w:pStyle w:val="BodyText"/>
        <w:spacing w:line="240" w:lineRule="exact" w:before="4"/>
        <w:ind w:left="553"/>
        <w:jc w:val="both"/>
      </w:pPr>
      <w:r>
        <w:rPr/>
        <w:t>same depth range. These estimates cover reuse of existing </w:t>
      </w:r>
      <w:r>
        <w:rPr>
          <w:spacing w:val="-4"/>
        </w:rPr>
        <w:t>oil </w:t>
      </w:r>
      <w:r>
        <w:rPr/>
        <w:t>and</w:t>
      </w:r>
      <w:r>
        <w:rPr>
          <w:spacing w:val="-10"/>
        </w:rPr>
        <w:t> </w:t>
      </w:r>
      <w:r>
        <w:rPr/>
        <w:t>gas</w:t>
      </w:r>
      <w:r>
        <w:rPr>
          <w:spacing w:val="-9"/>
        </w:rPr>
        <w:t> </w:t>
      </w:r>
      <w:r>
        <w:rPr/>
        <w:t>platforms</w:t>
      </w:r>
      <w:r>
        <w:rPr>
          <w:spacing w:val="-10"/>
        </w:rPr>
        <w:t> </w:t>
      </w:r>
      <w:r>
        <w:rPr/>
        <w:t>(Hendriks</w:t>
      </w:r>
      <w:r>
        <w:rPr>
          <w:spacing w:val="-11"/>
        </w:rPr>
        <w:t> </w:t>
      </w:r>
      <w:r>
        <w:rPr>
          <w:i/>
        </w:rPr>
        <w:t>et</w:t>
      </w:r>
      <w:r>
        <w:rPr>
          <w:i/>
          <w:spacing w:val="-9"/>
        </w:rPr>
        <w:t> </w:t>
      </w:r>
      <w:r>
        <w:rPr>
          <w:i/>
        </w:rPr>
        <w:t>al.</w:t>
      </w:r>
      <w:r>
        <w:rPr/>
        <w:t>,</w:t>
      </w:r>
      <w:r>
        <w:rPr>
          <w:spacing w:val="-10"/>
        </w:rPr>
        <w:t> </w:t>
      </w:r>
      <w:r>
        <w:rPr/>
        <w:t>2002)</w:t>
      </w:r>
      <w:r>
        <w:rPr>
          <w:i/>
        </w:rPr>
        <w:t>.</w:t>
      </w:r>
      <w:r>
        <w:rPr>
          <w:i/>
          <w:spacing w:val="-13"/>
        </w:rPr>
        <w:t> </w:t>
      </w:r>
      <w:r>
        <w:rPr/>
        <w:t>The</w:t>
      </w:r>
      <w:r>
        <w:rPr>
          <w:spacing w:val="-11"/>
        </w:rPr>
        <w:t> </w:t>
      </w:r>
      <w:r>
        <w:rPr/>
        <w:t>range</w:t>
      </w:r>
      <w:r>
        <w:rPr>
          <w:spacing w:val="-10"/>
        </w:rPr>
        <w:t> </w:t>
      </w:r>
      <w:r>
        <w:rPr/>
        <w:t>is</w:t>
      </w:r>
      <w:r>
        <w:rPr>
          <w:spacing w:val="-9"/>
        </w:rPr>
        <w:t> </w:t>
      </w:r>
      <w:r>
        <w:rPr/>
        <w:t>4.7–12.0 US$/tCO</w:t>
      </w:r>
      <w:r>
        <w:rPr>
          <w:position w:val="-6"/>
          <w:sz w:val="11"/>
        </w:rPr>
        <w:t>2 </w:t>
      </w:r>
      <w:r>
        <w:rPr/>
        <w:t>stored, showing that offshore costs are higher than onshore costs.</w:t>
      </w:r>
    </w:p>
    <w:p>
      <w:pPr>
        <w:pStyle w:val="BodyText"/>
        <w:spacing w:before="4"/>
        <w:rPr>
          <w:sz w:val="21"/>
        </w:rPr>
      </w:pPr>
    </w:p>
    <w:p>
      <w:pPr>
        <w:tabs>
          <w:tab w:pos="1373" w:val="left" w:leader="none"/>
        </w:tabs>
        <w:spacing w:before="0"/>
        <w:ind w:left="553" w:right="0" w:firstLine="0"/>
        <w:jc w:val="left"/>
        <w:rPr>
          <w:i/>
          <w:sz w:val="20"/>
        </w:rPr>
      </w:pPr>
      <w:r>
        <w:rPr>
          <w:i/>
          <w:sz w:val="20"/>
        </w:rPr>
        <w:t>5.9.3.2</w:t>
        <w:tab/>
        <w:t>Disused oil and gas</w:t>
      </w:r>
      <w:r>
        <w:rPr>
          <w:i/>
          <w:spacing w:val="-3"/>
          <w:sz w:val="20"/>
        </w:rPr>
        <w:t> </w:t>
      </w:r>
      <w:r>
        <w:rPr>
          <w:i/>
          <w:sz w:val="20"/>
        </w:rPr>
        <w:t>reservoirs</w:t>
      </w:r>
    </w:p>
    <w:p>
      <w:pPr>
        <w:pStyle w:val="BodyText"/>
        <w:spacing w:line="206" w:lineRule="auto"/>
        <w:ind w:left="242" w:right="135"/>
        <w:jc w:val="both"/>
      </w:pPr>
      <w:r>
        <w:rPr/>
        <w:br w:type="column"/>
      </w:r>
      <w:r>
        <w:rPr/>
        <w:t>15 million </w:t>
      </w:r>
      <w:r>
        <w:rPr>
          <w:spacing w:val="-3"/>
        </w:rPr>
        <w:t>(Torp </w:t>
      </w:r>
      <w:r>
        <w:rPr/>
        <w:t>and Brown, 2005). Note that at Sleipner, CO</w:t>
      </w:r>
      <w:r>
        <w:rPr>
          <w:position w:val="-6"/>
          <w:sz w:val="11"/>
        </w:rPr>
        <w:t>2</w:t>
      </w:r>
      <w:r>
        <w:rPr>
          <w:sz w:val="11"/>
        </w:rPr>
        <w:t> </w:t>
      </w:r>
      <w:r>
        <w:rPr/>
        <w:t>had</w:t>
      </w:r>
      <w:r>
        <w:rPr>
          <w:spacing w:val="10"/>
        </w:rPr>
        <w:t> </w:t>
      </w:r>
      <w:r>
        <w:rPr/>
        <w:t>to</w:t>
      </w:r>
      <w:r>
        <w:rPr>
          <w:spacing w:val="11"/>
        </w:rPr>
        <w:t> </w:t>
      </w:r>
      <w:r>
        <w:rPr/>
        <w:t>be</w:t>
      </w:r>
      <w:r>
        <w:rPr>
          <w:spacing w:val="11"/>
        </w:rPr>
        <w:t> </w:t>
      </w:r>
      <w:r>
        <w:rPr/>
        <w:t>removed</w:t>
      </w:r>
      <w:r>
        <w:rPr>
          <w:spacing w:val="11"/>
        </w:rPr>
        <w:t> </w:t>
      </w:r>
      <w:r>
        <w:rPr/>
        <w:t>from</w:t>
      </w:r>
      <w:r>
        <w:rPr>
          <w:spacing w:val="10"/>
        </w:rPr>
        <w:t> </w:t>
      </w:r>
      <w:r>
        <w:rPr/>
        <w:t>the</w:t>
      </w:r>
      <w:r>
        <w:rPr>
          <w:spacing w:val="11"/>
        </w:rPr>
        <w:t> </w:t>
      </w:r>
      <w:r>
        <w:rPr/>
        <w:t>natural</w:t>
      </w:r>
      <w:r>
        <w:rPr>
          <w:spacing w:val="11"/>
        </w:rPr>
        <w:t> </w:t>
      </w:r>
      <w:r>
        <w:rPr/>
        <w:t>gas</w:t>
      </w:r>
      <w:r>
        <w:rPr>
          <w:spacing w:val="11"/>
        </w:rPr>
        <w:t> </w:t>
      </w:r>
      <w:r>
        <w:rPr/>
        <w:t>to</w:t>
      </w:r>
      <w:r>
        <w:rPr>
          <w:spacing w:val="10"/>
        </w:rPr>
        <w:t> </w:t>
      </w:r>
      <w:r>
        <w:rPr/>
        <w:t>ready</w:t>
      </w:r>
      <w:r>
        <w:rPr>
          <w:spacing w:val="11"/>
        </w:rPr>
        <w:t> </w:t>
      </w:r>
      <w:r>
        <w:rPr/>
        <w:t>it</w:t>
      </w:r>
      <w:r>
        <w:rPr>
          <w:spacing w:val="11"/>
        </w:rPr>
        <w:t> </w:t>
      </w:r>
      <w:r>
        <w:rPr/>
        <w:t>for</w:t>
      </w:r>
      <w:r>
        <w:rPr>
          <w:spacing w:val="11"/>
        </w:rPr>
        <w:t> </w:t>
      </w:r>
      <w:r>
        <w:rPr/>
        <w:t>sale</w:t>
      </w:r>
      <w:r>
        <w:rPr>
          <w:spacing w:val="11"/>
        </w:rPr>
        <w:t> </w:t>
      </w:r>
      <w:r>
        <w:rPr/>
        <w:t>on</w:t>
      </w:r>
    </w:p>
    <w:p>
      <w:pPr>
        <w:pStyle w:val="BodyText"/>
        <w:spacing w:line="225" w:lineRule="auto" w:before="13"/>
        <w:ind w:left="242" w:right="134"/>
        <w:jc w:val="both"/>
      </w:pPr>
      <w:r>
        <w:rPr/>
        <w:t>the open market. The decision to store the captured CO</w:t>
      </w:r>
      <w:r>
        <w:rPr>
          <w:position w:val="-6"/>
          <w:sz w:val="11"/>
        </w:rPr>
        <w:t>2 </w:t>
      </w:r>
      <w:r>
        <w:rPr/>
        <w:t>was  at least in part driven by a 40 US$/tCO</w:t>
      </w:r>
      <w:r>
        <w:rPr>
          <w:position w:val="-6"/>
          <w:sz w:val="11"/>
        </w:rPr>
        <w:t>2 </w:t>
      </w:r>
      <w:r>
        <w:rPr/>
        <w:t>tax on offshore CO</w:t>
      </w:r>
      <w:r>
        <w:rPr>
          <w:position w:val="-6"/>
          <w:sz w:val="11"/>
        </w:rPr>
        <w:t>2 </w:t>
      </w:r>
      <w:r>
        <w:rPr/>
        <w:t>emissions. Details of the energy penalty and levelized costs are not available. At the planned Snohvit project, the estimated capital</w:t>
      </w:r>
      <w:r>
        <w:rPr>
          <w:spacing w:val="31"/>
        </w:rPr>
        <w:t> </w:t>
      </w:r>
      <w:r>
        <w:rPr/>
        <w:t>costs</w:t>
      </w:r>
      <w:r>
        <w:rPr>
          <w:spacing w:val="31"/>
        </w:rPr>
        <w:t> </w:t>
      </w:r>
      <w:r>
        <w:rPr/>
        <w:t>for</w:t>
      </w:r>
      <w:r>
        <w:rPr>
          <w:spacing w:val="31"/>
        </w:rPr>
        <w:t> </w:t>
      </w:r>
      <w:r>
        <w:rPr/>
        <w:t>storage</w:t>
      </w:r>
      <w:r>
        <w:rPr>
          <w:spacing w:val="31"/>
        </w:rPr>
        <w:t> </w:t>
      </w:r>
      <w:r>
        <w:rPr/>
        <w:t>are</w:t>
      </w:r>
      <w:r>
        <w:rPr>
          <w:spacing w:val="32"/>
        </w:rPr>
        <w:t> </w:t>
      </w:r>
      <w:r>
        <w:rPr/>
        <w:t>US$</w:t>
      </w:r>
      <w:r>
        <w:rPr>
          <w:spacing w:val="31"/>
        </w:rPr>
        <w:t> </w:t>
      </w:r>
      <w:r>
        <w:rPr/>
        <w:t>48</w:t>
      </w:r>
      <w:r>
        <w:rPr>
          <w:spacing w:val="31"/>
        </w:rPr>
        <w:t> </w:t>
      </w:r>
      <w:r>
        <w:rPr/>
        <w:t>million</w:t>
      </w:r>
      <w:r>
        <w:rPr>
          <w:spacing w:val="31"/>
        </w:rPr>
        <w:t> </w:t>
      </w:r>
      <w:r>
        <w:rPr/>
        <w:t>for</w:t>
      </w:r>
      <w:r>
        <w:rPr>
          <w:spacing w:val="31"/>
        </w:rPr>
        <w:t> </w:t>
      </w:r>
      <w:r>
        <w:rPr/>
        <w:t>injection</w:t>
      </w:r>
      <w:r>
        <w:rPr>
          <w:spacing w:val="32"/>
        </w:rPr>
        <w:t> </w:t>
      </w:r>
      <w:r>
        <w:rPr/>
        <w:t>of</w:t>
      </w:r>
    </w:p>
    <w:p>
      <w:pPr>
        <w:spacing w:after="0" w:line="225" w:lineRule="auto"/>
        <w:jc w:val="both"/>
        <w:sectPr>
          <w:type w:val="continuous"/>
          <w:pgSz w:w="12240" w:h="15840"/>
          <w:pgMar w:top="400" w:bottom="280" w:left="580" w:right="600"/>
          <w:cols w:num="2" w:equalWidth="0">
            <w:col w:w="5598" w:space="40"/>
            <w:col w:w="5422"/>
          </w:cols>
        </w:sectPr>
      </w:pPr>
    </w:p>
    <w:p>
      <w:pPr>
        <w:pStyle w:val="BodyText"/>
        <w:spacing w:before="9"/>
        <w:ind w:left="553"/>
      </w:pPr>
      <w:r>
        <w:rPr/>
        <w:t>It</w:t>
      </w:r>
      <w:r>
        <w:rPr>
          <w:spacing w:val="-10"/>
        </w:rPr>
        <w:t> </w:t>
      </w:r>
      <w:r>
        <w:rPr/>
        <w:t>has</w:t>
      </w:r>
      <w:r>
        <w:rPr>
          <w:spacing w:val="-9"/>
        </w:rPr>
        <w:t> </w:t>
      </w:r>
      <w:r>
        <w:rPr/>
        <w:t>been</w:t>
      </w:r>
      <w:r>
        <w:rPr>
          <w:spacing w:val="-9"/>
        </w:rPr>
        <w:t> </w:t>
      </w:r>
      <w:r>
        <w:rPr/>
        <w:t>shown</w:t>
      </w:r>
      <w:r>
        <w:rPr>
          <w:spacing w:val="-9"/>
        </w:rPr>
        <w:t> </w:t>
      </w:r>
      <w:r>
        <w:rPr/>
        <w:t>that</w:t>
      </w:r>
      <w:r>
        <w:rPr>
          <w:spacing w:val="-9"/>
        </w:rPr>
        <w:t> </w:t>
      </w:r>
      <w:r>
        <w:rPr/>
        <w:t>storage</w:t>
      </w:r>
      <w:r>
        <w:rPr>
          <w:spacing w:val="-9"/>
        </w:rPr>
        <w:t> </w:t>
      </w:r>
      <w:r>
        <w:rPr/>
        <w:t>costs</w:t>
      </w:r>
      <w:r>
        <w:rPr>
          <w:spacing w:val="-10"/>
        </w:rPr>
        <w:t> </w:t>
      </w:r>
      <w:r>
        <w:rPr/>
        <w:t>in</w:t>
      </w:r>
      <w:r>
        <w:rPr>
          <w:spacing w:val="-9"/>
        </w:rPr>
        <w:t> </w:t>
      </w:r>
      <w:r>
        <w:rPr/>
        <w:t>disused</w:t>
      </w:r>
      <w:r>
        <w:rPr>
          <w:spacing w:val="-9"/>
        </w:rPr>
        <w:t> </w:t>
      </w:r>
      <w:r>
        <w:rPr/>
        <w:t>oil</w:t>
      </w:r>
      <w:r>
        <w:rPr>
          <w:spacing w:val="-9"/>
        </w:rPr>
        <w:t> </w:t>
      </w:r>
      <w:r>
        <w:rPr/>
        <w:t>and</w:t>
      </w:r>
      <w:r>
        <w:rPr>
          <w:spacing w:val="-9"/>
        </w:rPr>
        <w:t> </w:t>
      </w:r>
      <w:r>
        <w:rPr/>
        <w:t>gas</w:t>
      </w:r>
      <w:r>
        <w:rPr>
          <w:spacing w:val="-9"/>
        </w:rPr>
        <w:t> </w:t>
      </w:r>
      <w:r>
        <w:rPr/>
        <w:t>fields</w:t>
      </w:r>
    </w:p>
    <w:p>
      <w:pPr>
        <w:pStyle w:val="BodyText"/>
        <w:spacing w:line="277" w:lineRule="exact" w:before="9"/>
        <w:ind w:left="244"/>
        <w:rPr>
          <w:sz w:val="11"/>
        </w:rPr>
      </w:pPr>
      <w:r>
        <w:rPr/>
        <w:br w:type="column"/>
      </w:r>
      <w:r>
        <w:rPr/>
        <w:t>0.7 MtCO</w:t>
      </w:r>
      <w:r>
        <w:rPr>
          <w:position w:val="-6"/>
          <w:sz w:val="11"/>
        </w:rPr>
        <w:t>2</w:t>
      </w:r>
    </w:p>
    <w:p>
      <w:pPr>
        <w:pStyle w:val="BodyText"/>
        <w:spacing w:before="9"/>
        <w:ind w:left="32"/>
      </w:pPr>
      <w:r>
        <w:rPr/>
        <w:br w:type="column"/>
      </w:r>
      <w:r>
        <w:rPr/>
        <w:t>yr</w:t>
      </w:r>
      <w:r>
        <w:rPr>
          <w:position w:val="7"/>
          <w:sz w:val="11"/>
        </w:rPr>
        <w:t>-1 </w:t>
      </w:r>
      <w:r>
        <w:rPr/>
        <w:t>(Kaarstad, 2002). This data set is limited and</w:t>
      </w:r>
    </w:p>
    <w:p>
      <w:pPr>
        <w:spacing w:after="0"/>
        <w:sectPr>
          <w:type w:val="continuous"/>
          <w:pgSz w:w="12240" w:h="15840"/>
          <w:pgMar w:top="400" w:bottom="280" w:left="580" w:right="600"/>
          <w:cols w:num="3" w:equalWidth="0">
            <w:col w:w="5597" w:space="40"/>
            <w:col w:w="1136" w:space="39"/>
            <w:col w:w="4248"/>
          </w:cols>
        </w:sectPr>
      </w:pPr>
    </w:p>
    <w:p>
      <w:pPr>
        <w:pStyle w:val="BodyText"/>
        <w:spacing w:line="194" w:lineRule="exact"/>
        <w:ind w:left="553"/>
        <w:jc w:val="both"/>
      </w:pPr>
      <w:r>
        <w:rPr/>
        <w:t>in</w:t>
      </w:r>
      <w:r>
        <w:rPr>
          <w:spacing w:val="-10"/>
        </w:rPr>
        <w:t> </w:t>
      </w:r>
      <w:r>
        <w:rPr/>
        <w:t>North</w:t>
      </w:r>
      <w:r>
        <w:rPr>
          <w:spacing w:val="-20"/>
        </w:rPr>
        <w:t> </w:t>
      </w:r>
      <w:r>
        <w:rPr/>
        <w:t>America</w:t>
      </w:r>
      <w:r>
        <w:rPr>
          <w:spacing w:val="-10"/>
        </w:rPr>
        <w:t> </w:t>
      </w:r>
      <w:r>
        <w:rPr/>
        <w:t>and</w:t>
      </w:r>
      <w:r>
        <w:rPr>
          <w:spacing w:val="-9"/>
        </w:rPr>
        <w:t> </w:t>
      </w:r>
      <w:r>
        <w:rPr/>
        <w:t>Europe</w:t>
      </w:r>
      <w:r>
        <w:rPr>
          <w:spacing w:val="-10"/>
        </w:rPr>
        <w:t> </w:t>
      </w:r>
      <w:r>
        <w:rPr/>
        <w:t>are</w:t>
      </w:r>
      <w:r>
        <w:rPr>
          <w:spacing w:val="-9"/>
        </w:rPr>
        <w:t> </w:t>
      </w:r>
      <w:r>
        <w:rPr/>
        <w:t>comparable</w:t>
      </w:r>
      <w:r>
        <w:rPr>
          <w:spacing w:val="-10"/>
        </w:rPr>
        <w:t> </w:t>
      </w:r>
      <w:r>
        <w:rPr/>
        <w:t>to</w:t>
      </w:r>
      <w:r>
        <w:rPr>
          <w:spacing w:val="-10"/>
        </w:rPr>
        <w:t> </w:t>
      </w:r>
      <w:r>
        <w:rPr/>
        <w:t>those</w:t>
      </w:r>
      <w:r>
        <w:rPr>
          <w:spacing w:val="-9"/>
        </w:rPr>
        <w:t> </w:t>
      </w:r>
      <w:r>
        <w:rPr/>
        <w:t>for</w:t>
      </w:r>
      <w:r>
        <w:rPr>
          <w:spacing w:val="-10"/>
        </w:rPr>
        <w:t> </w:t>
      </w:r>
      <w:r>
        <w:rPr/>
        <w:t>saline</w:t>
      </w:r>
    </w:p>
    <w:p>
      <w:pPr>
        <w:pStyle w:val="BodyText"/>
        <w:spacing w:line="240" w:lineRule="exact" w:before="4"/>
        <w:ind w:left="553"/>
        <w:jc w:val="both"/>
      </w:pPr>
      <w:r>
        <w:rPr/>
        <w:t>formations (Hendriks </w:t>
      </w:r>
      <w:r>
        <w:rPr>
          <w:i/>
        </w:rPr>
        <w:t>et al.</w:t>
      </w:r>
      <w:r>
        <w:rPr/>
        <w:t>, 2002; Bock </w:t>
      </w:r>
      <w:r>
        <w:rPr>
          <w:i/>
        </w:rPr>
        <w:t>et al.</w:t>
      </w:r>
      <w:r>
        <w:rPr/>
        <w:t>, 2003). Bock </w:t>
      </w:r>
      <w:r>
        <w:rPr>
          <w:i/>
          <w:spacing w:val="-6"/>
        </w:rPr>
        <w:t>et </w:t>
      </w:r>
      <w:r>
        <w:rPr>
          <w:i/>
        </w:rPr>
        <w:t>al.</w:t>
      </w:r>
      <w:r>
        <w:rPr>
          <w:i/>
          <w:spacing w:val="-6"/>
        </w:rPr>
        <w:t> </w:t>
      </w:r>
      <w:r>
        <w:rPr/>
        <w:t>(2003)</w:t>
      </w:r>
      <w:r>
        <w:rPr>
          <w:spacing w:val="-6"/>
        </w:rPr>
        <w:t> </w:t>
      </w:r>
      <w:r>
        <w:rPr/>
        <w:t>present</w:t>
      </w:r>
      <w:r>
        <w:rPr>
          <w:spacing w:val="-6"/>
        </w:rPr>
        <w:t> </w:t>
      </w:r>
      <w:r>
        <w:rPr/>
        <w:t>costs</w:t>
      </w:r>
      <w:r>
        <w:rPr>
          <w:spacing w:val="-5"/>
        </w:rPr>
        <w:t> </w:t>
      </w:r>
      <w:r>
        <w:rPr/>
        <w:t>for</w:t>
      </w:r>
      <w:r>
        <w:rPr>
          <w:spacing w:val="-6"/>
        </w:rPr>
        <w:t> </w:t>
      </w:r>
      <w:r>
        <w:rPr/>
        <w:t>representative</w:t>
      </w:r>
      <w:r>
        <w:rPr>
          <w:spacing w:val="-6"/>
        </w:rPr>
        <w:t> </w:t>
      </w:r>
      <w:r>
        <w:rPr/>
        <w:t>oil</w:t>
      </w:r>
      <w:r>
        <w:rPr>
          <w:spacing w:val="-6"/>
        </w:rPr>
        <w:t> </w:t>
      </w:r>
      <w:r>
        <w:rPr/>
        <w:t>and</w:t>
      </w:r>
      <w:r>
        <w:rPr>
          <w:spacing w:val="-5"/>
        </w:rPr>
        <w:t> </w:t>
      </w:r>
      <w:r>
        <w:rPr/>
        <w:t>gas</w:t>
      </w:r>
      <w:r>
        <w:rPr>
          <w:spacing w:val="-6"/>
        </w:rPr>
        <w:t> </w:t>
      </w:r>
      <w:r>
        <w:rPr/>
        <w:t>reservoirs in</w:t>
      </w:r>
      <w:r>
        <w:rPr>
          <w:spacing w:val="-10"/>
        </w:rPr>
        <w:t> </w:t>
      </w:r>
      <w:r>
        <w:rPr/>
        <w:t>the</w:t>
      </w:r>
      <w:r>
        <w:rPr>
          <w:spacing w:val="-9"/>
        </w:rPr>
        <w:t> </w:t>
      </w:r>
      <w:r>
        <w:rPr/>
        <w:t>Permian</w:t>
      </w:r>
      <w:r>
        <w:rPr>
          <w:spacing w:val="-10"/>
        </w:rPr>
        <w:t> </w:t>
      </w:r>
      <w:r>
        <w:rPr/>
        <w:t>Basin</w:t>
      </w:r>
      <w:r>
        <w:rPr>
          <w:spacing w:val="-9"/>
        </w:rPr>
        <w:t> </w:t>
      </w:r>
      <w:r>
        <w:rPr/>
        <w:t>(west</w:t>
      </w:r>
      <w:r>
        <w:rPr>
          <w:spacing w:val="-14"/>
        </w:rPr>
        <w:t> </w:t>
      </w:r>
      <w:r>
        <w:rPr>
          <w:spacing w:val="-3"/>
        </w:rPr>
        <w:t>Texas,</w:t>
      </w:r>
      <w:r>
        <w:rPr>
          <w:spacing w:val="-9"/>
        </w:rPr>
        <w:t> </w:t>
      </w:r>
      <w:r>
        <w:rPr/>
        <w:t>USA).</w:t>
      </w:r>
      <w:r>
        <w:rPr>
          <w:spacing w:val="-10"/>
        </w:rPr>
        <w:t> </w:t>
      </w:r>
      <w:r>
        <w:rPr/>
        <w:t>For</w:t>
      </w:r>
      <w:r>
        <w:rPr>
          <w:spacing w:val="-9"/>
        </w:rPr>
        <w:t> </w:t>
      </w:r>
      <w:r>
        <w:rPr/>
        <w:t>disused</w:t>
      </w:r>
      <w:r>
        <w:rPr>
          <w:spacing w:val="-10"/>
        </w:rPr>
        <w:t> </w:t>
      </w:r>
      <w:r>
        <w:rPr/>
        <w:t>gas</w:t>
      </w:r>
      <w:r>
        <w:rPr>
          <w:spacing w:val="-9"/>
        </w:rPr>
        <w:t> </w:t>
      </w:r>
      <w:r>
        <w:rPr/>
        <w:t>fields, the base-case estimate has a storage cost of 2.4</w:t>
      </w:r>
      <w:r>
        <w:rPr>
          <w:spacing w:val="30"/>
        </w:rPr>
        <w:t> </w:t>
      </w:r>
      <w:r>
        <w:rPr/>
        <w:t>US$/tCO</w:t>
      </w:r>
      <w:r>
        <w:rPr>
          <w:position w:val="-6"/>
          <w:sz w:val="11"/>
        </w:rPr>
        <w:t>2 </w:t>
      </w:r>
      <w:r>
        <w:rPr/>
        <w:t>stored, with low and high cost cases of 0.5 and 12.2 US$/tCO</w:t>
      </w:r>
      <w:r>
        <w:rPr>
          <w:position w:val="-6"/>
          <w:sz w:val="11"/>
        </w:rPr>
        <w:t>2 </w:t>
      </w:r>
      <w:r>
        <w:rPr/>
        <w:t>stored.</w:t>
      </w:r>
      <w:r>
        <w:rPr>
          <w:spacing w:val="-6"/>
        </w:rPr>
        <w:t> </w:t>
      </w:r>
      <w:r>
        <w:rPr/>
        <w:t>For</w:t>
      </w:r>
      <w:r>
        <w:rPr>
          <w:spacing w:val="-5"/>
        </w:rPr>
        <w:t> </w:t>
      </w:r>
      <w:r>
        <w:rPr/>
        <w:t>depleted</w:t>
      </w:r>
      <w:r>
        <w:rPr>
          <w:spacing w:val="-6"/>
        </w:rPr>
        <w:t> </w:t>
      </w:r>
      <w:r>
        <w:rPr/>
        <w:t>oil</w:t>
      </w:r>
      <w:r>
        <w:rPr>
          <w:spacing w:val="-5"/>
        </w:rPr>
        <w:t> </w:t>
      </w:r>
      <w:r>
        <w:rPr/>
        <w:t>fields,</w:t>
      </w:r>
      <w:r>
        <w:rPr>
          <w:spacing w:val="-6"/>
        </w:rPr>
        <w:t> </w:t>
      </w:r>
      <w:r>
        <w:rPr/>
        <w:t>the</w:t>
      </w:r>
      <w:r>
        <w:rPr>
          <w:spacing w:val="-5"/>
        </w:rPr>
        <w:t> </w:t>
      </w:r>
      <w:r>
        <w:rPr/>
        <w:t>base-case</w:t>
      </w:r>
      <w:r>
        <w:rPr>
          <w:spacing w:val="-5"/>
        </w:rPr>
        <w:t> </w:t>
      </w:r>
      <w:r>
        <w:rPr/>
        <w:t>cost</w:t>
      </w:r>
      <w:r>
        <w:rPr>
          <w:spacing w:val="-6"/>
        </w:rPr>
        <w:t> </w:t>
      </w:r>
      <w:r>
        <w:rPr/>
        <w:t>estimate</w:t>
      </w:r>
      <w:r>
        <w:rPr>
          <w:spacing w:val="-5"/>
        </w:rPr>
        <w:t> </w:t>
      </w:r>
      <w:r>
        <w:rPr/>
        <w:t>is</w:t>
      </w:r>
      <w:r>
        <w:rPr>
          <w:spacing w:val="-6"/>
        </w:rPr>
        <w:t> </w:t>
      </w:r>
      <w:r>
        <w:rPr/>
        <w:t>1.3 US$/tCO</w:t>
      </w:r>
      <w:r>
        <w:rPr>
          <w:position w:val="-6"/>
          <w:sz w:val="11"/>
        </w:rPr>
        <w:t>2 </w:t>
      </w:r>
      <w:r>
        <w:rPr/>
        <w:t>stored, with low- and highcost cases of 0.5 and 4.0 US$/tCO</w:t>
      </w:r>
      <w:r>
        <w:rPr>
          <w:position w:val="-6"/>
          <w:sz w:val="11"/>
        </w:rPr>
        <w:t>2</w:t>
      </w:r>
      <w:r>
        <w:rPr>
          <w:spacing w:val="7"/>
          <w:position w:val="-6"/>
          <w:sz w:val="11"/>
        </w:rPr>
        <w:t> </w:t>
      </w:r>
      <w:r>
        <w:rPr/>
        <w:t>stored.</w:t>
      </w:r>
      <w:r>
        <w:rPr>
          <w:spacing w:val="-14"/>
        </w:rPr>
        <w:t> </w:t>
      </w:r>
      <w:r>
        <w:rPr/>
        <w:t>Some</w:t>
      </w:r>
      <w:r>
        <w:rPr>
          <w:spacing w:val="-14"/>
        </w:rPr>
        <w:t> </w:t>
      </w:r>
      <w:r>
        <w:rPr/>
        <w:t>reduction</w:t>
      </w:r>
      <w:r>
        <w:rPr>
          <w:spacing w:val="-14"/>
        </w:rPr>
        <w:t> </w:t>
      </w:r>
      <w:r>
        <w:rPr/>
        <w:t>in</w:t>
      </w:r>
      <w:r>
        <w:rPr>
          <w:spacing w:val="-15"/>
        </w:rPr>
        <w:t> </w:t>
      </w:r>
      <w:r>
        <w:rPr/>
        <w:t>these</w:t>
      </w:r>
      <w:r>
        <w:rPr>
          <w:spacing w:val="-14"/>
        </w:rPr>
        <w:t> </w:t>
      </w:r>
      <w:r>
        <w:rPr/>
        <w:t>costs</w:t>
      </w:r>
      <w:r>
        <w:rPr>
          <w:spacing w:val="-14"/>
        </w:rPr>
        <w:t> </w:t>
      </w:r>
      <w:r>
        <w:rPr/>
        <w:t>may</w:t>
      </w:r>
      <w:r>
        <w:rPr>
          <w:spacing w:val="-14"/>
        </w:rPr>
        <w:t> </w:t>
      </w:r>
      <w:r>
        <w:rPr/>
        <w:t>be</w:t>
      </w:r>
      <w:r>
        <w:rPr>
          <w:spacing w:val="-15"/>
        </w:rPr>
        <w:t> </w:t>
      </w:r>
      <w:r>
        <w:rPr/>
        <w:t>possible by reusing existing wells in these fields, but remediation of abandoned wells would increase the costs if</w:t>
      </w:r>
      <w:r>
        <w:rPr>
          <w:spacing w:val="-5"/>
        </w:rPr>
        <w:t> </w:t>
      </w:r>
      <w:r>
        <w:rPr/>
        <w:t>required.</w:t>
      </w:r>
    </w:p>
    <w:p>
      <w:pPr>
        <w:pStyle w:val="BodyText"/>
        <w:spacing w:line="225" w:lineRule="auto" w:before="17"/>
        <w:ind w:left="553" w:firstLine="283"/>
        <w:jc w:val="both"/>
      </w:pPr>
      <w:r>
        <w:rPr/>
        <w:t>In Europe, storage costs for onshore disused oil and gas fields at depths of 1000–3000 m are 1.2–3.8 US$/tCO</w:t>
      </w:r>
      <w:r>
        <w:rPr>
          <w:position w:val="-6"/>
          <w:sz w:val="11"/>
        </w:rPr>
        <w:t>2 </w:t>
      </w:r>
      <w:r>
        <w:rPr/>
        <w:t>stored. The most likely value is 1.7 US$/tCO</w:t>
      </w:r>
      <w:r>
        <w:rPr>
          <w:position w:val="-6"/>
          <w:sz w:val="11"/>
        </w:rPr>
        <w:t>2 </w:t>
      </w:r>
      <w:r>
        <w:rPr/>
        <w:t>stored. Offshore oil</w:t>
      </w:r>
    </w:p>
    <w:p>
      <w:pPr>
        <w:pStyle w:val="BodyText"/>
        <w:spacing w:line="194" w:lineRule="exact"/>
        <w:ind w:left="243"/>
      </w:pPr>
      <w:r>
        <w:rPr/>
        <w:br w:type="column"/>
      </w:r>
      <w:r>
        <w:rPr/>
        <w:t>additional data on the actual costs of industry projects is</w:t>
      </w:r>
    </w:p>
    <w:p>
      <w:pPr>
        <w:pStyle w:val="BodyText"/>
        <w:spacing w:before="10"/>
        <w:ind w:left="243"/>
      </w:pPr>
      <w:r>
        <w:rPr/>
        <w:t>needed.</w:t>
      </w:r>
    </w:p>
    <w:p>
      <w:pPr>
        <w:pStyle w:val="BodyText"/>
        <w:spacing w:before="8"/>
        <w:rPr>
          <w:sz w:val="21"/>
        </w:rPr>
      </w:pPr>
    </w:p>
    <w:p>
      <w:pPr>
        <w:pStyle w:val="Heading2"/>
        <w:numPr>
          <w:ilvl w:val="2"/>
          <w:numId w:val="7"/>
        </w:numPr>
        <w:tabs>
          <w:tab w:pos="1063" w:val="left" w:leader="none"/>
          <w:tab w:pos="1064" w:val="left" w:leader="none"/>
        </w:tabs>
        <w:spacing w:line="249" w:lineRule="auto" w:before="0" w:after="0"/>
        <w:ind w:left="1063" w:right="362" w:hanging="820"/>
        <w:jc w:val="left"/>
      </w:pPr>
      <w:r>
        <w:rPr>
          <w:i/>
        </w:rPr>
        <w:t>Cost estimates for storage with enhanced oil and </w:t>
      </w:r>
      <w:r>
        <w:rPr/>
        <w:t>gas</w:t>
      </w:r>
      <w:r>
        <w:rPr>
          <w:spacing w:val="-1"/>
        </w:rPr>
        <w:t> </w:t>
      </w:r>
      <w:r>
        <w:rPr/>
        <w:t>recovery</w:t>
      </w:r>
    </w:p>
    <w:p>
      <w:pPr>
        <w:pStyle w:val="BodyText"/>
        <w:spacing w:before="6"/>
        <w:rPr>
          <w:b/>
          <w:i/>
        </w:rPr>
      </w:pPr>
    </w:p>
    <w:p>
      <w:pPr>
        <w:pStyle w:val="BodyText"/>
        <w:spacing w:line="240" w:lineRule="exact" w:before="1"/>
        <w:ind w:left="243" w:right="133"/>
        <w:jc w:val="both"/>
      </w:pPr>
      <w:r>
        <w:rPr/>
        <w:t>The</w:t>
      </w:r>
      <w:r>
        <w:rPr>
          <w:spacing w:val="-8"/>
        </w:rPr>
        <w:t> </w:t>
      </w:r>
      <w:r>
        <w:rPr/>
        <w:t>costs</w:t>
      </w:r>
      <w:r>
        <w:rPr>
          <w:spacing w:val="-8"/>
        </w:rPr>
        <w:t> </w:t>
      </w:r>
      <w:r>
        <w:rPr/>
        <w:t>of</w:t>
      </w:r>
      <w:r>
        <w:rPr>
          <w:spacing w:val="-8"/>
        </w:rPr>
        <w:t> </w:t>
      </w:r>
      <w:r>
        <w:rPr/>
        <w:t>CO</w:t>
      </w:r>
      <w:r>
        <w:rPr>
          <w:position w:val="-6"/>
          <w:sz w:val="11"/>
        </w:rPr>
        <w:t>2</w:t>
      </w:r>
      <w:r>
        <w:rPr>
          <w:spacing w:val="15"/>
          <w:position w:val="-6"/>
          <w:sz w:val="11"/>
        </w:rPr>
        <w:t> </w:t>
      </w:r>
      <w:r>
        <w:rPr/>
        <w:t>geological</w:t>
      </w:r>
      <w:r>
        <w:rPr>
          <w:spacing w:val="-8"/>
        </w:rPr>
        <w:t> </w:t>
      </w:r>
      <w:r>
        <w:rPr/>
        <w:t>storage</w:t>
      </w:r>
      <w:r>
        <w:rPr>
          <w:spacing w:val="-7"/>
        </w:rPr>
        <w:t> </w:t>
      </w:r>
      <w:r>
        <w:rPr/>
        <w:t>may</w:t>
      </w:r>
      <w:r>
        <w:rPr>
          <w:spacing w:val="-8"/>
        </w:rPr>
        <w:t> </w:t>
      </w:r>
      <w:r>
        <w:rPr/>
        <w:t>be</w:t>
      </w:r>
      <w:r>
        <w:rPr>
          <w:spacing w:val="-8"/>
        </w:rPr>
        <w:t> </w:t>
      </w:r>
      <w:r>
        <w:rPr/>
        <w:t>offset</w:t>
      </w:r>
      <w:r>
        <w:rPr>
          <w:spacing w:val="-8"/>
        </w:rPr>
        <w:t> </w:t>
      </w:r>
      <w:r>
        <w:rPr/>
        <w:t>by</w:t>
      </w:r>
      <w:r>
        <w:rPr>
          <w:spacing w:val="-7"/>
        </w:rPr>
        <w:t> </w:t>
      </w:r>
      <w:r>
        <w:rPr/>
        <w:t>additional revenues for production of oil or  gas,  where CO</w:t>
      </w:r>
      <w:r>
        <w:rPr>
          <w:position w:val="-6"/>
          <w:sz w:val="11"/>
        </w:rPr>
        <w:t>2  </w:t>
      </w:r>
      <w:r>
        <w:rPr/>
        <w:t>injection and storage is combined with enhanced oil or gas recovery or ECBM. At present, in commercial EOR and ECBM projects that use CO</w:t>
      </w:r>
      <w:r>
        <w:rPr>
          <w:position w:val="-6"/>
          <w:sz w:val="11"/>
        </w:rPr>
        <w:t>2 </w:t>
      </w:r>
      <w:r>
        <w:rPr/>
        <w:t>injection, the CO</w:t>
      </w:r>
      <w:r>
        <w:rPr>
          <w:position w:val="-6"/>
          <w:sz w:val="11"/>
        </w:rPr>
        <w:t>2 </w:t>
      </w:r>
      <w:r>
        <w:rPr/>
        <w:t>is purchased for the project and is a significant proportion of operating costs. The economic benefits from enhanced production make EOR and </w:t>
      </w:r>
      <w:r>
        <w:rPr>
          <w:spacing w:val="-4"/>
        </w:rPr>
        <w:t>ECBM </w:t>
      </w:r>
      <w:r>
        <w:rPr/>
        <w:t>potential early options for CO</w:t>
      </w:r>
      <w:r>
        <w:rPr>
          <w:position w:val="-6"/>
          <w:sz w:val="11"/>
        </w:rPr>
        <w:t>2 </w:t>
      </w:r>
      <w:r>
        <w:rPr/>
        <w:t>geological</w:t>
      </w:r>
      <w:r>
        <w:rPr>
          <w:spacing w:val="-7"/>
        </w:rPr>
        <w:t> </w:t>
      </w:r>
      <w:r>
        <w:rPr/>
        <w:t>storage.</w:t>
      </w:r>
    </w:p>
    <w:p>
      <w:pPr>
        <w:spacing w:after="0" w:line="240" w:lineRule="exact"/>
        <w:jc w:val="both"/>
        <w:sectPr>
          <w:type w:val="continuous"/>
          <w:pgSz w:w="12240" w:h="15840"/>
          <w:pgMar w:top="400" w:bottom="280" w:left="580" w:right="600"/>
          <w:cols w:num="2" w:equalWidth="0">
            <w:col w:w="5597" w:space="40"/>
            <w:col w:w="5423"/>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ListParagraph"/>
        <w:numPr>
          <w:ilvl w:val="3"/>
          <w:numId w:val="28"/>
        </w:numPr>
        <w:tabs>
          <w:tab w:pos="977" w:val="left" w:leader="none"/>
        </w:tabs>
        <w:spacing w:line="240" w:lineRule="auto" w:before="63" w:after="0"/>
        <w:ind w:left="977" w:right="0" w:hanging="820"/>
        <w:jc w:val="both"/>
        <w:rPr>
          <w:i/>
          <w:sz w:val="20"/>
        </w:rPr>
      </w:pPr>
      <w:r>
        <w:rPr>
          <w:i/>
          <w:sz w:val="20"/>
        </w:rPr>
        <w:t>Enhanced oil</w:t>
      </w:r>
      <w:r>
        <w:rPr>
          <w:i/>
          <w:spacing w:val="-1"/>
          <w:sz w:val="20"/>
        </w:rPr>
        <w:t> </w:t>
      </w:r>
      <w:r>
        <w:rPr>
          <w:i/>
          <w:sz w:val="20"/>
        </w:rPr>
        <w:t>recovery</w:t>
      </w:r>
    </w:p>
    <w:p>
      <w:pPr>
        <w:pStyle w:val="BodyText"/>
        <w:spacing w:line="240" w:lineRule="exact" w:before="5"/>
        <w:ind w:left="157" w:right="39"/>
        <w:jc w:val="both"/>
      </w:pPr>
      <w:r>
        <w:rPr/>
        <w:t>The costs of onshore CO</w:t>
      </w:r>
      <w:r>
        <w:rPr>
          <w:position w:val="-6"/>
          <w:sz w:val="11"/>
        </w:rPr>
        <w:t>2</w:t>
      </w:r>
      <w:r>
        <w:rPr/>
        <w:t>-flooding EOR projects in North America</w:t>
      </w:r>
      <w:r>
        <w:rPr>
          <w:spacing w:val="-12"/>
        </w:rPr>
        <w:t> </w:t>
      </w:r>
      <w:r>
        <w:rPr/>
        <w:t>are</w:t>
      </w:r>
      <w:r>
        <w:rPr>
          <w:spacing w:val="-12"/>
        </w:rPr>
        <w:t> </w:t>
      </w:r>
      <w:r>
        <w:rPr/>
        <w:t>well</w:t>
      </w:r>
      <w:r>
        <w:rPr>
          <w:spacing w:val="-11"/>
        </w:rPr>
        <w:t> </w:t>
      </w:r>
      <w:r>
        <w:rPr/>
        <w:t>documented</w:t>
      </w:r>
      <w:r>
        <w:rPr>
          <w:spacing w:val="-12"/>
        </w:rPr>
        <w:t> </w:t>
      </w:r>
      <w:r>
        <w:rPr/>
        <w:t>(Klins,</w:t>
      </w:r>
      <w:r>
        <w:rPr>
          <w:spacing w:val="-11"/>
        </w:rPr>
        <w:t> </w:t>
      </w:r>
      <w:r>
        <w:rPr/>
        <w:t>1984;</w:t>
      </w:r>
      <w:r>
        <w:rPr>
          <w:spacing w:val="-12"/>
        </w:rPr>
        <w:t> </w:t>
      </w:r>
      <w:r>
        <w:rPr/>
        <w:t>Jarrell</w:t>
      </w:r>
      <w:r>
        <w:rPr>
          <w:spacing w:val="-9"/>
        </w:rPr>
        <w:t> </w:t>
      </w:r>
      <w:r>
        <w:rPr>
          <w:i/>
        </w:rPr>
        <w:t>et</w:t>
      </w:r>
      <w:r>
        <w:rPr>
          <w:i/>
          <w:spacing w:val="-12"/>
        </w:rPr>
        <w:t> </w:t>
      </w:r>
      <w:r>
        <w:rPr>
          <w:i/>
        </w:rPr>
        <w:t>al.</w:t>
      </w:r>
      <w:r>
        <w:rPr/>
        <w:t>,</w:t>
      </w:r>
      <w:r>
        <w:rPr>
          <w:spacing w:val="-12"/>
        </w:rPr>
        <w:t> </w:t>
      </w:r>
      <w:r>
        <w:rPr/>
        <w:t>2002). Carbon dioxide EOR projects are business ventures to increase oil recovery. Although CO</w:t>
      </w:r>
      <w:r>
        <w:rPr>
          <w:position w:val="-6"/>
          <w:sz w:val="11"/>
        </w:rPr>
        <w:t>2 </w:t>
      </w:r>
      <w:r>
        <w:rPr/>
        <w:t>is injected and stored, this is not the primary driver and EOR projects are not optimized for CO</w:t>
      </w:r>
      <w:r>
        <w:rPr>
          <w:position w:val="-6"/>
          <w:sz w:val="11"/>
        </w:rPr>
        <w:t>2 </w:t>
      </w:r>
      <w:r>
        <w:rPr/>
        <w:t>storage.</w:t>
      </w:r>
    </w:p>
    <w:p>
      <w:pPr>
        <w:pStyle w:val="BodyText"/>
        <w:spacing w:line="225" w:lineRule="auto" w:before="13"/>
        <w:ind w:left="157" w:right="38" w:firstLine="283"/>
        <w:jc w:val="both"/>
      </w:pPr>
      <w:r>
        <w:rPr/>
        <w:t>The commercial basis of conventional CO</w:t>
      </w:r>
      <w:r>
        <w:rPr>
          <w:position w:val="-6"/>
          <w:sz w:val="11"/>
        </w:rPr>
        <w:t>2</w:t>
      </w:r>
      <w:r>
        <w:rPr/>
        <w:t>-EOR</w:t>
      </w:r>
      <w:r>
        <w:rPr>
          <w:spacing w:val="-34"/>
        </w:rPr>
        <w:t> </w:t>
      </w:r>
      <w:r>
        <w:rPr/>
        <w:t>operations is that the revenues from incremental oil compensate for </w:t>
      </w:r>
      <w:r>
        <w:rPr>
          <w:spacing w:val="-4"/>
        </w:rPr>
        <w:t>the </w:t>
      </w:r>
      <w:r>
        <w:rPr/>
        <w:t>additional costs incurred (including purchase of CO</w:t>
      </w:r>
      <w:r>
        <w:rPr>
          <w:position w:val="-6"/>
          <w:sz w:val="11"/>
        </w:rPr>
        <w:t>2</w:t>
      </w:r>
      <w:r>
        <w:rPr/>
        <w:t>) </w:t>
      </w:r>
      <w:r>
        <w:rPr>
          <w:spacing w:val="-5"/>
        </w:rPr>
        <w:t>and </w:t>
      </w:r>
      <w:r>
        <w:rPr/>
        <w:t>provide</w:t>
      </w:r>
      <w:r>
        <w:rPr>
          <w:spacing w:val="-12"/>
        </w:rPr>
        <w:t> </w:t>
      </w:r>
      <w:r>
        <w:rPr/>
        <w:t>a</w:t>
      </w:r>
      <w:r>
        <w:rPr>
          <w:spacing w:val="-12"/>
        </w:rPr>
        <w:t> </w:t>
      </w:r>
      <w:r>
        <w:rPr/>
        <w:t>return</w:t>
      </w:r>
      <w:r>
        <w:rPr>
          <w:spacing w:val="-11"/>
        </w:rPr>
        <w:t> </w:t>
      </w:r>
      <w:r>
        <w:rPr/>
        <w:t>on</w:t>
      </w:r>
      <w:r>
        <w:rPr>
          <w:spacing w:val="-12"/>
        </w:rPr>
        <w:t> </w:t>
      </w:r>
      <w:r>
        <w:rPr/>
        <w:t>the</w:t>
      </w:r>
      <w:r>
        <w:rPr>
          <w:spacing w:val="-12"/>
        </w:rPr>
        <w:t> </w:t>
      </w:r>
      <w:r>
        <w:rPr/>
        <w:t>investment.</w:t>
      </w:r>
      <w:r>
        <w:rPr>
          <w:spacing w:val="-15"/>
        </w:rPr>
        <w:t> </w:t>
      </w:r>
      <w:r>
        <w:rPr/>
        <w:t>The</w:t>
      </w:r>
      <w:r>
        <w:rPr>
          <w:spacing w:val="-12"/>
        </w:rPr>
        <w:t> </w:t>
      </w:r>
      <w:r>
        <w:rPr/>
        <w:t>costs</w:t>
      </w:r>
      <w:r>
        <w:rPr>
          <w:spacing w:val="-12"/>
        </w:rPr>
        <w:t> </w:t>
      </w:r>
      <w:r>
        <w:rPr/>
        <w:t>differ</w:t>
      </w:r>
      <w:r>
        <w:rPr>
          <w:spacing w:val="-11"/>
        </w:rPr>
        <w:t> </w:t>
      </w:r>
      <w:r>
        <w:rPr/>
        <w:t>from</w:t>
      </w:r>
      <w:r>
        <w:rPr>
          <w:spacing w:val="-12"/>
        </w:rPr>
        <w:t> </w:t>
      </w:r>
      <w:r>
        <w:rPr/>
        <w:t>project to</w:t>
      </w:r>
      <w:r>
        <w:rPr>
          <w:spacing w:val="-6"/>
        </w:rPr>
        <w:t> </w:t>
      </w:r>
      <w:r>
        <w:rPr/>
        <w:t>project.</w:t>
      </w:r>
      <w:r>
        <w:rPr>
          <w:spacing w:val="-10"/>
        </w:rPr>
        <w:t> </w:t>
      </w:r>
      <w:r>
        <w:rPr/>
        <w:t>The</w:t>
      </w:r>
      <w:r>
        <w:rPr>
          <w:spacing w:val="-5"/>
        </w:rPr>
        <w:t> </w:t>
      </w:r>
      <w:r>
        <w:rPr/>
        <w:t>capital</w:t>
      </w:r>
      <w:r>
        <w:rPr>
          <w:spacing w:val="-6"/>
        </w:rPr>
        <w:t> </w:t>
      </w:r>
      <w:r>
        <w:rPr/>
        <w:t>investment</w:t>
      </w:r>
      <w:r>
        <w:rPr>
          <w:spacing w:val="-5"/>
        </w:rPr>
        <w:t> </w:t>
      </w:r>
      <w:r>
        <w:rPr/>
        <w:t>components</w:t>
      </w:r>
      <w:r>
        <w:rPr>
          <w:spacing w:val="-6"/>
        </w:rPr>
        <w:t> </w:t>
      </w:r>
      <w:r>
        <w:rPr/>
        <w:t>are</w:t>
      </w:r>
      <w:r>
        <w:rPr>
          <w:spacing w:val="-5"/>
        </w:rPr>
        <w:t> </w:t>
      </w:r>
      <w:r>
        <w:rPr>
          <w:spacing w:val="-2"/>
        </w:rPr>
        <w:t>compressors, </w:t>
      </w:r>
      <w:r>
        <w:rPr/>
        <w:t>separation equipment and H</w:t>
      </w:r>
      <w:r>
        <w:rPr>
          <w:position w:val="-6"/>
          <w:sz w:val="11"/>
        </w:rPr>
        <w:t>2</w:t>
      </w:r>
      <w:r>
        <w:rPr/>
        <w:t>S removal, well drilling and well conversions and completions. New wells are not required for some projects. Operating costs are the CO</w:t>
      </w:r>
      <w:r>
        <w:rPr>
          <w:position w:val="-6"/>
          <w:sz w:val="11"/>
        </w:rPr>
        <w:t>2 </w:t>
      </w:r>
      <w:r>
        <w:rPr/>
        <w:t>purchase price, fuel costs and field operating</w:t>
      </w:r>
      <w:r>
        <w:rPr>
          <w:spacing w:val="-3"/>
        </w:rPr>
        <w:t> </w:t>
      </w:r>
      <w:r>
        <w:rPr/>
        <w:t>costs.</w:t>
      </w:r>
    </w:p>
    <w:p>
      <w:pPr>
        <w:pStyle w:val="BodyText"/>
        <w:spacing w:line="225" w:lineRule="auto" w:before="13"/>
        <w:ind w:left="157" w:right="39" w:firstLine="283"/>
        <w:jc w:val="both"/>
      </w:pPr>
      <w:r>
        <w:rPr/>
        <w:t>In Texas, the cost of CO</w:t>
      </w:r>
      <w:r>
        <w:rPr>
          <w:position w:val="-6"/>
          <w:sz w:val="11"/>
        </w:rPr>
        <w:t>2 </w:t>
      </w:r>
      <w:r>
        <w:rPr/>
        <w:t>purchase was 55–75% of the total cost for a number of EOR fields (averaging 68% of total costs) and is a major investment uncertainty for EOR. Tax and fiscal</w:t>
      </w:r>
    </w:p>
    <w:p>
      <w:pPr>
        <w:pStyle w:val="BodyText"/>
        <w:spacing w:line="249" w:lineRule="auto" w:before="12"/>
        <w:ind w:left="157" w:right="39"/>
        <w:jc w:val="both"/>
      </w:pPr>
      <w:r>
        <w:rPr/>
        <w:t>incentives, government regulations and oil and gas prices are the other main investment uncertainties (e.g., Jarrell </w:t>
      </w:r>
      <w:r>
        <w:rPr>
          <w:i/>
        </w:rPr>
        <w:t>et al.</w:t>
      </w:r>
      <w:r>
        <w:rPr/>
        <w:t>, 2002).</w:t>
      </w:r>
    </w:p>
    <w:p>
      <w:pPr>
        <w:pStyle w:val="BodyText"/>
        <w:spacing w:line="206" w:lineRule="auto" w:before="22"/>
        <w:ind w:left="157" w:right="41" w:firstLine="283"/>
        <w:jc w:val="both"/>
      </w:pPr>
      <w:r>
        <w:rPr/>
        <w:t>The CO</w:t>
      </w:r>
      <w:r>
        <w:rPr>
          <w:position w:val="-6"/>
          <w:sz w:val="11"/>
        </w:rPr>
        <w:t>2 </w:t>
      </w:r>
      <w:r>
        <w:rPr/>
        <w:t>price is usually indexed to oil prices, with an indicative price of 11.7 US$/tCO</w:t>
      </w:r>
      <w:r>
        <w:rPr>
          <w:position w:val="-6"/>
          <w:sz w:val="11"/>
        </w:rPr>
        <w:t>2 </w:t>
      </w:r>
      <w:r>
        <w:rPr/>
        <w:t>(0.62 US$/Mscf) at a West Texas Intermediate oil price of 18 US$ per barrel, 16.3 US$/</w:t>
      </w:r>
    </w:p>
    <w:p>
      <w:pPr>
        <w:pStyle w:val="BodyText"/>
        <w:spacing w:line="206" w:lineRule="auto" w:before="25"/>
        <w:ind w:left="157" w:right="40"/>
        <w:jc w:val="both"/>
      </w:pPr>
      <w:r>
        <w:rPr/>
        <w:t>tCO</w:t>
      </w:r>
      <w:r>
        <w:rPr>
          <w:position w:val="-6"/>
          <w:sz w:val="11"/>
        </w:rPr>
        <w:t>2 </w:t>
      </w:r>
      <w:r>
        <w:rPr/>
        <w:t>at 25 US$ per barrel of oil and 32.7 US$/tCO</w:t>
      </w:r>
      <w:r>
        <w:rPr>
          <w:position w:val="-6"/>
          <w:sz w:val="11"/>
        </w:rPr>
        <w:t>2 </w:t>
      </w:r>
      <w:r>
        <w:rPr/>
        <w:t>at 50 US$ per barrel of oil (Jarrell </w:t>
      </w:r>
      <w:r>
        <w:rPr>
          <w:i/>
        </w:rPr>
        <w:t>et al.</w:t>
      </w:r>
      <w:r>
        <w:rPr/>
        <w:t>, 2002). The CO</w:t>
      </w:r>
      <w:r>
        <w:rPr>
          <w:position w:val="-6"/>
          <w:sz w:val="11"/>
        </w:rPr>
        <w:t>2 </w:t>
      </w:r>
      <w:r>
        <w:rPr/>
        <w:t>purchase price indicates the scale of benefit for EOR to offset CO</w:t>
      </w:r>
      <w:r>
        <w:rPr>
          <w:position w:val="-6"/>
          <w:sz w:val="11"/>
        </w:rPr>
        <w:t>2 </w:t>
      </w:r>
      <w:r>
        <w:rPr/>
        <w:t>storage costs.</w:t>
      </w:r>
    </w:p>
    <w:p>
      <w:pPr>
        <w:pStyle w:val="BodyText"/>
        <w:spacing w:before="3"/>
      </w:pPr>
    </w:p>
    <w:p>
      <w:pPr>
        <w:pStyle w:val="ListParagraph"/>
        <w:numPr>
          <w:ilvl w:val="3"/>
          <w:numId w:val="28"/>
        </w:numPr>
        <w:tabs>
          <w:tab w:pos="976" w:val="left" w:leader="none"/>
          <w:tab w:pos="977" w:val="left" w:leader="none"/>
        </w:tabs>
        <w:spacing w:line="240" w:lineRule="exact" w:before="0" w:after="0"/>
        <w:ind w:left="157" w:right="38" w:firstLine="0"/>
        <w:jc w:val="left"/>
        <w:rPr>
          <w:sz w:val="20"/>
        </w:rPr>
      </w:pPr>
      <w:r>
        <w:rPr>
          <w:i/>
          <w:sz w:val="20"/>
        </w:rPr>
        <w:t>Cost of CO</w:t>
      </w:r>
      <w:r>
        <w:rPr>
          <w:i/>
          <w:position w:val="-6"/>
          <w:sz w:val="11"/>
        </w:rPr>
        <w:t>2 </w:t>
      </w:r>
      <w:r>
        <w:rPr>
          <w:i/>
          <w:sz w:val="20"/>
        </w:rPr>
        <w:t>storage with enhanced oil recovery </w:t>
      </w:r>
      <w:r>
        <w:rPr>
          <w:sz w:val="20"/>
        </w:rPr>
        <w:t>Recent studies have estimated the cost of CO</w:t>
      </w:r>
      <w:r>
        <w:rPr>
          <w:position w:val="-6"/>
          <w:sz w:val="11"/>
        </w:rPr>
        <w:t>2 </w:t>
      </w:r>
      <w:r>
        <w:rPr>
          <w:sz w:val="20"/>
        </w:rPr>
        <w:t>storage in EOR sites (Bock </w:t>
      </w:r>
      <w:r>
        <w:rPr>
          <w:i/>
          <w:sz w:val="20"/>
        </w:rPr>
        <w:t>et al.</w:t>
      </w:r>
      <w:r>
        <w:rPr>
          <w:sz w:val="20"/>
        </w:rPr>
        <w:t>, 2003; Hendriks </w:t>
      </w:r>
      <w:r>
        <w:rPr>
          <w:i/>
          <w:sz w:val="20"/>
        </w:rPr>
        <w:t>et al.</w:t>
      </w:r>
      <w:r>
        <w:rPr>
          <w:sz w:val="20"/>
        </w:rPr>
        <w:t>, 2002). Estimates of CO</w:t>
      </w:r>
      <w:r>
        <w:rPr>
          <w:position w:val="-6"/>
          <w:sz w:val="11"/>
        </w:rPr>
        <w:t>2 </w:t>
      </w:r>
      <w:r>
        <w:rPr>
          <w:sz w:val="20"/>
        </w:rPr>
        <w:t>storage costs for onshore EOR options in North America have</w:t>
      </w:r>
      <w:r>
        <w:rPr>
          <w:spacing w:val="-8"/>
          <w:sz w:val="20"/>
        </w:rPr>
        <w:t> </w:t>
      </w:r>
      <w:r>
        <w:rPr>
          <w:sz w:val="20"/>
        </w:rPr>
        <w:t>been</w:t>
      </w:r>
      <w:r>
        <w:rPr>
          <w:spacing w:val="-7"/>
          <w:sz w:val="20"/>
        </w:rPr>
        <w:t> </w:t>
      </w:r>
      <w:r>
        <w:rPr>
          <w:sz w:val="20"/>
        </w:rPr>
        <w:t>made</w:t>
      </w:r>
      <w:r>
        <w:rPr>
          <w:spacing w:val="-7"/>
          <w:sz w:val="20"/>
        </w:rPr>
        <w:t> </w:t>
      </w:r>
      <w:r>
        <w:rPr>
          <w:sz w:val="20"/>
        </w:rPr>
        <w:t>by</w:t>
      </w:r>
      <w:r>
        <w:rPr>
          <w:spacing w:val="-7"/>
          <w:sz w:val="20"/>
        </w:rPr>
        <w:t> </w:t>
      </w:r>
      <w:r>
        <w:rPr>
          <w:sz w:val="20"/>
        </w:rPr>
        <w:t>Bock</w:t>
      </w:r>
      <w:r>
        <w:rPr>
          <w:spacing w:val="-7"/>
          <w:sz w:val="20"/>
        </w:rPr>
        <w:t> </w:t>
      </w:r>
      <w:r>
        <w:rPr>
          <w:i/>
          <w:sz w:val="20"/>
        </w:rPr>
        <w:t>et</w:t>
      </w:r>
      <w:r>
        <w:rPr>
          <w:i/>
          <w:spacing w:val="-7"/>
          <w:sz w:val="20"/>
        </w:rPr>
        <w:t> </w:t>
      </w:r>
      <w:r>
        <w:rPr>
          <w:i/>
          <w:sz w:val="20"/>
        </w:rPr>
        <w:t>al.</w:t>
      </w:r>
      <w:r>
        <w:rPr>
          <w:i/>
          <w:spacing w:val="-7"/>
          <w:sz w:val="20"/>
        </w:rPr>
        <w:t> </w:t>
      </w:r>
      <w:r>
        <w:rPr>
          <w:sz w:val="20"/>
        </w:rPr>
        <w:t>(2003).</w:t>
      </w:r>
      <w:r>
        <w:rPr>
          <w:spacing w:val="-7"/>
          <w:sz w:val="20"/>
        </w:rPr>
        <w:t> </w:t>
      </w:r>
      <w:r>
        <w:rPr>
          <w:sz w:val="20"/>
        </w:rPr>
        <w:t>Estimates</w:t>
      </w:r>
      <w:r>
        <w:rPr>
          <w:spacing w:val="-8"/>
          <w:sz w:val="20"/>
        </w:rPr>
        <w:t> </w:t>
      </w:r>
      <w:r>
        <w:rPr>
          <w:sz w:val="20"/>
        </w:rPr>
        <w:t>for</w:t>
      </w:r>
      <w:r>
        <w:rPr>
          <w:spacing w:val="-7"/>
          <w:sz w:val="20"/>
        </w:rPr>
        <w:t> </w:t>
      </w:r>
      <w:r>
        <w:rPr>
          <w:sz w:val="20"/>
        </w:rPr>
        <w:t>a</w:t>
      </w:r>
      <w:r>
        <w:rPr>
          <w:spacing w:val="-7"/>
          <w:sz w:val="20"/>
        </w:rPr>
        <w:t> </w:t>
      </w:r>
      <w:r>
        <w:rPr>
          <w:spacing w:val="-3"/>
          <w:sz w:val="20"/>
        </w:rPr>
        <w:t>2-MtCO</w:t>
      </w:r>
      <w:r>
        <w:rPr>
          <w:spacing w:val="-3"/>
          <w:position w:val="-6"/>
          <w:sz w:val="11"/>
        </w:rPr>
        <w:t>2</w:t>
      </w:r>
      <w:r>
        <w:rPr>
          <w:spacing w:val="-3"/>
          <w:sz w:val="11"/>
        </w:rPr>
        <w:t> </w:t>
      </w:r>
      <w:r>
        <w:rPr>
          <w:sz w:val="20"/>
        </w:rPr>
        <w:t>yr</w:t>
      </w:r>
      <w:r>
        <w:rPr>
          <w:position w:val="7"/>
          <w:sz w:val="11"/>
        </w:rPr>
        <w:t>–1 </w:t>
      </w:r>
      <w:r>
        <w:rPr>
          <w:sz w:val="20"/>
        </w:rPr>
        <w:t>storage scenario are based on assumptions and parameters from existing EOR operations and industry cost data. </w:t>
      </w:r>
      <w:r>
        <w:rPr>
          <w:spacing w:val="-3"/>
          <w:sz w:val="20"/>
        </w:rPr>
        <w:t>These </w:t>
      </w:r>
      <w:r>
        <w:rPr>
          <w:sz w:val="20"/>
        </w:rPr>
        <w:t>include estimates of the effectiveness of CO</w:t>
      </w:r>
      <w:r>
        <w:rPr>
          <w:position w:val="-6"/>
          <w:sz w:val="11"/>
        </w:rPr>
        <w:t>2</w:t>
      </w:r>
      <w:r>
        <w:rPr>
          <w:sz w:val="20"/>
        </w:rPr>
        <w:t>-EOR, in terms of CO</w:t>
      </w:r>
      <w:r>
        <w:rPr>
          <w:position w:val="-6"/>
          <w:sz w:val="11"/>
        </w:rPr>
        <w:t>2 </w:t>
      </w:r>
      <w:r>
        <w:rPr>
          <w:sz w:val="20"/>
        </w:rPr>
        <w:t>injected for each additional barrel of oil. The</w:t>
      </w:r>
      <w:r>
        <w:rPr>
          <w:spacing w:val="-26"/>
          <w:sz w:val="20"/>
        </w:rPr>
        <w:t> </w:t>
      </w:r>
      <w:r>
        <w:rPr>
          <w:sz w:val="20"/>
        </w:rPr>
        <w:t>methodology for these estimates of storage costs is to calculate the break- even CO</w:t>
      </w:r>
      <w:r>
        <w:rPr>
          <w:position w:val="-6"/>
          <w:sz w:val="11"/>
        </w:rPr>
        <w:t>2 </w:t>
      </w:r>
      <w:r>
        <w:rPr>
          <w:sz w:val="20"/>
        </w:rPr>
        <w:t>price (0.3</w:t>
      </w:r>
      <w:r>
        <w:rPr>
          <w:spacing w:val="-5"/>
          <w:sz w:val="20"/>
        </w:rPr>
        <w:t> </w:t>
      </w:r>
      <w:r>
        <w:rPr>
          <w:sz w:val="20"/>
        </w:rPr>
        <w:t>tCO</w:t>
      </w:r>
      <w:r>
        <w:rPr>
          <w:position w:val="-6"/>
          <w:sz w:val="11"/>
        </w:rPr>
        <w:t>2</w:t>
      </w:r>
      <w:r>
        <w:rPr>
          <w:sz w:val="20"/>
        </w:rPr>
        <w:t>).</w:t>
      </w:r>
    </w:p>
    <w:p>
      <w:pPr>
        <w:pStyle w:val="BodyText"/>
        <w:spacing w:line="225" w:lineRule="auto" w:before="17"/>
        <w:ind w:left="157" w:right="39" w:firstLine="283"/>
        <w:jc w:val="both"/>
      </w:pPr>
      <w:r>
        <w:rPr/>
        <w:t>Experience from field operations across North America provides information about how much of the injected CO</w:t>
      </w:r>
      <w:r>
        <w:rPr>
          <w:position w:val="-6"/>
          <w:sz w:val="11"/>
        </w:rPr>
        <w:t>2 </w:t>
      </w:r>
      <w:r>
        <w:rPr/>
        <w:t>remains in the oil reservoir during EOR. An average of 170</w:t>
      </w:r>
    </w:p>
    <w:p>
      <w:pPr>
        <w:pStyle w:val="BodyText"/>
        <w:spacing w:line="240" w:lineRule="exact" w:before="58"/>
        <w:ind w:left="157" w:right="530"/>
        <w:jc w:val="both"/>
      </w:pPr>
      <w:r>
        <w:rPr/>
        <w:br w:type="column"/>
      </w:r>
      <w:r>
        <w:rPr/>
        <w:t>distance and oil price are –92.0 and +66.7 US$/tCO</w:t>
      </w:r>
      <w:r>
        <w:rPr>
          <w:position w:val="-6"/>
          <w:sz w:val="11"/>
        </w:rPr>
        <w:t>2 </w:t>
      </w:r>
      <w:r>
        <w:rPr/>
        <w:t>stored. The low-cost case assumes favourable assumptions for all parameters (effectiveness, reservoir depth, productivity) </w:t>
      </w:r>
      <w:r>
        <w:rPr>
          <w:spacing w:val="-6"/>
        </w:rPr>
        <w:t>and    </w:t>
      </w:r>
      <w:r>
        <w:rPr/>
        <w:t>a 20 US$ per barrel oil price. Higher oil prices, such as the   50 US$ per barrel prices of 2005, will considerably change  the economics of CO</w:t>
      </w:r>
      <w:r>
        <w:rPr>
          <w:position w:val="-6"/>
          <w:sz w:val="11"/>
        </w:rPr>
        <w:t>2</w:t>
      </w:r>
      <w:r>
        <w:rPr/>
        <w:t>-EOR projects. No published studies are available for these higher oil prices.</w:t>
      </w:r>
    </w:p>
    <w:p>
      <w:pPr>
        <w:pStyle w:val="BodyText"/>
        <w:spacing w:line="240" w:lineRule="exact"/>
        <w:ind w:left="157" w:right="531" w:firstLine="283"/>
        <w:jc w:val="both"/>
      </w:pPr>
      <w:r>
        <w:rPr/>
        <w:t>Other estimates for onshore EOR storage costs all show potential at negative net costs. These include a range of </w:t>
      </w:r>
      <w:r>
        <w:rPr>
          <w:spacing w:val="-3"/>
        </w:rPr>
        <w:t>–10.5 </w:t>
      </w:r>
      <w:r>
        <w:rPr/>
        <w:t>to +10.5 US$/tCO</w:t>
      </w:r>
      <w:r>
        <w:rPr>
          <w:position w:val="-6"/>
          <w:sz w:val="11"/>
        </w:rPr>
        <w:t>2 </w:t>
      </w:r>
      <w:r>
        <w:rPr/>
        <w:t>stored for  European  sites  (Hendriks  </w:t>
      </w:r>
      <w:r>
        <w:rPr>
          <w:i/>
        </w:rPr>
        <w:t>et </w:t>
      </w:r>
      <w:r>
        <w:rPr>
          <w:i/>
        </w:rPr>
        <w:t>al.</w:t>
      </w:r>
      <w:r>
        <w:rPr/>
        <w:t>, 2002). These studies show that use of CO</w:t>
      </w:r>
      <w:r>
        <w:rPr>
          <w:position w:val="-6"/>
          <w:sz w:val="11"/>
        </w:rPr>
        <w:t>2 </w:t>
      </w:r>
      <w:r>
        <w:rPr/>
        <w:t>enhanced oil recovery for CO</w:t>
      </w:r>
      <w:r>
        <w:rPr>
          <w:position w:val="-6"/>
          <w:sz w:val="11"/>
        </w:rPr>
        <w:t>2 </w:t>
      </w:r>
      <w:r>
        <w:rPr/>
        <w:t>storage can be a lower cost option than saline formations and disused oil and gas</w:t>
      </w:r>
      <w:r>
        <w:rPr>
          <w:spacing w:val="-3"/>
        </w:rPr>
        <w:t> </w:t>
      </w:r>
      <w:r>
        <w:rPr/>
        <w:t>fields.</w:t>
      </w:r>
    </w:p>
    <w:p>
      <w:pPr>
        <w:pStyle w:val="BodyText"/>
        <w:spacing w:line="240" w:lineRule="exact"/>
        <w:ind w:left="157" w:right="530" w:firstLine="283"/>
        <w:jc w:val="both"/>
      </w:pPr>
      <w:r>
        <w:rPr/>
        <w:t>At present, there are no commercial offshore </w:t>
      </w:r>
      <w:r>
        <w:rPr>
          <w:spacing w:val="-4"/>
        </w:rPr>
        <w:t>EOR </w:t>
      </w:r>
      <w:r>
        <w:rPr/>
        <w:t>operations and limited information is available on CO</w:t>
      </w:r>
      <w:r>
        <w:rPr>
          <w:position w:val="-6"/>
          <w:sz w:val="11"/>
        </w:rPr>
        <w:t>2 </w:t>
      </w:r>
      <w:r>
        <w:rPr/>
        <w:t>storage costs for EOR options in offshore settings. Indicative storage cost estimates for offshore EOR are presented by Hendriks    </w:t>
      </w:r>
      <w:r>
        <w:rPr>
          <w:i/>
        </w:rPr>
        <w:t>et al. </w:t>
      </w:r>
      <w:r>
        <w:rPr/>
        <w:t>(2002). Their range is –10.5 to +21.0 US$/tCO</w:t>
      </w:r>
      <w:r>
        <w:rPr>
          <w:position w:val="-6"/>
          <w:sz w:val="11"/>
        </w:rPr>
        <w:t>2 </w:t>
      </w:r>
      <w:r>
        <w:rPr/>
        <w:t>stored. For the North Sea Forties Field, it has been shown that CO</w:t>
      </w:r>
      <w:r>
        <w:rPr>
          <w:position w:val="-6"/>
          <w:sz w:val="11"/>
        </w:rPr>
        <w:t>2</w:t>
      </w:r>
      <w:r>
        <w:rPr/>
        <w:t>- flooding EOR is technically attractive and could increase oil recovery,</w:t>
      </w:r>
      <w:r>
        <w:rPr>
          <w:spacing w:val="-8"/>
        </w:rPr>
        <w:t> </w:t>
      </w:r>
      <w:r>
        <w:rPr/>
        <w:t>although</w:t>
      </w:r>
      <w:r>
        <w:rPr>
          <w:spacing w:val="-7"/>
        </w:rPr>
        <w:t> </w:t>
      </w:r>
      <w:r>
        <w:rPr/>
        <w:t>at</w:t>
      </w:r>
      <w:r>
        <w:rPr>
          <w:spacing w:val="-8"/>
        </w:rPr>
        <w:t> </w:t>
      </w:r>
      <w:r>
        <w:rPr/>
        <w:t>present</w:t>
      </w:r>
      <w:r>
        <w:rPr>
          <w:spacing w:val="-7"/>
        </w:rPr>
        <w:t> </w:t>
      </w:r>
      <w:r>
        <w:rPr/>
        <w:t>it</w:t>
      </w:r>
      <w:r>
        <w:rPr>
          <w:spacing w:val="-7"/>
        </w:rPr>
        <w:t> </w:t>
      </w:r>
      <w:r>
        <w:rPr/>
        <w:t>is</w:t>
      </w:r>
      <w:r>
        <w:rPr>
          <w:spacing w:val="-8"/>
        </w:rPr>
        <w:t> </w:t>
      </w:r>
      <w:r>
        <w:rPr/>
        <w:t>not</w:t>
      </w:r>
      <w:r>
        <w:rPr>
          <w:spacing w:val="-7"/>
        </w:rPr>
        <w:t> </w:t>
      </w:r>
      <w:r>
        <w:rPr/>
        <w:t>economically</w:t>
      </w:r>
      <w:r>
        <w:rPr>
          <w:spacing w:val="-8"/>
        </w:rPr>
        <w:t> </w:t>
      </w:r>
      <w:r>
        <w:rPr/>
        <w:t>attractive</w:t>
      </w:r>
      <w:r>
        <w:rPr>
          <w:spacing w:val="-8"/>
        </w:rPr>
        <w:t> </w:t>
      </w:r>
      <w:r>
        <w:rPr>
          <w:spacing w:val="-7"/>
        </w:rPr>
        <w:t>as </w:t>
      </w:r>
      <w:r>
        <w:rPr/>
        <w:t>a</w:t>
      </w:r>
      <w:r>
        <w:rPr>
          <w:spacing w:val="-12"/>
        </w:rPr>
        <w:t> </w:t>
      </w:r>
      <w:r>
        <w:rPr/>
        <w:t>stand-alone</w:t>
      </w:r>
      <w:r>
        <w:rPr>
          <w:spacing w:val="-12"/>
        </w:rPr>
        <w:t> </w:t>
      </w:r>
      <w:r>
        <w:rPr/>
        <w:t>EOR</w:t>
      </w:r>
      <w:r>
        <w:rPr>
          <w:spacing w:val="-11"/>
        </w:rPr>
        <w:t> </w:t>
      </w:r>
      <w:r>
        <w:rPr/>
        <w:t>project</w:t>
      </w:r>
      <w:r>
        <w:rPr>
          <w:spacing w:val="-11"/>
        </w:rPr>
        <w:t> </w:t>
      </w:r>
      <w:r>
        <w:rPr/>
        <w:t>(Espie</w:t>
      </w:r>
      <w:r>
        <w:rPr>
          <w:spacing w:val="-11"/>
        </w:rPr>
        <w:t> </w:t>
      </w:r>
      <w:r>
        <w:rPr>
          <w:i/>
        </w:rPr>
        <w:t>et</w:t>
      </w:r>
      <w:r>
        <w:rPr>
          <w:i/>
          <w:spacing w:val="-11"/>
        </w:rPr>
        <w:t> </w:t>
      </w:r>
      <w:r>
        <w:rPr>
          <w:i/>
        </w:rPr>
        <w:t>al.</w:t>
      </w:r>
      <w:r>
        <w:rPr/>
        <w:t>,</w:t>
      </w:r>
      <w:r>
        <w:rPr>
          <w:spacing w:val="-11"/>
        </w:rPr>
        <w:t> </w:t>
      </w:r>
      <w:r>
        <w:rPr/>
        <w:t>2003).</w:t>
      </w:r>
      <w:r>
        <w:rPr>
          <w:spacing w:val="-11"/>
        </w:rPr>
        <w:t> </w:t>
      </w:r>
      <w:r>
        <w:rPr/>
        <w:t>Impediments</w:t>
      </w:r>
      <w:r>
        <w:rPr>
          <w:spacing w:val="-11"/>
        </w:rPr>
        <w:t> </w:t>
      </w:r>
      <w:r>
        <w:rPr/>
        <w:t>are the large capital requirement for adapting facilities, wells and flowlines, as well as tax costs and CO</w:t>
      </w:r>
      <w:r>
        <w:rPr>
          <w:position w:val="-6"/>
          <w:sz w:val="11"/>
        </w:rPr>
        <w:t>2 </w:t>
      </w:r>
      <w:r>
        <w:rPr>
          <w:spacing w:val="-3"/>
        </w:rPr>
        <w:t>supply. </w:t>
      </w:r>
      <w:r>
        <w:rPr/>
        <w:t>It is noted that the economics will change with additional value for storage of CO</w:t>
      </w:r>
      <w:r>
        <w:rPr>
          <w:position w:val="-6"/>
          <w:sz w:val="11"/>
        </w:rPr>
        <w:t>2</w:t>
      </w:r>
      <w:r>
        <w:rPr/>
        <w:t>.</w:t>
      </w:r>
    </w:p>
    <w:p>
      <w:pPr>
        <w:pStyle w:val="BodyText"/>
        <w:spacing w:line="225" w:lineRule="auto" w:before="13"/>
        <w:ind w:left="157" w:right="530" w:firstLine="283"/>
        <w:jc w:val="both"/>
      </w:pPr>
      <w:r>
        <w:rPr/>
        <w:t>The potential benefit of EOR can be deduced from the CO</w:t>
      </w:r>
      <w:r>
        <w:rPr>
          <w:position w:val="-6"/>
          <w:sz w:val="11"/>
        </w:rPr>
        <w:t>2 </w:t>
      </w:r>
      <w:r>
        <w:rPr/>
        <w:t>purchase price and the net storage costs for CO</w:t>
      </w:r>
      <w:r>
        <w:rPr>
          <w:position w:val="-6"/>
          <w:sz w:val="11"/>
        </w:rPr>
        <w:t>2</w:t>
      </w:r>
      <w:r>
        <w:rPr/>
        <w:t>-EOR storage case studies. The indicative value of the potential benefit from enhanced oil production to CO</w:t>
      </w:r>
      <w:r>
        <w:rPr>
          <w:position w:val="-6"/>
          <w:sz w:val="11"/>
        </w:rPr>
        <w:t>2 </w:t>
      </w:r>
      <w:r>
        <w:rPr/>
        <w:t>storage is usually in the range of</w:t>
      </w:r>
      <w:r>
        <w:rPr>
          <w:spacing w:val="-12"/>
        </w:rPr>
        <w:t> </w:t>
      </w:r>
      <w:r>
        <w:rPr/>
        <w:t>0–16</w:t>
      </w:r>
      <w:r>
        <w:rPr>
          <w:spacing w:val="-11"/>
        </w:rPr>
        <w:t> </w:t>
      </w:r>
      <w:r>
        <w:rPr/>
        <w:t>US$/tCO</w:t>
      </w:r>
      <w:r>
        <w:rPr>
          <w:position w:val="-6"/>
          <w:sz w:val="11"/>
        </w:rPr>
        <w:t>2</w:t>
      </w:r>
      <w:r>
        <w:rPr/>
        <w:t>.</w:t>
      </w:r>
      <w:r>
        <w:rPr>
          <w:spacing w:val="-12"/>
        </w:rPr>
        <w:t> </w:t>
      </w:r>
      <w:r>
        <w:rPr/>
        <w:t>In</w:t>
      </w:r>
      <w:r>
        <w:rPr>
          <w:spacing w:val="-11"/>
        </w:rPr>
        <w:t> </w:t>
      </w:r>
      <w:r>
        <w:rPr/>
        <w:t>some</w:t>
      </w:r>
      <w:r>
        <w:rPr>
          <w:spacing w:val="-12"/>
        </w:rPr>
        <w:t> </w:t>
      </w:r>
      <w:r>
        <w:rPr/>
        <w:t>cases,</w:t>
      </w:r>
      <w:r>
        <w:rPr>
          <w:spacing w:val="-11"/>
        </w:rPr>
        <w:t> </w:t>
      </w:r>
      <w:r>
        <w:rPr/>
        <w:t>there</w:t>
      </w:r>
      <w:r>
        <w:rPr>
          <w:spacing w:val="-12"/>
        </w:rPr>
        <w:t> </w:t>
      </w:r>
      <w:r>
        <w:rPr/>
        <w:t>is</w:t>
      </w:r>
      <w:r>
        <w:rPr>
          <w:spacing w:val="-11"/>
        </w:rPr>
        <w:t> </w:t>
      </w:r>
      <w:r>
        <w:rPr/>
        <w:t>no</w:t>
      </w:r>
      <w:r>
        <w:rPr>
          <w:spacing w:val="-12"/>
        </w:rPr>
        <w:t> </w:t>
      </w:r>
      <w:r>
        <w:rPr/>
        <w:t>benefit</w:t>
      </w:r>
      <w:r>
        <w:rPr>
          <w:spacing w:val="-11"/>
        </w:rPr>
        <w:t> </w:t>
      </w:r>
      <w:r>
        <w:rPr/>
        <w:t>from</w:t>
      </w:r>
      <w:r>
        <w:rPr>
          <w:spacing w:val="-11"/>
        </w:rPr>
        <w:t> </w:t>
      </w:r>
      <w:r>
        <w:rPr/>
        <w:t>EOR. The</w:t>
      </w:r>
      <w:r>
        <w:rPr>
          <w:spacing w:val="-13"/>
        </w:rPr>
        <w:t> </w:t>
      </w:r>
      <w:r>
        <w:rPr/>
        <w:t>maximum</w:t>
      </w:r>
      <w:r>
        <w:rPr>
          <w:spacing w:val="-13"/>
        </w:rPr>
        <w:t> </w:t>
      </w:r>
      <w:r>
        <w:rPr/>
        <w:t>estimate</w:t>
      </w:r>
      <w:r>
        <w:rPr>
          <w:spacing w:val="-13"/>
        </w:rPr>
        <w:t> </w:t>
      </w:r>
      <w:r>
        <w:rPr/>
        <w:t>of</w:t>
      </w:r>
      <w:r>
        <w:rPr>
          <w:spacing w:val="-12"/>
        </w:rPr>
        <w:t> </w:t>
      </w:r>
      <w:r>
        <w:rPr/>
        <w:t>the</w:t>
      </w:r>
      <w:r>
        <w:rPr>
          <w:spacing w:val="-13"/>
        </w:rPr>
        <w:t> </w:t>
      </w:r>
      <w:r>
        <w:rPr/>
        <w:t>benefit</w:t>
      </w:r>
      <w:r>
        <w:rPr>
          <w:spacing w:val="-13"/>
        </w:rPr>
        <w:t> </w:t>
      </w:r>
      <w:r>
        <w:rPr/>
        <w:t>ranges</w:t>
      </w:r>
      <w:r>
        <w:rPr>
          <w:spacing w:val="-12"/>
        </w:rPr>
        <w:t> </w:t>
      </w:r>
      <w:r>
        <w:rPr/>
        <w:t>up</w:t>
      </w:r>
      <w:r>
        <w:rPr>
          <w:spacing w:val="-13"/>
        </w:rPr>
        <w:t> </w:t>
      </w:r>
      <w:r>
        <w:rPr/>
        <w:t>to</w:t>
      </w:r>
      <w:r>
        <w:rPr>
          <w:spacing w:val="-13"/>
        </w:rPr>
        <w:t> </w:t>
      </w:r>
      <w:r>
        <w:rPr/>
        <w:t>$92</w:t>
      </w:r>
      <w:r>
        <w:rPr>
          <w:spacing w:val="-13"/>
        </w:rPr>
        <w:t> </w:t>
      </w:r>
      <w:r>
        <w:rPr/>
        <w:t>per</w:t>
      </w:r>
      <w:r>
        <w:rPr>
          <w:spacing w:val="-12"/>
        </w:rPr>
        <w:t> </w:t>
      </w:r>
      <w:r>
        <w:rPr>
          <w:spacing w:val="-3"/>
        </w:rPr>
        <w:t>tonne </w:t>
      </w:r>
      <w:r>
        <w:rPr/>
        <w:t>of CO</w:t>
      </w:r>
      <w:r>
        <w:rPr>
          <w:position w:val="-6"/>
          <w:sz w:val="11"/>
        </w:rPr>
        <w:t>2 </w:t>
      </w:r>
      <w:r>
        <w:rPr/>
        <w:t>for a single case study involving favourable</w:t>
      </w:r>
      <w:r>
        <w:rPr>
          <w:spacing w:val="-24"/>
        </w:rPr>
        <w:t> </w:t>
      </w:r>
      <w:r>
        <w:rPr/>
        <w:t>parameters. In</w:t>
      </w:r>
      <w:r>
        <w:rPr>
          <w:spacing w:val="-8"/>
        </w:rPr>
        <w:t> </w:t>
      </w:r>
      <w:r>
        <w:rPr/>
        <w:t>general,</w:t>
      </w:r>
      <w:r>
        <w:rPr>
          <w:spacing w:val="-8"/>
        </w:rPr>
        <w:t> </w:t>
      </w:r>
      <w:r>
        <w:rPr/>
        <w:t>higher</w:t>
      </w:r>
      <w:r>
        <w:rPr>
          <w:spacing w:val="-8"/>
        </w:rPr>
        <w:t> </w:t>
      </w:r>
      <w:r>
        <w:rPr/>
        <w:t>benefits</w:t>
      </w:r>
      <w:r>
        <w:rPr>
          <w:spacing w:val="-7"/>
        </w:rPr>
        <w:t> </w:t>
      </w:r>
      <w:r>
        <w:rPr/>
        <w:t>will</w:t>
      </w:r>
      <w:r>
        <w:rPr>
          <w:spacing w:val="-9"/>
        </w:rPr>
        <w:t> </w:t>
      </w:r>
      <w:r>
        <w:rPr/>
        <w:t>occur</w:t>
      </w:r>
      <w:r>
        <w:rPr>
          <w:spacing w:val="-8"/>
        </w:rPr>
        <w:t> </w:t>
      </w:r>
      <w:r>
        <w:rPr/>
        <w:t>at</w:t>
      </w:r>
      <w:r>
        <w:rPr>
          <w:spacing w:val="-8"/>
        </w:rPr>
        <w:t> </w:t>
      </w:r>
      <w:r>
        <w:rPr/>
        <w:t>high-oil-price</w:t>
      </w:r>
      <w:r>
        <w:rPr>
          <w:spacing w:val="-7"/>
        </w:rPr>
        <w:t> </w:t>
      </w:r>
      <w:r>
        <w:rPr/>
        <w:t>scenarios similar to those that have occurred since 2003 and for highly favourable sites, as shown above. At 50 US$ per barrel of oil, the range may increase up to 30</w:t>
      </w:r>
      <w:r>
        <w:rPr>
          <w:spacing w:val="-1"/>
        </w:rPr>
        <w:t> </w:t>
      </w:r>
      <w:r>
        <w:rPr/>
        <w:t>US$/tCO</w:t>
      </w:r>
      <w:r>
        <w:rPr>
          <w:position w:val="-6"/>
          <w:sz w:val="11"/>
        </w:rPr>
        <w:t>2</w:t>
      </w:r>
      <w:r>
        <w:rPr/>
        <w:t>.</w:t>
      </w:r>
    </w:p>
    <w:p>
      <w:pPr>
        <w:pStyle w:val="ListParagraph"/>
        <w:numPr>
          <w:ilvl w:val="3"/>
          <w:numId w:val="28"/>
        </w:numPr>
        <w:tabs>
          <w:tab w:pos="976" w:val="left" w:leader="none"/>
          <w:tab w:pos="977" w:val="left" w:leader="none"/>
        </w:tabs>
        <w:spacing w:line="240" w:lineRule="exact" w:before="186" w:after="0"/>
        <w:ind w:left="157" w:right="529" w:hanging="1"/>
        <w:jc w:val="left"/>
        <w:rPr>
          <w:sz w:val="20"/>
        </w:rPr>
      </w:pPr>
      <w:r>
        <w:rPr>
          <w:i/>
          <w:sz w:val="20"/>
        </w:rPr>
        <w:t>Cost of CO</w:t>
      </w:r>
      <w:r>
        <w:rPr>
          <w:i/>
          <w:position w:val="-6"/>
          <w:sz w:val="11"/>
        </w:rPr>
        <w:t>2 </w:t>
      </w:r>
      <w:r>
        <w:rPr>
          <w:i/>
          <w:sz w:val="20"/>
        </w:rPr>
        <w:t>storage with enhanced gas recovery </w:t>
      </w:r>
      <w:r>
        <w:rPr>
          <w:sz w:val="20"/>
        </w:rPr>
        <w:t>CO</w:t>
      </w:r>
      <w:r>
        <w:rPr>
          <w:position w:val="-6"/>
          <w:sz w:val="11"/>
        </w:rPr>
        <w:t>2</w:t>
      </w:r>
      <w:r>
        <w:rPr>
          <w:sz w:val="20"/>
        </w:rPr>
        <w:t>-enhanced gas recovery is a less mature technology </w:t>
      </w:r>
      <w:r>
        <w:rPr>
          <w:spacing w:val="-4"/>
          <w:sz w:val="20"/>
        </w:rPr>
        <w:t>than </w:t>
      </w:r>
      <w:r>
        <w:rPr>
          <w:sz w:val="20"/>
        </w:rPr>
        <w:t>EOR and it is not in commercial use. Issues are the cost </w:t>
      </w:r>
      <w:r>
        <w:rPr>
          <w:spacing w:val="-7"/>
          <w:sz w:val="20"/>
        </w:rPr>
        <w:t>of</w:t>
      </w:r>
      <w:r>
        <w:rPr>
          <w:spacing w:val="36"/>
          <w:sz w:val="20"/>
        </w:rPr>
        <w:t> </w:t>
      </w:r>
      <w:r>
        <w:rPr>
          <w:sz w:val="20"/>
        </w:rPr>
        <w:t>CO</w:t>
      </w:r>
      <w:r>
        <w:rPr>
          <w:position w:val="-6"/>
          <w:sz w:val="11"/>
        </w:rPr>
        <w:t>2 </w:t>
      </w:r>
      <w:r>
        <w:rPr>
          <w:sz w:val="20"/>
        </w:rPr>
        <w:t>and infrastructure, concerns about excessive mixing </w:t>
      </w:r>
      <w:r>
        <w:rPr>
          <w:spacing w:val="-4"/>
          <w:sz w:val="20"/>
        </w:rPr>
        <w:t>and </w:t>
      </w:r>
      <w:r>
        <w:rPr>
          <w:sz w:val="20"/>
        </w:rPr>
        <w:t>the high primary recovery rates of many gas reservoirs. </w:t>
      </w:r>
      <w:r>
        <w:rPr>
          <w:spacing w:val="-4"/>
          <w:sz w:val="20"/>
        </w:rPr>
        <w:t>Cost </w:t>
      </w:r>
      <w:r>
        <w:rPr>
          <w:sz w:val="20"/>
        </w:rPr>
        <w:t>estimates show that CO</w:t>
      </w:r>
      <w:r>
        <w:rPr>
          <w:position w:val="-6"/>
          <w:sz w:val="11"/>
        </w:rPr>
        <w:t>2</w:t>
      </w:r>
      <w:r>
        <w:rPr>
          <w:sz w:val="20"/>
        </w:rPr>
        <w:t>-EGR (enhanced gas recovery)</w:t>
      </w:r>
      <w:r>
        <w:rPr>
          <w:spacing w:val="-14"/>
          <w:sz w:val="20"/>
        </w:rPr>
        <w:t> </w:t>
      </w:r>
      <w:r>
        <w:rPr>
          <w:sz w:val="20"/>
        </w:rPr>
        <w:t>can</w:t>
      </w:r>
    </w:p>
    <w:p>
      <w:pPr>
        <w:spacing w:after="0" w:line="240" w:lineRule="exact"/>
        <w:jc w:val="left"/>
        <w:rPr>
          <w:sz w:val="20"/>
        </w:rPr>
        <w:sectPr>
          <w:type w:val="continuous"/>
          <w:pgSz w:w="12240" w:h="15840"/>
          <w:pgMar w:top="400" w:bottom="280" w:left="580" w:right="600"/>
          <w:cols w:num="2" w:equalWidth="0">
            <w:col w:w="5243" w:space="84"/>
            <w:col w:w="5733"/>
          </w:cols>
        </w:sectPr>
      </w:pPr>
    </w:p>
    <w:p>
      <w:pPr>
        <w:pStyle w:val="BodyText"/>
        <w:spacing w:before="5"/>
        <w:ind w:left="157"/>
      </w:pPr>
      <w:r>
        <w:rPr/>
        <w:pict>
          <v:shape style="position:absolute;margin-left:103.923401pt;margin-top:8.543438pt;width:2.95pt;height:5.85pt;mso-position-horizontal-relative:page;mso-position-vertical-relative:paragraph;z-index:25174220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standard m</w:t>
      </w:r>
      <w:r>
        <w:rPr>
          <w:position w:val="7"/>
          <w:sz w:val="11"/>
        </w:rPr>
        <w:t>3 </w:t>
      </w:r>
      <w:r>
        <w:rPr/>
        <w:t>CO</w:t>
      </w:r>
    </w:p>
    <w:p>
      <w:pPr>
        <w:pStyle w:val="BodyText"/>
        <w:spacing w:line="277" w:lineRule="exact" w:before="5"/>
        <w:ind w:left="104"/>
        <w:rPr>
          <w:sz w:val="11"/>
        </w:rPr>
      </w:pPr>
      <w:r>
        <w:rPr/>
        <w:br w:type="column"/>
      </w:r>
      <w:r>
        <w:rPr/>
        <w:t>of new CO</w:t>
      </w:r>
      <w:r>
        <w:rPr>
          <w:position w:val="-6"/>
          <w:sz w:val="11"/>
        </w:rPr>
        <w:t>2</w:t>
      </w:r>
    </w:p>
    <w:p>
      <w:pPr>
        <w:pStyle w:val="BodyText"/>
        <w:spacing w:before="5"/>
        <w:ind w:left="46"/>
      </w:pPr>
      <w:r>
        <w:rPr/>
        <w:br w:type="column"/>
      </w:r>
      <w:r>
        <w:rPr/>
        <w:t>is required for each barrel of</w:t>
      </w:r>
    </w:p>
    <w:p>
      <w:pPr>
        <w:pStyle w:val="BodyText"/>
        <w:spacing w:line="277" w:lineRule="exact" w:before="5"/>
        <w:ind w:left="157"/>
      </w:pPr>
      <w:r>
        <w:rPr/>
        <w:br w:type="column"/>
      </w:r>
      <w:r>
        <w:rPr/>
        <w:t>provide a benefit of 4–16 US$/tCO</w:t>
      </w:r>
      <w:r>
        <w:rPr>
          <w:position w:val="-6"/>
          <w:sz w:val="11"/>
        </w:rPr>
        <w:t>2</w:t>
      </w:r>
      <w:r>
        <w:rPr/>
        <w:t>, depending on the price of</w:t>
      </w:r>
    </w:p>
    <w:p>
      <w:pPr>
        <w:spacing w:after="0" w:line="277" w:lineRule="exact"/>
        <w:sectPr>
          <w:type w:val="continuous"/>
          <w:pgSz w:w="12240" w:h="15840"/>
          <w:pgMar w:top="400" w:bottom="280" w:left="580" w:right="600"/>
          <w:cols w:num="4" w:equalWidth="0">
            <w:col w:w="1499" w:space="40"/>
            <w:col w:w="1113" w:space="39"/>
            <w:col w:w="2549" w:space="86"/>
            <w:col w:w="5734"/>
          </w:cols>
        </w:sectPr>
      </w:pPr>
    </w:p>
    <w:p>
      <w:pPr>
        <w:pStyle w:val="BodyText"/>
        <w:spacing w:line="187" w:lineRule="auto"/>
        <w:ind w:left="157"/>
        <w:jc w:val="both"/>
      </w:pPr>
      <w:r>
        <w:rPr/>
        <w:t>enhanced oil production, with a range of 85 (0.15 tCO</w:t>
      </w:r>
      <w:r>
        <w:rPr>
          <w:position w:val="-6"/>
          <w:sz w:val="11"/>
        </w:rPr>
        <w:t>2</w:t>
      </w:r>
      <w:r>
        <w:rPr/>
        <w:t>) to</w:t>
      </w:r>
      <w:r>
        <w:rPr>
          <w:spacing w:val="22"/>
        </w:rPr>
        <w:t> </w:t>
      </w:r>
      <w:r>
        <w:rPr/>
        <w:t>227</w:t>
      </w:r>
    </w:p>
    <w:p>
      <w:pPr>
        <w:pStyle w:val="BodyText"/>
        <w:spacing w:line="210" w:lineRule="exact"/>
        <w:ind w:left="157"/>
        <w:jc w:val="both"/>
      </w:pPr>
      <w:r>
        <w:rPr/>
        <w:pict>
          <v:shape style="position:absolute;margin-left:71.8013pt;margin-top:7.299536pt;width:2.95pt;height:5.85pt;mso-position-horizontal-relative:page;mso-position-vertical-relative:paragraph;z-index:-25881600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(0.4 tCO ) standard m</w:t>
      </w:r>
      <w:r>
        <w:rPr>
          <w:position w:val="7"/>
          <w:sz w:val="11"/>
        </w:rPr>
        <w:t>3  </w:t>
      </w:r>
      <w:r>
        <w:rPr/>
        <w:t>(Bock </w:t>
      </w:r>
      <w:r>
        <w:rPr>
          <w:i/>
        </w:rPr>
        <w:t>et al.</w:t>
      </w:r>
      <w:r>
        <w:rPr/>
        <w:t>, 2003). </w:t>
      </w:r>
      <w:r>
        <w:rPr>
          <w:spacing w:val="-3"/>
        </w:rPr>
        <w:t>Typically,</w:t>
      </w:r>
      <w:r>
        <w:rPr>
          <w:spacing w:val="-14"/>
        </w:rPr>
        <w:t> </w:t>
      </w:r>
      <w:r>
        <w:rPr/>
        <w:t>produced</w:t>
      </w:r>
    </w:p>
    <w:p>
      <w:pPr>
        <w:pStyle w:val="BodyText"/>
        <w:spacing w:line="206" w:lineRule="auto" w:before="22"/>
        <w:ind w:left="157" w:right="39"/>
        <w:jc w:val="both"/>
      </w:pPr>
      <w:r>
        <w:rPr/>
        <w:t>CO</w:t>
      </w:r>
      <w:r>
        <w:rPr>
          <w:position w:val="-6"/>
          <w:sz w:val="11"/>
        </w:rPr>
        <w:t>2 </w:t>
      </w:r>
      <w:r>
        <w:rPr/>
        <w:t>is separated from the oil and reinjected back underground, which reduces the cost of CO</w:t>
      </w:r>
      <w:r>
        <w:rPr>
          <w:position w:val="-6"/>
          <w:sz w:val="11"/>
        </w:rPr>
        <w:t>2 </w:t>
      </w:r>
      <w:r>
        <w:rPr/>
        <w:t>purchases.</w:t>
      </w:r>
    </w:p>
    <w:p>
      <w:pPr>
        <w:pStyle w:val="BodyText"/>
        <w:spacing w:line="194" w:lineRule="exact"/>
        <w:ind w:left="440"/>
        <w:jc w:val="both"/>
      </w:pPr>
      <w:r>
        <w:rPr/>
        <w:t>The</w:t>
      </w:r>
      <w:r>
        <w:rPr>
          <w:spacing w:val="25"/>
        </w:rPr>
        <w:t> </w:t>
      </w:r>
      <w:r>
        <w:rPr/>
        <w:t>base</w:t>
      </w:r>
      <w:r>
        <w:rPr>
          <w:spacing w:val="25"/>
        </w:rPr>
        <w:t> </w:t>
      </w:r>
      <w:r>
        <w:rPr/>
        <w:t>case</w:t>
      </w:r>
      <w:r>
        <w:rPr>
          <w:spacing w:val="25"/>
        </w:rPr>
        <w:t> </w:t>
      </w:r>
      <w:r>
        <w:rPr/>
        <w:t>for</w:t>
      </w:r>
      <w:r>
        <w:rPr>
          <w:spacing w:val="25"/>
        </w:rPr>
        <w:t> </w:t>
      </w:r>
      <w:r>
        <w:rPr/>
        <w:t>a</w:t>
      </w:r>
      <w:r>
        <w:rPr>
          <w:spacing w:val="25"/>
        </w:rPr>
        <w:t> </w:t>
      </w:r>
      <w:r>
        <w:rPr/>
        <w:t>representative</w:t>
      </w:r>
      <w:r>
        <w:rPr>
          <w:spacing w:val="24"/>
        </w:rPr>
        <w:t> </w:t>
      </w:r>
      <w:r>
        <w:rPr/>
        <w:t>reservoir</w:t>
      </w:r>
      <w:r>
        <w:rPr>
          <w:spacing w:val="25"/>
        </w:rPr>
        <w:t> </w:t>
      </w:r>
      <w:r>
        <w:rPr/>
        <w:t>at</w:t>
      </w:r>
      <w:r>
        <w:rPr>
          <w:spacing w:val="25"/>
        </w:rPr>
        <w:t> </w:t>
      </w:r>
      <w:r>
        <w:rPr/>
        <w:t>a</w:t>
      </w:r>
      <w:r>
        <w:rPr>
          <w:spacing w:val="25"/>
        </w:rPr>
        <w:t> </w:t>
      </w:r>
      <w:r>
        <w:rPr/>
        <w:t>depth</w:t>
      </w:r>
      <w:r>
        <w:rPr>
          <w:spacing w:val="25"/>
        </w:rPr>
        <w:t> </w:t>
      </w:r>
      <w:r>
        <w:rPr/>
        <w:t>of</w:t>
      </w:r>
    </w:p>
    <w:p>
      <w:pPr>
        <w:pStyle w:val="BodyText"/>
        <w:spacing w:line="240" w:lineRule="exact" w:before="5"/>
        <w:ind w:left="157" w:right="38"/>
        <w:jc w:val="both"/>
      </w:pPr>
      <w:r>
        <w:rPr/>
        <w:t>1219</w:t>
      </w:r>
      <w:r>
        <w:rPr>
          <w:spacing w:val="-6"/>
        </w:rPr>
        <w:t> </w:t>
      </w:r>
      <w:r>
        <w:rPr/>
        <w:t>m,</w:t>
      </w:r>
      <w:r>
        <w:rPr>
          <w:spacing w:val="-5"/>
        </w:rPr>
        <w:t> </w:t>
      </w:r>
      <w:r>
        <w:rPr/>
        <w:t>based</w:t>
      </w:r>
      <w:r>
        <w:rPr>
          <w:spacing w:val="-5"/>
        </w:rPr>
        <w:t> </w:t>
      </w:r>
      <w:r>
        <w:rPr/>
        <w:t>on</w:t>
      </w:r>
      <w:r>
        <w:rPr>
          <w:spacing w:val="-5"/>
        </w:rPr>
        <w:t> </w:t>
      </w:r>
      <w:r>
        <w:rPr/>
        <w:t>average</w:t>
      </w:r>
      <w:r>
        <w:rPr>
          <w:spacing w:val="-5"/>
        </w:rPr>
        <w:t> </w:t>
      </w:r>
      <w:r>
        <w:rPr/>
        <w:t>EOR</w:t>
      </w:r>
      <w:r>
        <w:rPr>
          <w:spacing w:val="-5"/>
        </w:rPr>
        <w:t> </w:t>
      </w:r>
      <w:r>
        <w:rPr/>
        <w:t>parameters</w:t>
      </w:r>
      <w:r>
        <w:rPr>
          <w:spacing w:val="-5"/>
        </w:rPr>
        <w:t> </w:t>
      </w:r>
      <w:r>
        <w:rPr/>
        <w:t>in</w:t>
      </w:r>
      <w:r>
        <w:rPr>
          <w:spacing w:val="-5"/>
        </w:rPr>
        <w:t> </w:t>
      </w:r>
      <w:r>
        <w:rPr/>
        <w:t>the</w:t>
      </w:r>
      <w:r>
        <w:rPr>
          <w:spacing w:val="-5"/>
        </w:rPr>
        <w:t> </w:t>
      </w:r>
      <w:r>
        <w:rPr/>
        <w:t>United</w:t>
      </w:r>
      <w:r>
        <w:rPr>
          <w:spacing w:val="-6"/>
        </w:rPr>
        <w:t> </w:t>
      </w:r>
      <w:r>
        <w:rPr/>
        <w:t>States with an oil price of 15 US$ per barrel, has a net storage cost  of –14.8 US$/tCO</w:t>
      </w:r>
      <w:r>
        <w:rPr>
          <w:position w:val="-6"/>
          <w:sz w:val="11"/>
        </w:rPr>
        <w:t>2 </w:t>
      </w:r>
      <w:r>
        <w:rPr/>
        <w:t>stored. Negative costs indicate the amount of cost reduction that a particular storage option offers to the overall capture and storage system. Low- and high-cost cases representing  a  range  of  CO</w:t>
      </w:r>
      <w:r>
        <w:rPr>
          <w:position w:val="-6"/>
          <w:sz w:val="11"/>
        </w:rPr>
        <w:t>2    </w:t>
      </w:r>
      <w:r>
        <w:rPr/>
        <w:t>effectiveness,  depth,</w:t>
      </w:r>
      <w:r>
        <w:rPr>
          <w:spacing w:val="45"/>
        </w:rPr>
        <w:t> </w:t>
      </w:r>
      <w:r>
        <w:rPr/>
        <w:t>transport</w:t>
      </w:r>
    </w:p>
    <w:p>
      <w:pPr>
        <w:pStyle w:val="BodyText"/>
        <w:spacing w:line="193" w:lineRule="exact"/>
        <w:ind w:left="157"/>
        <w:jc w:val="both"/>
      </w:pPr>
      <w:r>
        <w:rPr/>
        <w:br w:type="column"/>
      </w:r>
      <w:r>
        <w:rPr/>
        <w:t>gas and the effectiveness of recovery (Oldenburg </w:t>
      </w:r>
      <w:r>
        <w:rPr>
          <w:i/>
        </w:rPr>
        <w:t>et al.</w:t>
      </w:r>
      <w:r>
        <w:rPr/>
        <w:t>, 2002).</w:t>
      </w:r>
    </w:p>
    <w:p>
      <w:pPr>
        <w:pStyle w:val="BodyText"/>
        <w:spacing w:before="4"/>
        <w:rPr>
          <w:sz w:val="23"/>
        </w:rPr>
      </w:pPr>
    </w:p>
    <w:p>
      <w:pPr>
        <w:pStyle w:val="ListParagraph"/>
        <w:numPr>
          <w:ilvl w:val="3"/>
          <w:numId w:val="28"/>
        </w:numPr>
        <w:tabs>
          <w:tab w:pos="977" w:val="left" w:leader="none"/>
        </w:tabs>
        <w:spacing w:line="206" w:lineRule="auto" w:before="0" w:after="0"/>
        <w:ind w:left="977" w:right="1201" w:hanging="821"/>
        <w:jc w:val="both"/>
        <w:rPr>
          <w:i/>
          <w:sz w:val="20"/>
        </w:rPr>
      </w:pPr>
      <w:r>
        <w:rPr>
          <w:i/>
          <w:sz w:val="20"/>
        </w:rPr>
        <w:t>Cost of CO</w:t>
      </w:r>
      <w:r>
        <w:rPr>
          <w:i/>
          <w:position w:val="-6"/>
          <w:sz w:val="11"/>
        </w:rPr>
        <w:t>2 </w:t>
      </w:r>
      <w:r>
        <w:rPr>
          <w:i/>
          <w:sz w:val="20"/>
        </w:rPr>
        <w:t>storage with enhanced coal bed </w:t>
      </w:r>
      <w:r>
        <w:rPr>
          <w:i/>
          <w:sz w:val="20"/>
        </w:rPr>
        <w:t>methane</w:t>
      </w:r>
    </w:p>
    <w:p>
      <w:pPr>
        <w:pStyle w:val="BodyText"/>
        <w:spacing w:line="225" w:lineRule="auto" w:before="23"/>
        <w:ind w:left="157" w:right="530"/>
        <w:jc w:val="both"/>
      </w:pPr>
      <w:r>
        <w:rPr/>
        <w:t>The injection of CO</w:t>
      </w:r>
      <w:r>
        <w:rPr>
          <w:position w:val="-6"/>
          <w:sz w:val="11"/>
        </w:rPr>
        <w:t>2 </w:t>
      </w:r>
      <w:r>
        <w:rPr/>
        <w:t>for ECBM production is an immature technology not yet in commercial use. In CO</w:t>
      </w:r>
      <w:r>
        <w:rPr>
          <w:position w:val="-6"/>
          <w:sz w:val="11"/>
        </w:rPr>
        <w:t>2</w:t>
      </w:r>
      <w:r>
        <w:rPr/>
        <w:t>-ECBM, the revenues from the produced gas could offset the investment costs and provide a source of income for investors. Cost data are based on other types of CBM operations that are in use.</w:t>
      </w:r>
    </w:p>
    <w:p>
      <w:pPr>
        <w:pStyle w:val="BodyText"/>
        <w:spacing w:line="260" w:lineRule="exact" w:before="10"/>
        <w:ind w:left="440"/>
        <w:jc w:val="both"/>
        <w:rPr>
          <w:sz w:val="11"/>
        </w:rPr>
      </w:pPr>
      <w:r>
        <w:rPr/>
        <w:t>There is significant uncertainty in the effectiveness of </w:t>
      </w:r>
      <w:r>
        <w:rPr>
          <w:spacing w:val="8"/>
        </w:rPr>
        <w:t> </w:t>
      </w:r>
      <w:r>
        <w:rPr/>
        <w:t>CO</w:t>
      </w:r>
      <w:r>
        <w:rPr>
          <w:position w:val="-6"/>
          <w:sz w:val="11"/>
        </w:rPr>
        <w:t>2</w:t>
      </w:r>
    </w:p>
    <w:p>
      <w:pPr>
        <w:pStyle w:val="BodyText"/>
        <w:spacing w:line="210" w:lineRule="exact"/>
        <w:ind w:left="157"/>
        <w:jc w:val="both"/>
      </w:pPr>
      <w:r>
        <w:rPr/>
        <w:t>storage in coal beds in conjunction with ECBM, because</w:t>
      </w:r>
      <w:r>
        <w:rPr>
          <w:spacing w:val="43"/>
        </w:rPr>
        <w:t> </w:t>
      </w:r>
      <w:r>
        <w:rPr/>
        <w:t>there</w:t>
      </w:r>
    </w:p>
    <w:p>
      <w:pPr>
        <w:spacing w:after="0" w:line="210" w:lineRule="exact"/>
        <w:jc w:val="both"/>
        <w:sectPr>
          <w:type w:val="continuous"/>
          <w:pgSz w:w="12240" w:h="15840"/>
          <w:pgMar w:top="400" w:bottom="280" w:left="580" w:right="600"/>
          <w:cols w:num="2" w:equalWidth="0">
            <w:col w:w="5241" w:space="86"/>
            <w:col w:w="5733"/>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BodyText"/>
        <w:spacing w:line="273" w:lineRule="exact" w:before="63"/>
        <w:ind w:left="553"/>
        <w:rPr>
          <w:sz w:val="11"/>
        </w:rPr>
      </w:pPr>
      <w:bookmarkStart w:name="5.9.5 Cost of monitoring" w:id="116"/>
      <w:bookmarkEnd w:id="116"/>
      <w:r>
        <w:rPr/>
      </w:r>
      <w:bookmarkStart w:name="5.9.6 Cost of remediation of leaky stora" w:id="117"/>
      <w:bookmarkEnd w:id="117"/>
      <w:r>
        <w:rPr/>
      </w:r>
      <w:bookmarkStart w:name="5.9.7 Cost reduction" w:id="118"/>
      <w:bookmarkEnd w:id="118"/>
      <w:r>
        <w:rPr/>
      </w:r>
      <w:r>
        <w:rPr/>
        <w:t>is no commercial experience. The suggested metric for CO</w:t>
      </w:r>
      <w:r>
        <w:rPr>
          <w:position w:val="-6"/>
          <w:sz w:val="11"/>
        </w:rPr>
        <w:t>2</w:t>
      </w:r>
    </w:p>
    <w:p>
      <w:pPr>
        <w:pStyle w:val="BodyText"/>
        <w:spacing w:before="63"/>
        <w:ind w:left="526"/>
      </w:pPr>
      <w:r>
        <w:rPr/>
        <w:br w:type="column"/>
      </w:r>
      <w:r>
        <w:rPr/>
        <w:t>Repeated use of seismic surveys was found to be an</w:t>
      </w:r>
    </w:p>
    <w:p>
      <w:pPr>
        <w:spacing w:after="0"/>
        <w:sectPr>
          <w:type w:val="continuous"/>
          <w:pgSz w:w="12240" w:h="15840"/>
          <w:pgMar w:top="400" w:bottom="280" w:left="580" w:right="600"/>
          <w:cols w:num="2" w:equalWidth="0">
            <w:col w:w="5597" w:space="40"/>
            <w:col w:w="5423"/>
          </w:cols>
        </w:sectPr>
      </w:pPr>
    </w:p>
    <w:p>
      <w:pPr>
        <w:pStyle w:val="BodyText"/>
        <w:spacing w:line="198" w:lineRule="exact"/>
        <w:ind w:left="553"/>
      </w:pPr>
      <w:r>
        <w:rPr/>
        <w:pict>
          <v:shape style="position:absolute;margin-left:171.073303pt;margin-top:6.67942pt;width:2.95pt;height:5.85pt;mso-position-horizontal-relative:page;mso-position-vertical-relative:paragraph;z-index:-25881497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retention is 1.5–10 m</w:t>
      </w:r>
      <w:r>
        <w:rPr>
          <w:position w:val="7"/>
          <w:sz w:val="11"/>
        </w:rPr>
        <w:t>3 </w:t>
      </w:r>
      <w:r>
        <w:rPr/>
        <w:t>of CO</w:t>
      </w:r>
    </w:p>
    <w:p>
      <w:pPr>
        <w:pStyle w:val="BodyText"/>
        <w:spacing w:line="198" w:lineRule="exact"/>
        <w:ind w:left="6"/>
      </w:pPr>
      <w:r>
        <w:rPr/>
        <w:br w:type="column"/>
      </w:r>
      <w:r>
        <w:rPr/>
        <w:t>per m</w:t>
      </w:r>
      <w:r>
        <w:rPr>
          <w:position w:val="7"/>
          <w:sz w:val="11"/>
        </w:rPr>
        <w:t>3 </w:t>
      </w:r>
      <w:r>
        <w:rPr/>
        <w:t>of produced methane. The</w:t>
      </w:r>
    </w:p>
    <w:p>
      <w:pPr>
        <w:pStyle w:val="BodyText"/>
        <w:spacing w:line="198" w:lineRule="exact"/>
        <w:ind w:left="242"/>
      </w:pPr>
      <w:r>
        <w:rPr/>
        <w:br w:type="column"/>
      </w:r>
      <w:r>
        <w:rPr/>
        <w:t>effective monitoring technology at Sleipner. Its applicability</w:t>
      </w:r>
    </w:p>
    <w:p>
      <w:pPr>
        <w:spacing w:after="0" w:line="198" w:lineRule="exact"/>
        <w:sectPr>
          <w:type w:val="continuous"/>
          <w:pgSz w:w="12240" w:h="15840"/>
          <w:pgMar w:top="400" w:bottom="280" w:left="580" w:right="600"/>
          <w:cols w:num="3" w:equalWidth="0">
            <w:col w:w="2900" w:space="40"/>
            <w:col w:w="2658" w:space="39"/>
            <w:col w:w="5423"/>
          </w:cols>
        </w:sectPr>
      </w:pPr>
    </w:p>
    <w:p>
      <w:pPr>
        <w:pStyle w:val="BodyText"/>
        <w:spacing w:before="10"/>
        <w:ind w:left="553"/>
      </w:pPr>
      <w:r>
        <w:rPr/>
        <w:t>revenue benefit of the enhanced production will depend on gas</w:t>
      </w:r>
    </w:p>
    <w:p>
      <w:pPr>
        <w:pStyle w:val="BodyText"/>
        <w:spacing w:before="10"/>
        <w:ind w:left="553"/>
      </w:pPr>
      <w:r>
        <w:rPr/>
        <w:t>prices.</w:t>
      </w:r>
    </w:p>
    <w:p>
      <w:pPr>
        <w:pStyle w:val="BodyText"/>
        <w:spacing w:line="249" w:lineRule="auto" w:before="10"/>
        <w:ind w:left="553" w:right="1" w:firstLine="283"/>
        <w:jc w:val="both"/>
      </w:pPr>
      <w:r>
        <w:rPr>
          <w:spacing w:val="-4"/>
        </w:rPr>
        <w:t>Well </w:t>
      </w:r>
      <w:r>
        <w:rPr/>
        <w:t>costs are a major factor in ECBM because  </w:t>
      </w:r>
      <w:r>
        <w:rPr>
          <w:spacing w:val="-4"/>
        </w:rPr>
        <w:t>many </w:t>
      </w:r>
      <w:r>
        <w:rPr/>
        <w:t>wells are required. In one recent study for an ECBM project (Schreurs, 2002), the cost per production well was given as approximately US$750,000 per well, plus 1500 US$ m</w:t>
      </w:r>
      <w:r>
        <w:rPr>
          <w:position w:val="7"/>
          <w:sz w:val="11"/>
        </w:rPr>
        <w:t>–1 </w:t>
      </w:r>
      <w:r>
        <w:rPr/>
        <w:t>of in- seam</w:t>
      </w:r>
      <w:r>
        <w:rPr>
          <w:spacing w:val="-16"/>
        </w:rPr>
        <w:t> </w:t>
      </w:r>
      <w:r>
        <w:rPr/>
        <w:t>drilling.</w:t>
      </w:r>
      <w:r>
        <w:rPr>
          <w:spacing w:val="-19"/>
        </w:rPr>
        <w:t> </w:t>
      </w:r>
      <w:r>
        <w:rPr/>
        <w:t>The</w:t>
      </w:r>
      <w:r>
        <w:rPr>
          <w:spacing w:val="-16"/>
        </w:rPr>
        <w:t> </w:t>
      </w:r>
      <w:r>
        <w:rPr/>
        <w:t>cost</w:t>
      </w:r>
      <w:r>
        <w:rPr>
          <w:spacing w:val="-16"/>
        </w:rPr>
        <w:t> </w:t>
      </w:r>
      <w:r>
        <w:rPr/>
        <w:t>of</w:t>
      </w:r>
      <w:r>
        <w:rPr>
          <w:spacing w:val="-16"/>
        </w:rPr>
        <w:t> </w:t>
      </w:r>
      <w:r>
        <w:rPr/>
        <w:t>each</w:t>
      </w:r>
      <w:r>
        <w:rPr>
          <w:spacing w:val="-16"/>
        </w:rPr>
        <w:t> </w:t>
      </w:r>
      <w:r>
        <w:rPr/>
        <w:t>injection</w:t>
      </w:r>
      <w:r>
        <w:rPr>
          <w:spacing w:val="-15"/>
        </w:rPr>
        <w:t> </w:t>
      </w:r>
      <w:r>
        <w:rPr/>
        <w:t>well</w:t>
      </w:r>
      <w:r>
        <w:rPr>
          <w:spacing w:val="-16"/>
        </w:rPr>
        <w:t> </w:t>
      </w:r>
      <w:r>
        <w:rPr/>
        <w:t>was</w:t>
      </w:r>
      <w:r>
        <w:rPr>
          <w:spacing w:val="-16"/>
        </w:rPr>
        <w:t> </w:t>
      </w:r>
      <w:r>
        <w:rPr/>
        <w:t>approximately US$430,000.</w:t>
      </w:r>
    </w:p>
    <w:p>
      <w:pPr>
        <w:pStyle w:val="BodyText"/>
        <w:spacing w:line="206" w:lineRule="auto" w:before="24"/>
        <w:ind w:left="553" w:firstLine="283"/>
        <w:jc w:val="both"/>
      </w:pPr>
      <w:r>
        <w:rPr/>
        <w:t>The</w:t>
      </w:r>
      <w:r>
        <w:rPr>
          <w:spacing w:val="-21"/>
        </w:rPr>
        <w:t> </w:t>
      </w:r>
      <w:r>
        <w:rPr/>
        <w:t>IEA-GHG</w:t>
      </w:r>
      <w:r>
        <w:rPr>
          <w:spacing w:val="-20"/>
        </w:rPr>
        <w:t> </w:t>
      </w:r>
      <w:r>
        <w:rPr/>
        <w:t>(1998)</w:t>
      </w:r>
      <w:r>
        <w:rPr>
          <w:spacing w:val="-20"/>
        </w:rPr>
        <w:t> </w:t>
      </w:r>
      <w:r>
        <w:rPr/>
        <w:t>developed</w:t>
      </w:r>
      <w:r>
        <w:rPr>
          <w:spacing w:val="-21"/>
        </w:rPr>
        <w:t> </w:t>
      </w:r>
      <w:r>
        <w:rPr/>
        <w:t>a</w:t>
      </w:r>
      <w:r>
        <w:rPr>
          <w:spacing w:val="-20"/>
        </w:rPr>
        <w:t> </w:t>
      </w:r>
      <w:r>
        <w:rPr/>
        <w:t>global</w:t>
      </w:r>
      <w:r>
        <w:rPr>
          <w:spacing w:val="-21"/>
        </w:rPr>
        <w:t> </w:t>
      </w:r>
      <w:r>
        <w:rPr/>
        <w:t>cost</w:t>
      </w:r>
      <w:r>
        <w:rPr>
          <w:spacing w:val="-21"/>
        </w:rPr>
        <w:t> </w:t>
      </w:r>
      <w:r>
        <w:rPr/>
        <w:t>curve</w:t>
      </w:r>
      <w:r>
        <w:rPr>
          <w:spacing w:val="-21"/>
        </w:rPr>
        <w:t> </w:t>
      </w:r>
      <w:r>
        <w:rPr/>
        <w:t>for</w:t>
      </w:r>
      <w:r>
        <w:rPr>
          <w:spacing w:val="-19"/>
        </w:rPr>
        <w:t> </w:t>
      </w:r>
      <w:r>
        <w:rPr/>
        <w:t>CO</w:t>
      </w:r>
      <w:r>
        <w:rPr>
          <w:position w:val="-6"/>
          <w:sz w:val="11"/>
        </w:rPr>
        <w:t>2</w:t>
      </w:r>
      <w:r>
        <w:rPr/>
        <w:t>- ECBM,</w:t>
      </w:r>
      <w:r>
        <w:rPr>
          <w:spacing w:val="-11"/>
        </w:rPr>
        <w:t> </w:t>
      </w:r>
      <w:r>
        <w:rPr/>
        <w:t>with</w:t>
      </w:r>
      <w:r>
        <w:rPr>
          <w:spacing w:val="-10"/>
        </w:rPr>
        <w:t> </w:t>
      </w:r>
      <w:r>
        <w:rPr/>
        <w:t>storage</w:t>
      </w:r>
      <w:r>
        <w:rPr>
          <w:spacing w:val="-10"/>
        </w:rPr>
        <w:t> </w:t>
      </w:r>
      <w:r>
        <w:rPr/>
        <w:t>costs</w:t>
      </w:r>
      <w:r>
        <w:rPr>
          <w:spacing w:val="-10"/>
        </w:rPr>
        <w:t> </w:t>
      </w:r>
      <w:r>
        <w:rPr/>
        <w:t>ranging</w:t>
      </w:r>
      <w:r>
        <w:rPr>
          <w:spacing w:val="-11"/>
        </w:rPr>
        <w:t> </w:t>
      </w:r>
      <w:r>
        <w:rPr/>
        <w:t>from</w:t>
      </w:r>
      <w:r>
        <w:rPr>
          <w:spacing w:val="-10"/>
        </w:rPr>
        <w:t> </w:t>
      </w:r>
      <w:r>
        <w:rPr/>
        <w:t>–20</w:t>
      </w:r>
      <w:r>
        <w:rPr>
          <w:spacing w:val="-10"/>
        </w:rPr>
        <w:t> </w:t>
      </w:r>
      <w:r>
        <w:rPr/>
        <w:t>to</w:t>
      </w:r>
      <w:r>
        <w:rPr>
          <w:spacing w:val="-10"/>
        </w:rPr>
        <w:t> </w:t>
      </w:r>
      <w:r>
        <w:rPr/>
        <w:t>+150</w:t>
      </w:r>
      <w:r>
        <w:rPr>
          <w:spacing w:val="-11"/>
        </w:rPr>
        <w:t> </w:t>
      </w:r>
      <w:r>
        <w:rPr/>
        <w:t>US$/tCO</w:t>
      </w:r>
      <w:r>
        <w:rPr>
          <w:position w:val="-6"/>
          <w:sz w:val="11"/>
        </w:rPr>
        <w:t>2</w:t>
      </w:r>
      <w:r>
        <w:rPr/>
        <w:t>. It</w:t>
      </w:r>
      <w:r>
        <w:rPr>
          <w:spacing w:val="19"/>
        </w:rPr>
        <w:t> </w:t>
      </w:r>
      <w:r>
        <w:rPr/>
        <w:t>concluded</w:t>
      </w:r>
      <w:r>
        <w:rPr>
          <w:spacing w:val="19"/>
        </w:rPr>
        <w:t> </w:t>
      </w:r>
      <w:r>
        <w:rPr/>
        <w:t>that</w:t>
      </w:r>
      <w:r>
        <w:rPr>
          <w:spacing w:val="20"/>
        </w:rPr>
        <w:t> </w:t>
      </w:r>
      <w:r>
        <w:rPr/>
        <w:t>only</w:t>
      </w:r>
      <w:r>
        <w:rPr>
          <w:spacing w:val="19"/>
        </w:rPr>
        <w:t> </w:t>
      </w:r>
      <w:r>
        <w:rPr/>
        <w:t>the</w:t>
      </w:r>
      <w:r>
        <w:rPr>
          <w:spacing w:val="19"/>
        </w:rPr>
        <w:t> </w:t>
      </w:r>
      <w:r>
        <w:rPr/>
        <w:t>most</w:t>
      </w:r>
      <w:r>
        <w:rPr>
          <w:spacing w:val="20"/>
        </w:rPr>
        <w:t> </w:t>
      </w:r>
      <w:r>
        <w:rPr/>
        <w:t>favourable</w:t>
      </w:r>
      <w:r>
        <w:rPr>
          <w:spacing w:val="19"/>
        </w:rPr>
        <w:t> </w:t>
      </w:r>
      <w:r>
        <w:rPr/>
        <w:t>sites,</w:t>
      </w:r>
      <w:r>
        <w:rPr>
          <w:spacing w:val="19"/>
        </w:rPr>
        <w:t> </w:t>
      </w:r>
      <w:r>
        <w:rPr/>
        <w:t>representing</w:t>
      </w:r>
    </w:p>
    <w:p>
      <w:pPr>
        <w:pStyle w:val="BodyText"/>
        <w:spacing w:line="240" w:lineRule="exact" w:before="1"/>
        <w:ind w:left="553" w:right="1"/>
        <w:jc w:val="both"/>
      </w:pPr>
      <w:r>
        <w:rPr/>
        <w:t>less than 10% of global capacity, could have negative </w:t>
      </w:r>
      <w:r>
        <w:rPr>
          <w:spacing w:val="-3"/>
        </w:rPr>
        <w:t>costs. </w:t>
      </w:r>
      <w:r>
        <w:rPr/>
        <w:t>Estimates of onshore CO</w:t>
      </w:r>
      <w:r>
        <w:rPr>
          <w:position w:val="-6"/>
          <w:sz w:val="11"/>
        </w:rPr>
        <w:t>2</w:t>
      </w:r>
      <w:r>
        <w:rPr/>
        <w:t>-ECBM storage costs in the United States have been made by using the approach described </w:t>
      </w:r>
      <w:r>
        <w:rPr>
          <w:spacing w:val="-4"/>
        </w:rPr>
        <w:t>for </w:t>
      </w:r>
      <w:r>
        <w:rPr/>
        <w:t>EOR (Bock </w:t>
      </w:r>
      <w:r>
        <w:rPr>
          <w:i/>
        </w:rPr>
        <w:t>et al.</w:t>
      </w:r>
      <w:r>
        <w:rPr/>
        <w:t>, 2003). They estimate the effectiveness </w:t>
      </w:r>
      <w:r>
        <w:rPr>
          <w:spacing w:val="-7"/>
        </w:rPr>
        <w:t>of </w:t>
      </w:r>
      <w:r>
        <w:rPr/>
        <w:t>ECBM in terms of CO</w:t>
      </w:r>
      <w:r>
        <w:rPr>
          <w:position w:val="-6"/>
          <w:sz w:val="11"/>
        </w:rPr>
        <w:t>2 </w:t>
      </w:r>
      <w:r>
        <w:rPr/>
        <w:t>injected for incremental gas produced, ranging from 1.5 to 10 units (base case value of 2) of CO</w:t>
      </w:r>
      <w:r>
        <w:rPr>
          <w:position w:val="-6"/>
          <w:sz w:val="11"/>
        </w:rPr>
        <w:t>2 </w:t>
      </w:r>
      <w:r>
        <w:rPr>
          <w:spacing w:val="-5"/>
        </w:rPr>
        <w:t>per </w:t>
      </w:r>
      <w:r>
        <w:rPr/>
        <w:t>unit of enhanced methane. Other key inputs are the gas well production rate, the ratio of producers to injectors, well </w:t>
      </w:r>
      <w:r>
        <w:rPr>
          <w:spacing w:val="-3"/>
        </w:rPr>
        <w:t>depth </w:t>
      </w:r>
      <w:r>
        <w:rPr/>
        <w:t>and the number of wells. The base case, storing 2.1 MtCO</w:t>
      </w:r>
      <w:r>
        <w:rPr>
          <w:position w:val="-6"/>
          <w:sz w:val="11"/>
        </w:rPr>
        <w:t>2 </w:t>
      </w:r>
      <w:r>
        <w:rPr/>
        <w:t>per year for a representative reservoir at 610 m depth in a newly built facility, requires 270 wells. The assumed gas price is US$1.90</w:t>
      </w:r>
      <w:r>
        <w:rPr>
          <w:spacing w:val="-11"/>
        </w:rPr>
        <w:t> </w:t>
      </w:r>
      <w:r>
        <w:rPr/>
        <w:t>per</w:t>
      </w:r>
      <w:r>
        <w:rPr>
          <w:spacing w:val="-10"/>
        </w:rPr>
        <w:t> </w:t>
      </w:r>
      <w:r>
        <w:rPr/>
        <w:t>GJ</w:t>
      </w:r>
      <w:r>
        <w:rPr>
          <w:spacing w:val="-11"/>
        </w:rPr>
        <w:t> </w:t>
      </w:r>
      <w:r>
        <w:rPr/>
        <w:t>(US$2.00</w:t>
      </w:r>
      <w:r>
        <w:rPr>
          <w:spacing w:val="-11"/>
        </w:rPr>
        <w:t> </w:t>
      </w:r>
      <w:r>
        <w:rPr/>
        <w:t>per</w:t>
      </w:r>
      <w:r>
        <w:rPr>
          <w:spacing w:val="-10"/>
        </w:rPr>
        <w:t> </w:t>
      </w:r>
      <w:r>
        <w:rPr/>
        <w:t>Mbtu).</w:t>
      </w:r>
      <w:r>
        <w:rPr>
          <w:spacing w:val="-11"/>
        </w:rPr>
        <w:t> </w:t>
      </w:r>
      <w:r>
        <w:rPr/>
        <w:t>It</w:t>
      </w:r>
      <w:r>
        <w:rPr>
          <w:spacing w:val="-10"/>
        </w:rPr>
        <w:t> </w:t>
      </w:r>
      <w:r>
        <w:rPr/>
        <w:t>has</w:t>
      </w:r>
      <w:r>
        <w:rPr>
          <w:spacing w:val="-11"/>
        </w:rPr>
        <w:t> </w:t>
      </w:r>
      <w:r>
        <w:rPr/>
        <w:t>a</w:t>
      </w:r>
      <w:r>
        <w:rPr>
          <w:spacing w:val="-10"/>
        </w:rPr>
        <w:t> </w:t>
      </w:r>
      <w:r>
        <w:rPr/>
        <w:t>net</w:t>
      </w:r>
      <w:r>
        <w:rPr>
          <w:spacing w:val="-11"/>
        </w:rPr>
        <w:t> </w:t>
      </w:r>
      <w:r>
        <w:rPr/>
        <w:t>storage</w:t>
      </w:r>
      <w:r>
        <w:rPr>
          <w:spacing w:val="-11"/>
        </w:rPr>
        <w:t> </w:t>
      </w:r>
      <w:r>
        <w:rPr/>
        <w:t>cost</w:t>
      </w:r>
      <w:r>
        <w:rPr>
          <w:spacing w:val="-10"/>
        </w:rPr>
        <w:t> </w:t>
      </w:r>
      <w:r>
        <w:rPr/>
        <w:t>of</w:t>
      </w:r>
    </w:p>
    <w:p>
      <w:pPr>
        <w:pStyle w:val="BodyText"/>
        <w:spacing w:line="206" w:lineRule="auto" w:before="24"/>
        <w:ind w:left="553" w:right="1"/>
        <w:jc w:val="both"/>
      </w:pPr>
      <w:r>
        <w:rPr/>
        <w:t>–8.1 US$/tCO</w:t>
      </w:r>
      <w:r>
        <w:rPr>
          <w:position w:val="-6"/>
          <w:sz w:val="11"/>
        </w:rPr>
        <w:t>2 </w:t>
      </w:r>
      <w:r>
        <w:rPr/>
        <w:t>stored. Low- and high-cost cases representing  a range of parameters are –26.4 and +11.1 US$/tCO</w:t>
      </w:r>
      <w:r>
        <w:rPr>
          <w:position w:val="-6"/>
          <w:sz w:val="11"/>
        </w:rPr>
        <w:t>2 </w:t>
      </w:r>
      <w:r>
        <w:rPr/>
        <w:t>stored. The</w:t>
      </w:r>
      <w:r>
        <w:rPr>
          <w:spacing w:val="13"/>
        </w:rPr>
        <w:t> </w:t>
      </w:r>
      <w:r>
        <w:rPr/>
        <w:t>range</w:t>
      </w:r>
      <w:r>
        <w:rPr>
          <w:spacing w:val="14"/>
        </w:rPr>
        <w:t> </w:t>
      </w:r>
      <w:r>
        <w:rPr/>
        <w:t>of</w:t>
      </w:r>
      <w:r>
        <w:rPr>
          <w:spacing w:val="13"/>
        </w:rPr>
        <w:t> </w:t>
      </w:r>
      <w:r>
        <w:rPr/>
        <w:t>these</w:t>
      </w:r>
      <w:r>
        <w:rPr>
          <w:spacing w:val="14"/>
        </w:rPr>
        <w:t> </w:t>
      </w:r>
      <w:r>
        <w:rPr/>
        <w:t>estimates</w:t>
      </w:r>
      <w:r>
        <w:rPr>
          <w:spacing w:val="13"/>
        </w:rPr>
        <w:t> </w:t>
      </w:r>
      <w:r>
        <w:rPr/>
        <w:t>is</w:t>
      </w:r>
      <w:r>
        <w:rPr>
          <w:spacing w:val="14"/>
        </w:rPr>
        <w:t> </w:t>
      </w:r>
      <w:r>
        <w:rPr/>
        <w:t>comparable</w:t>
      </w:r>
      <w:r>
        <w:rPr>
          <w:spacing w:val="13"/>
        </w:rPr>
        <w:t> </w:t>
      </w:r>
      <w:r>
        <w:rPr/>
        <w:t>to</w:t>
      </w:r>
      <w:r>
        <w:rPr>
          <w:spacing w:val="14"/>
        </w:rPr>
        <w:t> </w:t>
      </w:r>
      <w:r>
        <w:rPr/>
        <w:t>other</w:t>
      </w:r>
      <w:r>
        <w:rPr>
          <w:spacing w:val="13"/>
        </w:rPr>
        <w:t> </w:t>
      </w:r>
      <w:r>
        <w:rPr/>
        <w:t>estimates</w:t>
      </w:r>
    </w:p>
    <w:p>
      <w:pPr>
        <w:pStyle w:val="BodyText"/>
        <w:spacing w:line="240" w:lineRule="exact" w:before="2"/>
        <w:ind w:left="553" w:right="1"/>
        <w:jc w:val="both"/>
      </w:pPr>
      <w:r>
        <w:rPr/>
        <w:t>–</w:t>
      </w:r>
      <w:r>
        <w:rPr>
          <w:spacing w:val="-9"/>
        </w:rPr>
        <w:t> </w:t>
      </w:r>
      <w:r>
        <w:rPr/>
        <w:t>for</w:t>
      </w:r>
      <w:r>
        <w:rPr>
          <w:spacing w:val="-8"/>
        </w:rPr>
        <w:t> </w:t>
      </w:r>
      <w:r>
        <w:rPr/>
        <w:t>example,</w:t>
      </w:r>
      <w:r>
        <w:rPr>
          <w:spacing w:val="-8"/>
        </w:rPr>
        <w:t> </w:t>
      </w:r>
      <w:r>
        <w:rPr/>
        <w:t>those</w:t>
      </w:r>
      <w:r>
        <w:rPr>
          <w:spacing w:val="-8"/>
        </w:rPr>
        <w:t> </w:t>
      </w:r>
      <w:r>
        <w:rPr/>
        <w:t>for</w:t>
      </w:r>
      <w:r>
        <w:rPr>
          <w:spacing w:val="-8"/>
        </w:rPr>
        <w:t> </w:t>
      </w:r>
      <w:r>
        <w:rPr/>
        <w:t>Canada</w:t>
      </w:r>
      <w:r>
        <w:rPr>
          <w:spacing w:val="-9"/>
        </w:rPr>
        <w:t> </w:t>
      </w:r>
      <w:r>
        <w:rPr>
          <w:spacing w:val="-4"/>
        </w:rPr>
        <w:t>(Wong</w:t>
      </w:r>
      <w:r>
        <w:rPr>
          <w:spacing w:val="-9"/>
        </w:rPr>
        <w:t> </w:t>
      </w:r>
      <w:r>
        <w:rPr>
          <w:i/>
        </w:rPr>
        <w:t>et</w:t>
      </w:r>
      <w:r>
        <w:rPr>
          <w:i/>
          <w:spacing w:val="-8"/>
        </w:rPr>
        <w:t> </w:t>
      </w:r>
      <w:r>
        <w:rPr>
          <w:i/>
        </w:rPr>
        <w:t>al.</w:t>
      </w:r>
      <w:r>
        <w:rPr/>
        <w:t>,</w:t>
      </w:r>
      <w:r>
        <w:rPr>
          <w:spacing w:val="-8"/>
        </w:rPr>
        <w:t> </w:t>
      </w:r>
      <w:r>
        <w:rPr/>
        <w:t>2001)</w:t>
      </w:r>
      <w:r>
        <w:rPr>
          <w:spacing w:val="-8"/>
        </w:rPr>
        <w:t> </w:t>
      </w:r>
      <w:r>
        <w:rPr/>
        <w:t>and</w:t>
      </w:r>
      <w:r>
        <w:rPr>
          <w:spacing w:val="-8"/>
        </w:rPr>
        <w:t> </w:t>
      </w:r>
      <w:r>
        <w:rPr>
          <w:spacing w:val="-3"/>
        </w:rPr>
        <w:t>Europe </w:t>
      </w:r>
      <w:r>
        <w:rPr/>
        <w:t>(Hendriks </w:t>
      </w:r>
      <w:r>
        <w:rPr>
          <w:i/>
        </w:rPr>
        <w:t>et al.</w:t>
      </w:r>
      <w:r>
        <w:rPr/>
        <w:t>, 2002), 0 to +31.5 US$/tCO</w:t>
      </w:r>
      <w:r>
        <w:rPr>
          <w:position w:val="-6"/>
          <w:sz w:val="11"/>
        </w:rPr>
        <w:t>2</w:t>
      </w:r>
      <w:r>
        <w:rPr/>
        <w:t>. Enhanced CBM has</w:t>
      </w:r>
      <w:r>
        <w:rPr>
          <w:spacing w:val="-12"/>
        </w:rPr>
        <w:t> </w:t>
      </w:r>
      <w:r>
        <w:rPr/>
        <w:t>not</w:t>
      </w:r>
      <w:r>
        <w:rPr>
          <w:spacing w:val="-11"/>
        </w:rPr>
        <w:t> </w:t>
      </w:r>
      <w:r>
        <w:rPr/>
        <w:t>been</w:t>
      </w:r>
      <w:r>
        <w:rPr>
          <w:spacing w:val="-11"/>
        </w:rPr>
        <w:t> </w:t>
      </w:r>
      <w:r>
        <w:rPr/>
        <w:t>considered</w:t>
      </w:r>
      <w:r>
        <w:rPr>
          <w:spacing w:val="-11"/>
        </w:rPr>
        <w:t> </w:t>
      </w:r>
      <w:r>
        <w:rPr/>
        <w:t>in</w:t>
      </w:r>
      <w:r>
        <w:rPr>
          <w:spacing w:val="-12"/>
        </w:rPr>
        <w:t> </w:t>
      </w:r>
      <w:r>
        <w:rPr/>
        <w:t>detail</w:t>
      </w:r>
      <w:r>
        <w:rPr>
          <w:spacing w:val="-11"/>
        </w:rPr>
        <w:t> </w:t>
      </w:r>
      <w:r>
        <w:rPr/>
        <w:t>for</w:t>
      </w:r>
      <w:r>
        <w:rPr>
          <w:spacing w:val="-11"/>
        </w:rPr>
        <w:t> </w:t>
      </w:r>
      <w:r>
        <w:rPr/>
        <w:t>offshore</w:t>
      </w:r>
      <w:r>
        <w:rPr>
          <w:spacing w:val="-11"/>
        </w:rPr>
        <w:t> </w:t>
      </w:r>
      <w:r>
        <w:rPr/>
        <w:t>situations</w:t>
      </w:r>
      <w:r>
        <w:rPr>
          <w:spacing w:val="-12"/>
        </w:rPr>
        <w:t> </w:t>
      </w:r>
      <w:r>
        <w:rPr/>
        <w:t>and</w:t>
      </w:r>
      <w:r>
        <w:rPr>
          <w:spacing w:val="-11"/>
        </w:rPr>
        <w:t> </w:t>
      </w:r>
      <w:r>
        <w:rPr/>
        <w:t>cost estimates are not available.</w:t>
      </w:r>
    </w:p>
    <w:p>
      <w:pPr>
        <w:pStyle w:val="BodyText"/>
        <w:spacing w:line="240" w:lineRule="exact"/>
        <w:ind w:left="553" w:right="1" w:firstLine="283"/>
        <w:jc w:val="both"/>
      </w:pPr>
      <w:r>
        <w:rPr/>
        <w:t>Only</w:t>
      </w:r>
      <w:r>
        <w:rPr>
          <w:spacing w:val="-17"/>
        </w:rPr>
        <w:t> </w:t>
      </w:r>
      <w:r>
        <w:rPr/>
        <w:t>one</w:t>
      </w:r>
      <w:r>
        <w:rPr>
          <w:spacing w:val="-16"/>
        </w:rPr>
        <w:t> </w:t>
      </w:r>
      <w:r>
        <w:rPr/>
        <w:t>industrial-scale</w:t>
      </w:r>
      <w:r>
        <w:rPr>
          <w:spacing w:val="-17"/>
        </w:rPr>
        <w:t> </w:t>
      </w:r>
      <w:r>
        <w:rPr/>
        <w:t>CO</w:t>
      </w:r>
      <w:r>
        <w:rPr>
          <w:position w:val="-6"/>
          <w:sz w:val="11"/>
        </w:rPr>
        <w:t>2</w:t>
      </w:r>
      <w:r>
        <w:rPr/>
        <w:t>-ECBM</w:t>
      </w:r>
      <w:r>
        <w:rPr>
          <w:spacing w:val="-16"/>
        </w:rPr>
        <w:t> </w:t>
      </w:r>
      <w:r>
        <w:rPr/>
        <w:t>demonstration</w:t>
      </w:r>
      <w:r>
        <w:rPr>
          <w:spacing w:val="-17"/>
        </w:rPr>
        <w:t> </w:t>
      </w:r>
      <w:r>
        <w:rPr/>
        <w:t>project has taken place to date, the Allison project in the United States and it is no longer injecting CO</w:t>
      </w:r>
      <w:r>
        <w:rPr>
          <w:position w:val="-6"/>
          <w:sz w:val="11"/>
        </w:rPr>
        <w:t>2 </w:t>
      </w:r>
      <w:hyperlink w:history="true" w:anchor="_bookmark30">
        <w:r>
          <w:rPr/>
          <w:t>(Box</w:t>
        </w:r>
      </w:hyperlink>
      <w:r>
        <w:rPr/>
        <w:t> 5.7). One analysis of  the Allison project, which has extremely favourable geological characteristics, suggests the economics of ECBM in the</w:t>
      </w:r>
      <w:r>
        <w:rPr>
          <w:spacing w:val="-21"/>
        </w:rPr>
        <w:t> </w:t>
      </w:r>
      <w:r>
        <w:rPr/>
        <w:t>United States</w:t>
      </w:r>
      <w:r>
        <w:rPr>
          <w:spacing w:val="-12"/>
        </w:rPr>
        <w:t> </w:t>
      </w:r>
      <w:r>
        <w:rPr/>
        <w:t>are</w:t>
      </w:r>
      <w:r>
        <w:rPr>
          <w:spacing w:val="-11"/>
        </w:rPr>
        <w:t> </w:t>
      </w:r>
      <w:r>
        <w:rPr/>
        <w:t>dubious</w:t>
      </w:r>
      <w:r>
        <w:rPr>
          <w:spacing w:val="-10"/>
        </w:rPr>
        <w:t> </w:t>
      </w:r>
      <w:r>
        <w:rPr/>
        <w:t>under</w:t>
      </w:r>
      <w:r>
        <w:rPr>
          <w:spacing w:val="-10"/>
        </w:rPr>
        <w:t> </w:t>
      </w:r>
      <w:r>
        <w:rPr/>
        <w:t>current</w:t>
      </w:r>
      <w:r>
        <w:rPr>
          <w:spacing w:val="-12"/>
        </w:rPr>
        <w:t> </w:t>
      </w:r>
      <w:r>
        <w:rPr/>
        <w:t>fiscal</w:t>
      </w:r>
      <w:r>
        <w:rPr>
          <w:spacing w:val="-11"/>
        </w:rPr>
        <w:t> </w:t>
      </w:r>
      <w:r>
        <w:rPr/>
        <w:t>conditions</w:t>
      </w:r>
      <w:r>
        <w:rPr>
          <w:spacing w:val="-11"/>
        </w:rPr>
        <w:t> </w:t>
      </w:r>
      <w:r>
        <w:rPr/>
        <w:t>and</w:t>
      </w:r>
      <w:r>
        <w:rPr>
          <w:spacing w:val="-10"/>
        </w:rPr>
        <w:t> </w:t>
      </w:r>
      <w:r>
        <w:rPr/>
        <w:t>gas</w:t>
      </w:r>
      <w:r>
        <w:rPr>
          <w:spacing w:val="-10"/>
        </w:rPr>
        <w:t> </w:t>
      </w:r>
      <w:r>
        <w:rPr/>
        <w:t>prices (IEA-GHG, 2004). The economic analyses suggest this would be commercial, with high gas prices about 4 US$ per GJ) and a credit of 12–18 US$/tCO</w:t>
      </w:r>
      <w:r>
        <w:rPr>
          <w:position w:val="-6"/>
          <w:sz w:val="11"/>
        </w:rPr>
        <w:t>2</w:t>
      </w:r>
      <w:r>
        <w:rPr/>
        <w:t>. Alternatively, Reeves (2005) used detailed</w:t>
      </w:r>
      <w:r>
        <w:rPr>
          <w:spacing w:val="-10"/>
        </w:rPr>
        <w:t> </w:t>
      </w:r>
      <w:r>
        <w:rPr/>
        <w:t>modelling</w:t>
      </w:r>
      <w:r>
        <w:rPr>
          <w:spacing w:val="-9"/>
        </w:rPr>
        <w:t> </w:t>
      </w:r>
      <w:r>
        <w:rPr/>
        <w:t>and</w:t>
      </w:r>
      <w:r>
        <w:rPr>
          <w:spacing w:val="-10"/>
        </w:rPr>
        <w:t> </w:t>
      </w:r>
      <w:r>
        <w:rPr/>
        <w:t>economic</w:t>
      </w:r>
      <w:r>
        <w:rPr>
          <w:spacing w:val="-9"/>
        </w:rPr>
        <w:t> </w:t>
      </w:r>
      <w:r>
        <w:rPr/>
        <w:t>analysis</w:t>
      </w:r>
      <w:r>
        <w:rPr>
          <w:spacing w:val="-9"/>
        </w:rPr>
        <w:t> </w:t>
      </w:r>
      <w:r>
        <w:rPr/>
        <w:t>to</w:t>
      </w:r>
      <w:r>
        <w:rPr>
          <w:spacing w:val="-10"/>
        </w:rPr>
        <w:t> </w:t>
      </w:r>
      <w:r>
        <w:rPr/>
        <w:t>show</w:t>
      </w:r>
      <w:r>
        <w:rPr>
          <w:spacing w:val="-9"/>
        </w:rPr>
        <w:t> </w:t>
      </w:r>
      <w:r>
        <w:rPr/>
        <w:t>a</w:t>
      </w:r>
      <w:r>
        <w:rPr>
          <w:spacing w:val="-9"/>
        </w:rPr>
        <w:t> </w:t>
      </w:r>
      <w:r>
        <w:rPr/>
        <w:t>break-even gas price of US$2.44 per GJ (US$2.57 per Mbtu), including costs of 5.19 US$/tCO</w:t>
      </w:r>
      <w:r>
        <w:rPr>
          <w:position w:val="-6"/>
          <w:sz w:val="11"/>
        </w:rPr>
        <w:t>2 </w:t>
      </w:r>
      <w:r>
        <w:rPr/>
        <w:t>for CO</w:t>
      </w:r>
      <w:r>
        <w:rPr>
          <w:position w:val="-6"/>
          <w:sz w:val="11"/>
        </w:rPr>
        <w:t>2 </w:t>
      </w:r>
      <w:r>
        <w:rPr/>
        <w:t>purchased at the</w:t>
      </w:r>
      <w:r>
        <w:rPr>
          <w:spacing w:val="-17"/>
        </w:rPr>
        <w:t> </w:t>
      </w:r>
      <w:r>
        <w:rPr/>
        <w:t>field.</w:t>
      </w:r>
    </w:p>
    <w:p>
      <w:pPr>
        <w:pStyle w:val="BodyText"/>
        <w:spacing w:before="3"/>
        <w:rPr>
          <w:sz w:val="21"/>
        </w:rPr>
      </w:pPr>
    </w:p>
    <w:p>
      <w:pPr>
        <w:pStyle w:val="Heading2"/>
        <w:numPr>
          <w:ilvl w:val="2"/>
          <w:numId w:val="7"/>
        </w:numPr>
        <w:tabs>
          <w:tab w:pos="1373" w:val="left" w:leader="none"/>
          <w:tab w:pos="1374" w:val="left" w:leader="none"/>
        </w:tabs>
        <w:spacing w:line="240" w:lineRule="auto" w:before="0" w:after="0"/>
        <w:ind w:left="1373" w:right="0" w:hanging="821"/>
        <w:jc w:val="left"/>
        <w:rPr>
          <w:i/>
        </w:rPr>
      </w:pPr>
      <w:r>
        <w:rPr>
          <w:i/>
        </w:rPr>
        <w:t>Cost of monitoring</w:t>
      </w:r>
    </w:p>
    <w:p>
      <w:pPr>
        <w:pStyle w:val="BodyText"/>
        <w:spacing w:before="9"/>
        <w:rPr>
          <w:b/>
          <w:i/>
          <w:sz w:val="21"/>
        </w:rPr>
      </w:pPr>
    </w:p>
    <w:p>
      <w:pPr>
        <w:pStyle w:val="BodyText"/>
        <w:spacing w:line="249" w:lineRule="auto"/>
        <w:ind w:left="553"/>
        <w:jc w:val="both"/>
      </w:pPr>
      <w:r>
        <w:rPr/>
        <w:t>While there has been extensive discussion of possible monitoring</w:t>
      </w:r>
      <w:r>
        <w:rPr>
          <w:spacing w:val="-11"/>
        </w:rPr>
        <w:t> </w:t>
      </w:r>
      <w:r>
        <w:rPr/>
        <w:t>strategies</w:t>
      </w:r>
      <w:r>
        <w:rPr>
          <w:spacing w:val="-10"/>
        </w:rPr>
        <w:t> </w:t>
      </w:r>
      <w:r>
        <w:rPr/>
        <w:t>in</w:t>
      </w:r>
      <w:r>
        <w:rPr>
          <w:spacing w:val="-10"/>
        </w:rPr>
        <w:t> </w:t>
      </w:r>
      <w:r>
        <w:rPr/>
        <w:t>the</w:t>
      </w:r>
      <w:r>
        <w:rPr>
          <w:spacing w:val="-10"/>
        </w:rPr>
        <w:t> </w:t>
      </w:r>
      <w:r>
        <w:rPr/>
        <w:t>literature</w:t>
      </w:r>
      <w:r>
        <w:rPr>
          <w:spacing w:val="-10"/>
        </w:rPr>
        <w:t> </w:t>
      </w:r>
      <w:r>
        <w:rPr/>
        <w:t>and</w:t>
      </w:r>
      <w:r>
        <w:rPr>
          <w:spacing w:val="-10"/>
        </w:rPr>
        <w:t> </w:t>
      </w:r>
      <w:r>
        <w:rPr/>
        <w:t>technologies</w:t>
      </w:r>
      <w:r>
        <w:rPr>
          <w:spacing w:val="-10"/>
        </w:rPr>
        <w:t> </w:t>
      </w:r>
      <w:r>
        <w:rPr/>
        <w:t>that</w:t>
      </w:r>
      <w:r>
        <w:rPr>
          <w:spacing w:val="-10"/>
        </w:rPr>
        <w:t> </w:t>
      </w:r>
      <w:r>
        <w:rPr/>
        <w:t>may be applicable, there is limited information on monitoring costs. These will depend on the monitoring strategy and technologies used and how these are adapted for the duration of storage projects. Some of the technologies likely to be used are</w:t>
      </w:r>
      <w:r>
        <w:rPr>
          <w:spacing w:val="-33"/>
        </w:rPr>
        <w:t> </w:t>
      </w:r>
      <w:r>
        <w:rPr/>
        <w:t>already in widespread use in the oil and  gas  and  CBM</w:t>
      </w:r>
      <w:r>
        <w:rPr>
          <w:spacing w:val="21"/>
        </w:rPr>
        <w:t> </w:t>
      </w:r>
      <w:r>
        <w:rPr/>
        <w:t>industries. The costs of individual technologies in current use are </w:t>
      </w:r>
      <w:r>
        <w:rPr>
          <w:spacing w:val="-4"/>
        </w:rPr>
        <w:t>well </w:t>
      </w:r>
      <w:r>
        <w:rPr/>
        <w:t>constrained.</w:t>
      </w:r>
    </w:p>
    <w:p>
      <w:pPr>
        <w:pStyle w:val="BodyText"/>
        <w:spacing w:line="240" w:lineRule="exact" w:before="4"/>
        <w:ind w:left="240" w:right="132"/>
        <w:jc w:val="both"/>
      </w:pPr>
      <w:r>
        <w:rPr/>
        <w:br w:type="column"/>
      </w:r>
      <w:r>
        <w:rPr/>
        <w:t>will vary between options and sites. Seismic survey costs are highly variable, according to the technology used,  location and terrain and complexity. Seismic monitoring costs</w:t>
      </w:r>
      <w:r>
        <w:rPr>
          <w:spacing w:val="34"/>
        </w:rPr>
        <w:t> </w:t>
      </w:r>
      <w:r>
        <w:rPr/>
        <w:t>have been reviewed for an onshore storage project for a 1000 MW power plant with a 30-year life (Myer </w:t>
      </w:r>
      <w:r>
        <w:rPr>
          <w:i/>
        </w:rPr>
        <w:t>et al.</w:t>
      </w:r>
      <w:r>
        <w:rPr/>
        <w:t>, 2003). Assuming repeat</w:t>
      </w:r>
      <w:r>
        <w:rPr>
          <w:spacing w:val="-7"/>
        </w:rPr>
        <w:t> </w:t>
      </w:r>
      <w:r>
        <w:rPr/>
        <w:t>surveys</w:t>
      </w:r>
      <w:r>
        <w:rPr>
          <w:spacing w:val="-7"/>
        </w:rPr>
        <w:t> </w:t>
      </w:r>
      <w:r>
        <w:rPr/>
        <w:t>at</w:t>
      </w:r>
      <w:r>
        <w:rPr>
          <w:spacing w:val="-7"/>
        </w:rPr>
        <w:t> </w:t>
      </w:r>
      <w:r>
        <w:rPr/>
        <w:t>five-year</w:t>
      </w:r>
      <w:r>
        <w:rPr>
          <w:spacing w:val="-7"/>
        </w:rPr>
        <w:t> </w:t>
      </w:r>
      <w:r>
        <w:rPr/>
        <w:t>intervals</w:t>
      </w:r>
      <w:r>
        <w:rPr>
          <w:spacing w:val="-7"/>
        </w:rPr>
        <w:t> </w:t>
      </w:r>
      <w:r>
        <w:rPr/>
        <w:t>during</w:t>
      </w:r>
      <w:r>
        <w:rPr>
          <w:spacing w:val="-7"/>
        </w:rPr>
        <w:t> </w:t>
      </w:r>
      <w:r>
        <w:rPr/>
        <w:t>the</w:t>
      </w:r>
      <w:r>
        <w:rPr>
          <w:spacing w:val="-7"/>
        </w:rPr>
        <w:t> </w:t>
      </w:r>
      <w:r>
        <w:rPr/>
        <w:t>injection</w:t>
      </w:r>
      <w:r>
        <w:rPr>
          <w:spacing w:val="-7"/>
        </w:rPr>
        <w:t> </w:t>
      </w:r>
      <w:r>
        <w:rPr/>
        <w:t>period, monitoring costs are estimated as 0.03 US$/tCO</w:t>
      </w:r>
      <w:r>
        <w:rPr>
          <w:position w:val="-6"/>
          <w:sz w:val="11"/>
        </w:rPr>
        <w:t>2</w:t>
      </w:r>
      <w:r>
        <w:rPr/>
        <w:t>, suggesting that seismic monitoring may represent only a small fraction of overall storage costs. No discounting was used to develop this estimate.</w:t>
      </w:r>
    </w:p>
    <w:p>
      <w:pPr>
        <w:pStyle w:val="BodyText"/>
        <w:spacing w:before="6"/>
        <w:ind w:right="133"/>
        <w:jc w:val="right"/>
      </w:pPr>
      <w:r>
        <w:rPr/>
        <w:t>Benson</w:t>
      </w:r>
      <w:r>
        <w:rPr>
          <w:spacing w:val="19"/>
        </w:rPr>
        <w:t> </w:t>
      </w:r>
      <w:r>
        <w:rPr>
          <w:i/>
        </w:rPr>
        <w:t>et</w:t>
      </w:r>
      <w:r>
        <w:rPr>
          <w:i/>
          <w:spacing w:val="19"/>
        </w:rPr>
        <w:t> </w:t>
      </w:r>
      <w:r>
        <w:rPr>
          <w:i/>
        </w:rPr>
        <w:t>al.</w:t>
      </w:r>
      <w:r>
        <w:rPr>
          <w:i/>
          <w:spacing w:val="19"/>
        </w:rPr>
        <w:t> </w:t>
      </w:r>
      <w:r>
        <w:rPr/>
        <w:t>(2005)</w:t>
      </w:r>
      <w:r>
        <w:rPr>
          <w:spacing w:val="19"/>
        </w:rPr>
        <w:t> </w:t>
      </w:r>
      <w:r>
        <w:rPr/>
        <w:t>have</w:t>
      </w:r>
      <w:r>
        <w:rPr>
          <w:spacing w:val="19"/>
        </w:rPr>
        <w:t> </w:t>
      </w:r>
      <w:r>
        <w:rPr/>
        <w:t>estimated</w:t>
      </w:r>
      <w:r>
        <w:rPr>
          <w:spacing w:val="19"/>
        </w:rPr>
        <w:t> </w:t>
      </w:r>
      <w:r>
        <w:rPr/>
        <w:t>life-cycle</w:t>
      </w:r>
      <w:r>
        <w:rPr>
          <w:spacing w:val="19"/>
        </w:rPr>
        <w:t> </w:t>
      </w:r>
      <w:r>
        <w:rPr/>
        <w:t>monitoring</w:t>
      </w:r>
    </w:p>
    <w:p>
      <w:pPr>
        <w:pStyle w:val="BodyText"/>
        <w:spacing w:before="10"/>
        <w:ind w:right="135"/>
        <w:jc w:val="right"/>
      </w:pPr>
      <w:r>
        <w:rPr/>
        <w:t>costs</w:t>
      </w:r>
      <w:r>
        <w:rPr>
          <w:spacing w:val="-8"/>
        </w:rPr>
        <w:t> </w:t>
      </w:r>
      <w:r>
        <w:rPr/>
        <w:t>for</w:t>
      </w:r>
      <w:r>
        <w:rPr>
          <w:spacing w:val="-8"/>
        </w:rPr>
        <w:t> </w:t>
      </w:r>
      <w:r>
        <w:rPr/>
        <w:t>two</w:t>
      </w:r>
      <w:r>
        <w:rPr>
          <w:spacing w:val="-8"/>
        </w:rPr>
        <w:t> </w:t>
      </w:r>
      <w:r>
        <w:rPr/>
        <w:t>scenarios:</w:t>
      </w:r>
      <w:r>
        <w:rPr>
          <w:spacing w:val="-7"/>
        </w:rPr>
        <w:t> </w:t>
      </w:r>
      <w:r>
        <w:rPr/>
        <w:t>(1)</w:t>
      </w:r>
      <w:r>
        <w:rPr>
          <w:spacing w:val="-8"/>
        </w:rPr>
        <w:t> </w:t>
      </w:r>
      <w:r>
        <w:rPr/>
        <w:t>storage</w:t>
      </w:r>
      <w:r>
        <w:rPr>
          <w:spacing w:val="-8"/>
        </w:rPr>
        <w:t> </w:t>
      </w:r>
      <w:r>
        <w:rPr/>
        <w:t>in</w:t>
      </w:r>
      <w:r>
        <w:rPr>
          <w:spacing w:val="-8"/>
        </w:rPr>
        <w:t> </w:t>
      </w:r>
      <w:r>
        <w:rPr/>
        <w:t>an</w:t>
      </w:r>
      <w:r>
        <w:rPr>
          <w:spacing w:val="-7"/>
        </w:rPr>
        <w:t> </w:t>
      </w:r>
      <w:r>
        <w:rPr/>
        <w:t>oil</w:t>
      </w:r>
      <w:r>
        <w:rPr>
          <w:spacing w:val="-8"/>
        </w:rPr>
        <w:t> </w:t>
      </w:r>
      <w:r>
        <w:rPr/>
        <w:t>field</w:t>
      </w:r>
      <w:r>
        <w:rPr>
          <w:spacing w:val="-8"/>
        </w:rPr>
        <w:t> </w:t>
      </w:r>
      <w:r>
        <w:rPr/>
        <w:t>with</w:t>
      </w:r>
      <w:r>
        <w:rPr>
          <w:spacing w:val="-8"/>
        </w:rPr>
        <w:t> </w:t>
      </w:r>
      <w:r>
        <w:rPr/>
        <w:t>EOR</w:t>
      </w:r>
      <w:r>
        <w:rPr>
          <w:spacing w:val="-7"/>
        </w:rPr>
        <w:t> </w:t>
      </w:r>
      <w:r>
        <w:rPr/>
        <w:t>and</w:t>
      </w:r>
    </w:p>
    <w:p>
      <w:pPr>
        <w:pStyle w:val="BodyText"/>
        <w:spacing w:line="240" w:lineRule="exact" w:before="4"/>
        <w:ind w:left="240" w:right="119"/>
        <w:jc w:val="both"/>
      </w:pPr>
      <w:r>
        <w:rPr/>
        <w:t>(2)</w:t>
      </w:r>
      <w:r>
        <w:rPr>
          <w:spacing w:val="-12"/>
        </w:rPr>
        <w:t> </w:t>
      </w:r>
      <w:r>
        <w:rPr/>
        <w:t>storage</w:t>
      </w:r>
      <w:r>
        <w:rPr>
          <w:spacing w:val="-13"/>
        </w:rPr>
        <w:t> </w:t>
      </w:r>
      <w:r>
        <w:rPr/>
        <w:t>in</w:t>
      </w:r>
      <w:r>
        <w:rPr>
          <w:spacing w:val="-12"/>
        </w:rPr>
        <w:t> </w:t>
      </w:r>
      <w:r>
        <w:rPr/>
        <w:t>a</w:t>
      </w:r>
      <w:r>
        <w:rPr>
          <w:spacing w:val="-12"/>
        </w:rPr>
        <w:t> </w:t>
      </w:r>
      <w:r>
        <w:rPr/>
        <w:t>saline</w:t>
      </w:r>
      <w:r>
        <w:rPr>
          <w:spacing w:val="-13"/>
        </w:rPr>
        <w:t> </w:t>
      </w:r>
      <w:r>
        <w:rPr/>
        <w:t>formation.</w:t>
      </w:r>
      <w:r>
        <w:rPr>
          <w:spacing w:val="-13"/>
        </w:rPr>
        <w:t> </w:t>
      </w:r>
      <w:r>
        <w:rPr/>
        <w:t>For</w:t>
      </w:r>
      <w:r>
        <w:rPr>
          <w:spacing w:val="-13"/>
        </w:rPr>
        <w:t> </w:t>
      </w:r>
      <w:r>
        <w:rPr/>
        <w:t>these</w:t>
      </w:r>
      <w:r>
        <w:rPr>
          <w:spacing w:val="-12"/>
        </w:rPr>
        <w:t> </w:t>
      </w:r>
      <w:r>
        <w:rPr/>
        <w:t>scenarios,</w:t>
      </w:r>
      <w:r>
        <w:rPr>
          <w:spacing w:val="-13"/>
        </w:rPr>
        <w:t> </w:t>
      </w:r>
      <w:r>
        <w:rPr/>
        <w:t>no</w:t>
      </w:r>
      <w:r>
        <w:rPr>
          <w:spacing w:val="-12"/>
        </w:rPr>
        <w:t> </w:t>
      </w:r>
      <w:r>
        <w:rPr/>
        <w:t>explicit leakage</w:t>
      </w:r>
      <w:r>
        <w:rPr>
          <w:spacing w:val="-18"/>
        </w:rPr>
        <w:t> </w:t>
      </w:r>
      <w:r>
        <w:rPr/>
        <w:t>was</w:t>
      </w:r>
      <w:r>
        <w:rPr>
          <w:spacing w:val="-17"/>
        </w:rPr>
        <w:t> </w:t>
      </w:r>
      <w:r>
        <w:rPr/>
        <w:t>considered.</w:t>
      </w:r>
      <w:r>
        <w:rPr>
          <w:spacing w:val="-18"/>
        </w:rPr>
        <w:t> </w:t>
      </w:r>
      <w:r>
        <w:rPr/>
        <w:t>If</w:t>
      </w:r>
      <w:r>
        <w:rPr>
          <w:spacing w:val="-17"/>
        </w:rPr>
        <w:t> </w:t>
      </w:r>
      <w:r>
        <w:rPr/>
        <w:t>leakage</w:t>
      </w:r>
      <w:r>
        <w:rPr>
          <w:spacing w:val="-17"/>
        </w:rPr>
        <w:t> </w:t>
      </w:r>
      <w:r>
        <w:rPr/>
        <w:t>were</w:t>
      </w:r>
      <w:r>
        <w:rPr>
          <w:spacing w:val="-18"/>
        </w:rPr>
        <w:t> </w:t>
      </w:r>
      <w:r>
        <w:rPr/>
        <w:t>to</w:t>
      </w:r>
      <w:r>
        <w:rPr>
          <w:spacing w:val="-17"/>
        </w:rPr>
        <w:t> </w:t>
      </w:r>
      <w:r>
        <w:rPr/>
        <w:t>occur,</w:t>
      </w:r>
      <w:r>
        <w:rPr>
          <w:spacing w:val="-17"/>
        </w:rPr>
        <w:t> </w:t>
      </w:r>
      <w:r>
        <w:rPr/>
        <w:t>the</w:t>
      </w:r>
      <w:r>
        <w:rPr>
          <w:spacing w:val="-18"/>
        </w:rPr>
        <w:t> </w:t>
      </w:r>
      <w:r>
        <w:rPr/>
        <w:t>‘enhanced’ monitoring</w:t>
      </w:r>
      <w:r>
        <w:rPr>
          <w:spacing w:val="-8"/>
        </w:rPr>
        <w:t> </w:t>
      </w:r>
      <w:r>
        <w:rPr/>
        <w:t>programme</w:t>
      </w:r>
      <w:r>
        <w:rPr>
          <w:spacing w:val="-8"/>
        </w:rPr>
        <w:t> </w:t>
      </w:r>
      <w:r>
        <w:rPr/>
        <w:t>should</w:t>
      </w:r>
      <w:r>
        <w:rPr>
          <w:spacing w:val="-8"/>
        </w:rPr>
        <w:t> </w:t>
      </w:r>
      <w:r>
        <w:rPr/>
        <w:t>be</w:t>
      </w:r>
      <w:r>
        <w:rPr>
          <w:spacing w:val="-8"/>
        </w:rPr>
        <w:t> </w:t>
      </w:r>
      <w:r>
        <w:rPr/>
        <w:t>sufficient</w:t>
      </w:r>
      <w:r>
        <w:rPr>
          <w:spacing w:val="-8"/>
        </w:rPr>
        <w:t> </w:t>
      </w:r>
      <w:r>
        <w:rPr/>
        <w:t>to</w:t>
      </w:r>
      <w:r>
        <w:rPr>
          <w:spacing w:val="-7"/>
        </w:rPr>
        <w:t> </w:t>
      </w:r>
      <w:r>
        <w:rPr/>
        <w:t>detect</w:t>
      </w:r>
      <w:r>
        <w:rPr>
          <w:spacing w:val="-8"/>
        </w:rPr>
        <w:t> </w:t>
      </w:r>
      <w:r>
        <w:rPr/>
        <w:t>and</w:t>
      </w:r>
      <w:r>
        <w:rPr>
          <w:spacing w:val="-8"/>
        </w:rPr>
        <w:t> </w:t>
      </w:r>
      <w:r>
        <w:rPr/>
        <w:t>locate the leakage and may be sufficient to quantify leakage rates as well. For each scenario, cost estimates were developed for the ‘basic’and</w:t>
      </w:r>
      <w:r>
        <w:rPr>
          <w:spacing w:val="-27"/>
        </w:rPr>
        <w:t> </w:t>
      </w:r>
      <w:r>
        <w:rPr/>
        <w:t>‘enhanced’monitoring</w:t>
      </w:r>
      <w:r>
        <w:rPr>
          <w:spacing w:val="-27"/>
        </w:rPr>
        <w:t> </w:t>
      </w:r>
      <w:r>
        <w:rPr/>
        <w:t>package.</w:t>
      </w:r>
      <w:r>
        <w:rPr>
          <w:spacing w:val="-32"/>
        </w:rPr>
        <w:t> </w:t>
      </w:r>
      <w:r>
        <w:rPr/>
        <w:t>The</w:t>
      </w:r>
      <w:r>
        <w:rPr>
          <w:spacing w:val="-27"/>
        </w:rPr>
        <w:t> </w:t>
      </w:r>
      <w:r>
        <w:rPr/>
        <w:t>basic</w:t>
      </w:r>
      <w:r>
        <w:rPr>
          <w:spacing w:val="-27"/>
        </w:rPr>
        <w:t> </w:t>
      </w:r>
      <w:r>
        <w:rPr/>
        <w:t>monitoring package included periodic seismic surveys, microseismicity, wellhead pressure and injection-rate monitoring. The enhanced package included all of the elements of the ‘basic’ package</w:t>
      </w:r>
      <w:r>
        <w:rPr>
          <w:spacing w:val="-25"/>
        </w:rPr>
        <w:t> </w:t>
      </w:r>
      <w:r>
        <w:rPr/>
        <w:t>and added periodic well logging, surface CO</w:t>
      </w:r>
      <w:r>
        <w:rPr>
          <w:position w:val="-6"/>
          <w:sz w:val="11"/>
        </w:rPr>
        <w:t>2 </w:t>
      </w:r>
      <w:r>
        <w:rPr/>
        <w:t>flux monitoring and other</w:t>
      </w:r>
      <w:r>
        <w:rPr>
          <w:spacing w:val="-10"/>
        </w:rPr>
        <w:t> </w:t>
      </w:r>
      <w:r>
        <w:rPr/>
        <w:t>advanced</w:t>
      </w:r>
      <w:r>
        <w:rPr>
          <w:spacing w:val="-9"/>
        </w:rPr>
        <w:t> </w:t>
      </w:r>
      <w:r>
        <w:rPr/>
        <w:t>technologies.</w:t>
      </w:r>
      <w:r>
        <w:rPr>
          <w:spacing w:val="-9"/>
        </w:rPr>
        <w:t> </w:t>
      </w:r>
      <w:r>
        <w:rPr/>
        <w:t>For</w:t>
      </w:r>
      <w:r>
        <w:rPr>
          <w:spacing w:val="-10"/>
        </w:rPr>
        <w:t> </w:t>
      </w:r>
      <w:r>
        <w:rPr/>
        <w:t>the</w:t>
      </w:r>
      <w:r>
        <w:rPr>
          <w:spacing w:val="-9"/>
        </w:rPr>
        <w:t> </w:t>
      </w:r>
      <w:r>
        <w:rPr/>
        <w:t>basic</w:t>
      </w:r>
      <w:r>
        <w:rPr>
          <w:spacing w:val="-9"/>
        </w:rPr>
        <w:t> </w:t>
      </w:r>
      <w:r>
        <w:rPr/>
        <w:t>monitoring</w:t>
      </w:r>
      <w:r>
        <w:rPr>
          <w:spacing w:val="-9"/>
        </w:rPr>
        <w:t> </w:t>
      </w:r>
      <w:r>
        <w:rPr/>
        <w:t>package, costs</w:t>
      </w:r>
      <w:r>
        <w:rPr>
          <w:spacing w:val="-7"/>
        </w:rPr>
        <w:t> </w:t>
      </w:r>
      <w:r>
        <w:rPr/>
        <w:t>for</w:t>
      </w:r>
      <w:r>
        <w:rPr>
          <w:spacing w:val="-7"/>
        </w:rPr>
        <w:t> </w:t>
      </w:r>
      <w:r>
        <w:rPr/>
        <w:t>both</w:t>
      </w:r>
      <w:r>
        <w:rPr>
          <w:spacing w:val="-7"/>
        </w:rPr>
        <w:t> </w:t>
      </w:r>
      <w:r>
        <w:rPr/>
        <w:t>scenarios</w:t>
      </w:r>
      <w:r>
        <w:rPr>
          <w:spacing w:val="-8"/>
        </w:rPr>
        <w:t> </w:t>
      </w:r>
      <w:r>
        <w:rPr/>
        <w:t>are</w:t>
      </w:r>
      <w:r>
        <w:rPr>
          <w:spacing w:val="-7"/>
        </w:rPr>
        <w:t> </w:t>
      </w:r>
      <w:r>
        <w:rPr/>
        <w:t>0.05</w:t>
      </w:r>
      <w:r>
        <w:rPr>
          <w:spacing w:val="-7"/>
        </w:rPr>
        <w:t> </w:t>
      </w:r>
      <w:r>
        <w:rPr/>
        <w:t>US$/tCO</w:t>
      </w:r>
      <w:r>
        <w:rPr>
          <w:position w:val="-6"/>
          <w:sz w:val="11"/>
        </w:rPr>
        <w:t>2</w:t>
      </w:r>
      <w:r>
        <w:rPr/>
        <w:t>,</w:t>
      </w:r>
      <w:r>
        <w:rPr>
          <w:spacing w:val="-7"/>
        </w:rPr>
        <w:t> </w:t>
      </w:r>
      <w:r>
        <w:rPr/>
        <w:t>based</w:t>
      </w:r>
      <w:r>
        <w:rPr>
          <w:spacing w:val="-7"/>
        </w:rPr>
        <w:t> </w:t>
      </w:r>
      <w:r>
        <w:rPr/>
        <w:t>on</w:t>
      </w:r>
      <w:r>
        <w:rPr>
          <w:spacing w:val="-7"/>
        </w:rPr>
        <w:t> </w:t>
      </w:r>
      <w:r>
        <w:rPr/>
        <w:t>a</w:t>
      </w:r>
      <w:r>
        <w:rPr>
          <w:spacing w:val="-7"/>
        </w:rPr>
        <w:t> </w:t>
      </w:r>
      <w:r>
        <w:rPr/>
        <w:t>discount rate of 10% (0.16–0.19 US$/tCO</w:t>
      </w:r>
      <w:r>
        <w:rPr>
          <w:position w:val="-6"/>
          <w:sz w:val="11"/>
        </w:rPr>
        <w:t>2 </w:t>
      </w:r>
      <w:r>
        <w:rPr/>
        <w:t>undiscounted). The cost for the enhanced monitoring package is 0.069–0.085 US$/tCO</w:t>
      </w:r>
      <w:r>
        <w:rPr>
          <w:position w:val="-6"/>
          <w:sz w:val="11"/>
        </w:rPr>
        <w:t>2</w:t>
      </w:r>
      <w:r>
        <w:rPr>
          <w:sz w:val="11"/>
        </w:rPr>
        <w:t> </w:t>
      </w:r>
      <w:r>
        <w:rPr/>
        <w:t>(0.27–0.30 US$/tCO</w:t>
      </w:r>
      <w:r>
        <w:rPr>
          <w:position w:val="-6"/>
          <w:sz w:val="11"/>
        </w:rPr>
        <w:t>2 </w:t>
      </w:r>
      <w:r>
        <w:rPr/>
        <w:t>undiscounted). The assumed duration of monitoring includes the 30-year period of injection, as well as further monitoring after site closure of 20 years for EOR sites and 50 years for saline formations. Increasing the duration of monitoring</w:t>
      </w:r>
      <w:r>
        <w:rPr>
          <w:spacing w:val="-9"/>
        </w:rPr>
        <w:t> </w:t>
      </w:r>
      <w:r>
        <w:rPr/>
        <w:t>to</w:t>
      </w:r>
      <w:r>
        <w:rPr>
          <w:spacing w:val="-9"/>
        </w:rPr>
        <w:t> </w:t>
      </w:r>
      <w:r>
        <w:rPr/>
        <w:t>1000</w:t>
      </w:r>
      <w:r>
        <w:rPr>
          <w:spacing w:val="-9"/>
        </w:rPr>
        <w:t> </w:t>
      </w:r>
      <w:r>
        <w:rPr/>
        <w:t>years</w:t>
      </w:r>
      <w:r>
        <w:rPr>
          <w:spacing w:val="-9"/>
        </w:rPr>
        <w:t> </w:t>
      </w:r>
      <w:r>
        <w:rPr/>
        <w:t>increased</w:t>
      </w:r>
      <w:r>
        <w:rPr>
          <w:spacing w:val="-9"/>
        </w:rPr>
        <w:t> </w:t>
      </w:r>
      <w:r>
        <w:rPr/>
        <w:t>the</w:t>
      </w:r>
      <w:r>
        <w:rPr>
          <w:spacing w:val="-9"/>
        </w:rPr>
        <w:t> </w:t>
      </w:r>
      <w:r>
        <w:rPr/>
        <w:t>discounted</w:t>
      </w:r>
      <w:r>
        <w:rPr>
          <w:spacing w:val="-9"/>
        </w:rPr>
        <w:t> </w:t>
      </w:r>
      <w:r>
        <w:rPr/>
        <w:t>cost</w:t>
      </w:r>
      <w:r>
        <w:rPr>
          <w:spacing w:val="-9"/>
        </w:rPr>
        <w:t> </w:t>
      </w:r>
      <w:r>
        <w:rPr/>
        <w:t>by</w:t>
      </w:r>
      <w:r>
        <w:rPr>
          <w:spacing w:val="-9"/>
        </w:rPr>
        <w:t> </w:t>
      </w:r>
      <w:r>
        <w:rPr/>
        <w:t>10%. These calculations are made assuming a discount rate of 10% for the first 30 years and a discount rate of 1%</w:t>
      </w:r>
      <w:r>
        <w:rPr>
          <w:spacing w:val="-15"/>
        </w:rPr>
        <w:t> </w:t>
      </w:r>
      <w:r>
        <w:rPr/>
        <w:t>thereafter.</w:t>
      </w:r>
    </w:p>
    <w:p>
      <w:pPr>
        <w:pStyle w:val="BodyText"/>
        <w:spacing w:before="4"/>
        <w:rPr>
          <w:sz w:val="21"/>
        </w:rPr>
      </w:pPr>
    </w:p>
    <w:p>
      <w:pPr>
        <w:pStyle w:val="Heading2"/>
        <w:numPr>
          <w:ilvl w:val="2"/>
          <w:numId w:val="7"/>
        </w:numPr>
        <w:tabs>
          <w:tab w:pos="1061" w:val="left" w:leader="none"/>
        </w:tabs>
        <w:spacing w:line="240" w:lineRule="auto" w:before="0" w:after="0"/>
        <w:ind w:left="1060" w:right="0" w:hanging="821"/>
        <w:jc w:val="both"/>
        <w:rPr>
          <w:i/>
        </w:rPr>
      </w:pPr>
      <w:r>
        <w:rPr>
          <w:i/>
        </w:rPr>
        <w:t>Cost of remediation of leaky storage</w:t>
      </w:r>
      <w:r>
        <w:rPr>
          <w:i/>
          <w:spacing w:val="-18"/>
        </w:rPr>
        <w:t> </w:t>
      </w:r>
      <w:r>
        <w:rPr>
          <w:i/>
        </w:rPr>
        <w:t>projects</w:t>
      </w:r>
    </w:p>
    <w:p>
      <w:pPr>
        <w:pStyle w:val="BodyText"/>
        <w:spacing w:before="3"/>
        <w:rPr>
          <w:b/>
          <w:i/>
          <w:sz w:val="21"/>
        </w:rPr>
      </w:pPr>
    </w:p>
    <w:p>
      <w:pPr>
        <w:pStyle w:val="BodyText"/>
        <w:spacing w:line="240" w:lineRule="exact" w:before="1"/>
        <w:ind w:left="240" w:right="133"/>
        <w:jc w:val="both"/>
      </w:pPr>
      <w:r>
        <w:rPr/>
        <w:t>No</w:t>
      </w:r>
      <w:r>
        <w:rPr>
          <w:spacing w:val="-16"/>
        </w:rPr>
        <w:t> </w:t>
      </w:r>
      <w:r>
        <w:rPr/>
        <w:t>estimates</w:t>
      </w:r>
      <w:r>
        <w:rPr>
          <w:spacing w:val="-15"/>
        </w:rPr>
        <w:t> </w:t>
      </w:r>
      <w:r>
        <w:rPr/>
        <w:t>have</w:t>
      </w:r>
      <w:r>
        <w:rPr>
          <w:spacing w:val="-14"/>
        </w:rPr>
        <w:t> </w:t>
      </w:r>
      <w:r>
        <w:rPr/>
        <w:t>been</w:t>
      </w:r>
      <w:r>
        <w:rPr>
          <w:spacing w:val="-15"/>
        </w:rPr>
        <w:t> </w:t>
      </w:r>
      <w:r>
        <w:rPr/>
        <w:t>made</w:t>
      </w:r>
      <w:r>
        <w:rPr>
          <w:spacing w:val="-14"/>
        </w:rPr>
        <w:t> </w:t>
      </w:r>
      <w:r>
        <w:rPr/>
        <w:t>regarding</w:t>
      </w:r>
      <w:r>
        <w:rPr>
          <w:spacing w:val="-14"/>
        </w:rPr>
        <w:t> </w:t>
      </w:r>
      <w:r>
        <w:rPr/>
        <w:t>the</w:t>
      </w:r>
      <w:r>
        <w:rPr>
          <w:spacing w:val="-15"/>
        </w:rPr>
        <w:t> </w:t>
      </w:r>
      <w:r>
        <w:rPr/>
        <w:t>costs</w:t>
      </w:r>
      <w:r>
        <w:rPr>
          <w:spacing w:val="-14"/>
        </w:rPr>
        <w:t> </w:t>
      </w:r>
      <w:r>
        <w:rPr/>
        <w:t>of</w:t>
      </w:r>
      <w:r>
        <w:rPr>
          <w:spacing w:val="-14"/>
        </w:rPr>
        <w:t> </w:t>
      </w:r>
      <w:r>
        <w:rPr/>
        <w:t>remediation for leaking storage projects. Remediation methods listed in</w:t>
      </w:r>
      <w:hyperlink w:history="true" w:anchor="_bookmark47">
        <w:r>
          <w:rPr/>
          <w:t> </w:t>
        </w:r>
        <w:r>
          <w:rPr>
            <w:spacing w:val="-3"/>
          </w:rPr>
          <w:t>Table </w:t>
        </w:r>
        <w:r>
          <w:rPr/>
          <w:t>5.7 </w:t>
        </w:r>
      </w:hyperlink>
      <w:r>
        <w:rPr/>
        <w:t>have been used in other applications and, therefore, could be extrapolated to CO</w:t>
      </w:r>
      <w:r>
        <w:rPr>
          <w:position w:val="-6"/>
          <w:sz w:val="11"/>
        </w:rPr>
        <w:t>2 </w:t>
      </w:r>
      <w:r>
        <w:rPr/>
        <w:t>storage sites. However, this has not been done yet.</w:t>
      </w:r>
    </w:p>
    <w:p>
      <w:pPr>
        <w:pStyle w:val="BodyText"/>
        <w:spacing w:before="3"/>
        <w:rPr>
          <w:sz w:val="21"/>
        </w:rPr>
      </w:pPr>
    </w:p>
    <w:p>
      <w:pPr>
        <w:pStyle w:val="Heading2"/>
        <w:numPr>
          <w:ilvl w:val="2"/>
          <w:numId w:val="7"/>
        </w:numPr>
        <w:tabs>
          <w:tab w:pos="1061" w:val="left" w:leader="none"/>
        </w:tabs>
        <w:spacing w:line="240" w:lineRule="auto" w:before="0" w:after="0"/>
        <w:ind w:left="1060" w:right="0" w:hanging="821"/>
        <w:jc w:val="both"/>
        <w:rPr>
          <w:i/>
        </w:rPr>
      </w:pPr>
      <w:r>
        <w:rPr>
          <w:i/>
        </w:rPr>
        <w:t>Cost</w:t>
      </w:r>
      <w:r>
        <w:rPr>
          <w:i/>
          <w:spacing w:val="-1"/>
        </w:rPr>
        <w:t> </w:t>
      </w:r>
      <w:r>
        <w:rPr>
          <w:i/>
        </w:rPr>
        <w:t>reduction</w:t>
      </w:r>
    </w:p>
    <w:p>
      <w:pPr>
        <w:pStyle w:val="BodyText"/>
        <w:spacing w:before="3"/>
        <w:rPr>
          <w:b/>
          <w:i/>
          <w:sz w:val="21"/>
        </w:rPr>
      </w:pPr>
    </w:p>
    <w:p>
      <w:pPr>
        <w:pStyle w:val="BodyText"/>
        <w:spacing w:line="240" w:lineRule="exact" w:before="1"/>
        <w:ind w:left="240" w:right="133"/>
        <w:jc w:val="both"/>
      </w:pPr>
      <w:r>
        <w:rPr/>
        <w:t>There is little literature on cost-reduction potential for CO</w:t>
      </w:r>
      <w:r>
        <w:rPr>
          <w:position w:val="-6"/>
          <w:sz w:val="11"/>
        </w:rPr>
        <w:t>2 </w:t>
      </w:r>
      <w:r>
        <w:rPr/>
        <w:t>geological</w:t>
      </w:r>
      <w:r>
        <w:rPr>
          <w:spacing w:val="-19"/>
        </w:rPr>
        <w:t> </w:t>
      </w:r>
      <w:r>
        <w:rPr/>
        <w:t>storage.</w:t>
      </w:r>
      <w:r>
        <w:rPr>
          <w:spacing w:val="-18"/>
        </w:rPr>
        <w:t> </w:t>
      </w:r>
      <w:r>
        <w:rPr/>
        <w:t>Economies</w:t>
      </w:r>
      <w:r>
        <w:rPr>
          <w:spacing w:val="-18"/>
        </w:rPr>
        <w:t> </w:t>
      </w:r>
      <w:r>
        <w:rPr/>
        <w:t>of</w:t>
      </w:r>
      <w:r>
        <w:rPr>
          <w:spacing w:val="-17"/>
        </w:rPr>
        <w:t> </w:t>
      </w:r>
      <w:r>
        <w:rPr/>
        <w:t>scale</w:t>
      </w:r>
      <w:r>
        <w:rPr>
          <w:spacing w:val="-18"/>
        </w:rPr>
        <w:t> </w:t>
      </w:r>
      <w:r>
        <w:rPr/>
        <w:t>are</w:t>
      </w:r>
      <w:r>
        <w:rPr>
          <w:spacing w:val="-18"/>
        </w:rPr>
        <w:t> </w:t>
      </w:r>
      <w:r>
        <w:rPr/>
        <w:t>likely</w:t>
      </w:r>
      <w:r>
        <w:rPr>
          <w:spacing w:val="-18"/>
        </w:rPr>
        <w:t> </w:t>
      </w:r>
      <w:r>
        <w:rPr/>
        <w:t>to</w:t>
      </w:r>
      <w:r>
        <w:rPr>
          <w:spacing w:val="-18"/>
        </w:rPr>
        <w:t> </w:t>
      </w:r>
      <w:r>
        <w:rPr/>
        <w:t>be</w:t>
      </w:r>
      <w:r>
        <w:rPr>
          <w:spacing w:val="-17"/>
        </w:rPr>
        <w:t> </w:t>
      </w:r>
      <w:r>
        <w:rPr/>
        <w:t>important (Allinson </w:t>
      </w:r>
      <w:r>
        <w:rPr>
          <w:i/>
        </w:rPr>
        <w:t>et al.</w:t>
      </w:r>
      <w:r>
        <w:rPr/>
        <w:t>, 2003). It is also anticipated that further </w:t>
      </w:r>
      <w:r>
        <w:rPr>
          <w:spacing w:val="-3"/>
        </w:rPr>
        <w:t>cost </w:t>
      </w:r>
      <w:r>
        <w:rPr/>
        <w:t>reduction will be achieved with application of learning from early storage projects, optimization of new projects and application of advanced technologies, such as horizontal and multilateral</w:t>
      </w:r>
      <w:r>
        <w:rPr>
          <w:spacing w:val="-8"/>
        </w:rPr>
        <w:t> </w:t>
      </w:r>
      <w:r>
        <w:rPr/>
        <w:t>wells,</w:t>
      </w:r>
      <w:r>
        <w:rPr>
          <w:spacing w:val="-7"/>
        </w:rPr>
        <w:t> </w:t>
      </w:r>
      <w:r>
        <w:rPr/>
        <w:t>which</w:t>
      </w:r>
      <w:r>
        <w:rPr>
          <w:spacing w:val="-7"/>
        </w:rPr>
        <w:t> </w:t>
      </w:r>
      <w:r>
        <w:rPr/>
        <w:t>are</w:t>
      </w:r>
      <w:r>
        <w:rPr>
          <w:spacing w:val="-7"/>
        </w:rPr>
        <w:t> </w:t>
      </w:r>
      <w:r>
        <w:rPr/>
        <w:t>now</w:t>
      </w:r>
      <w:r>
        <w:rPr>
          <w:spacing w:val="-7"/>
        </w:rPr>
        <w:t> </w:t>
      </w:r>
      <w:r>
        <w:rPr/>
        <w:t>widely</w:t>
      </w:r>
      <w:r>
        <w:rPr>
          <w:spacing w:val="-7"/>
        </w:rPr>
        <w:t> </w:t>
      </w:r>
      <w:r>
        <w:rPr/>
        <w:t>used</w:t>
      </w:r>
      <w:r>
        <w:rPr>
          <w:spacing w:val="-6"/>
        </w:rPr>
        <w:t> </w:t>
      </w:r>
      <w:r>
        <w:rPr/>
        <w:t>in</w:t>
      </w:r>
      <w:r>
        <w:rPr>
          <w:spacing w:val="-7"/>
        </w:rPr>
        <w:t> </w:t>
      </w:r>
      <w:r>
        <w:rPr/>
        <w:t>the</w:t>
      </w:r>
      <w:r>
        <w:rPr>
          <w:spacing w:val="-7"/>
        </w:rPr>
        <w:t> </w:t>
      </w:r>
      <w:r>
        <w:rPr/>
        <w:t>oil</w:t>
      </w:r>
      <w:r>
        <w:rPr>
          <w:spacing w:val="-8"/>
        </w:rPr>
        <w:t> </w:t>
      </w:r>
      <w:r>
        <w:rPr/>
        <w:t>and</w:t>
      </w:r>
      <w:r>
        <w:rPr>
          <w:spacing w:val="-7"/>
        </w:rPr>
        <w:t> </w:t>
      </w:r>
      <w:r>
        <w:rPr/>
        <w:t>gas industry.</w:t>
      </w:r>
    </w:p>
    <w:p>
      <w:pPr>
        <w:spacing w:after="0" w:line="240" w:lineRule="exact"/>
        <w:jc w:val="both"/>
        <w:sectPr>
          <w:type w:val="continuous"/>
          <w:pgSz w:w="12240" w:h="15840"/>
          <w:pgMar w:top="400" w:bottom="280" w:left="580" w:right="600"/>
          <w:cols w:num="2" w:equalWidth="0">
            <w:col w:w="5600" w:space="40"/>
            <w:col w:w="5420"/>
          </w:cols>
        </w:sectPr>
      </w:pPr>
    </w:p>
    <w:p>
      <w:pPr>
        <w:pStyle w:val="BodyText"/>
      </w:pPr>
    </w:p>
    <w:p>
      <w:pPr>
        <w:pStyle w:val="BodyText"/>
        <w:spacing w:before="9"/>
        <w:rPr>
          <w:sz w:val="16"/>
        </w:rPr>
      </w:pPr>
    </w:p>
    <w:p>
      <w:pPr>
        <w:spacing w:after="0"/>
        <w:rPr>
          <w:sz w:val="16"/>
        </w:rPr>
        <w:sectPr>
          <w:pgSz w:w="12240" w:h="15840"/>
          <w:pgMar w:header="567" w:footer="0" w:top="760" w:bottom="280" w:left="580" w:right="600"/>
        </w:sectPr>
      </w:pPr>
    </w:p>
    <w:p>
      <w:pPr>
        <w:pStyle w:val="Heading1"/>
        <w:numPr>
          <w:ilvl w:val="1"/>
          <w:numId w:val="7"/>
        </w:numPr>
        <w:tabs>
          <w:tab w:pos="866" w:val="left" w:leader="none"/>
        </w:tabs>
        <w:spacing w:line="240" w:lineRule="auto" w:before="63" w:after="0"/>
        <w:ind w:left="866" w:right="0" w:hanging="709"/>
        <w:jc w:val="both"/>
      </w:pPr>
      <w:bookmarkStart w:name="5.10 Knowledge gaps" w:id="119"/>
      <w:bookmarkEnd w:id="119"/>
      <w:r>
        <w:rPr>
          <w:b w:val="0"/>
        </w:rPr>
      </w:r>
      <w:bookmarkStart w:name="5.10 Knowledge gaps" w:id="120"/>
      <w:bookmarkEnd w:id="120"/>
      <w:r>
        <w:rPr/>
        <w:t>Knowledge</w:t>
      </w:r>
      <w:r>
        <w:rPr/>
        <w:t> gaps</w:t>
      </w:r>
    </w:p>
    <w:p>
      <w:pPr>
        <w:pStyle w:val="BodyText"/>
        <w:spacing w:before="3"/>
        <w:rPr>
          <w:b/>
          <w:sz w:val="21"/>
        </w:rPr>
      </w:pPr>
    </w:p>
    <w:p>
      <w:pPr>
        <w:pStyle w:val="BodyText"/>
        <w:spacing w:line="240" w:lineRule="exact"/>
        <w:ind w:left="157" w:right="38"/>
        <w:jc w:val="both"/>
      </w:pPr>
      <w:r>
        <w:rPr/>
        <w:t>Knowledge regarding CO</w:t>
      </w:r>
      <w:r>
        <w:rPr>
          <w:position w:val="-6"/>
          <w:sz w:val="11"/>
        </w:rPr>
        <w:t>2 </w:t>
      </w:r>
      <w:r>
        <w:rPr/>
        <w:t>geological storage is founded on basic knowledge in the earth sciences, on the experience of the oil and gas industry (extending over the last hundred years </w:t>
      </w:r>
      <w:r>
        <w:rPr>
          <w:spacing w:val="-6"/>
        </w:rPr>
        <w:t>or </w:t>
      </w:r>
      <w:r>
        <w:rPr/>
        <w:t>more)</w:t>
      </w:r>
      <w:r>
        <w:rPr>
          <w:spacing w:val="-10"/>
        </w:rPr>
        <w:t> </w:t>
      </w:r>
      <w:r>
        <w:rPr/>
        <w:t>and</w:t>
      </w:r>
      <w:r>
        <w:rPr>
          <w:spacing w:val="-10"/>
        </w:rPr>
        <w:t> </w:t>
      </w:r>
      <w:r>
        <w:rPr/>
        <w:t>on</w:t>
      </w:r>
      <w:r>
        <w:rPr>
          <w:spacing w:val="-10"/>
        </w:rPr>
        <w:t> </w:t>
      </w:r>
      <w:r>
        <w:rPr/>
        <w:t>a</w:t>
      </w:r>
      <w:r>
        <w:rPr>
          <w:spacing w:val="-9"/>
        </w:rPr>
        <w:t> </w:t>
      </w:r>
      <w:r>
        <w:rPr/>
        <w:t>large</w:t>
      </w:r>
      <w:r>
        <w:rPr>
          <w:spacing w:val="-10"/>
        </w:rPr>
        <w:t> </w:t>
      </w:r>
      <w:r>
        <w:rPr/>
        <w:t>number</w:t>
      </w:r>
      <w:r>
        <w:rPr>
          <w:spacing w:val="-10"/>
        </w:rPr>
        <w:t> </w:t>
      </w:r>
      <w:r>
        <w:rPr/>
        <w:t>of</w:t>
      </w:r>
      <w:r>
        <w:rPr>
          <w:spacing w:val="-9"/>
        </w:rPr>
        <w:t> </w:t>
      </w:r>
      <w:r>
        <w:rPr/>
        <w:t>commercial</w:t>
      </w:r>
      <w:r>
        <w:rPr>
          <w:spacing w:val="-10"/>
        </w:rPr>
        <w:t> </w:t>
      </w:r>
      <w:r>
        <w:rPr/>
        <w:t>activities</w:t>
      </w:r>
      <w:r>
        <w:rPr>
          <w:spacing w:val="-10"/>
        </w:rPr>
        <w:t> </w:t>
      </w:r>
      <w:r>
        <w:rPr/>
        <w:t>involving the injection and geological storage of CO</w:t>
      </w:r>
      <w:r>
        <w:rPr>
          <w:position w:val="-6"/>
          <w:sz w:val="11"/>
        </w:rPr>
        <w:t>2 </w:t>
      </w:r>
      <w:r>
        <w:rPr/>
        <w:t>conducted over the past</w:t>
      </w:r>
      <w:r>
        <w:rPr>
          <w:spacing w:val="-18"/>
        </w:rPr>
        <w:t> </w:t>
      </w:r>
      <w:r>
        <w:rPr/>
        <w:t>10–30</w:t>
      </w:r>
      <w:r>
        <w:rPr>
          <w:spacing w:val="-17"/>
        </w:rPr>
        <w:t> </w:t>
      </w:r>
      <w:r>
        <w:rPr/>
        <w:t>years.</w:t>
      </w:r>
      <w:r>
        <w:rPr>
          <w:spacing w:val="-18"/>
        </w:rPr>
        <w:t> </w:t>
      </w:r>
      <w:r>
        <w:rPr/>
        <w:t>Nevertheless,</w:t>
      </w:r>
      <w:r>
        <w:rPr>
          <w:spacing w:val="-17"/>
        </w:rPr>
        <w:t> </w:t>
      </w:r>
      <w:r>
        <w:rPr/>
        <w:t>CO</w:t>
      </w:r>
      <w:r>
        <w:rPr>
          <w:position w:val="-6"/>
          <w:sz w:val="11"/>
        </w:rPr>
        <w:t>2</w:t>
      </w:r>
      <w:r>
        <w:rPr>
          <w:spacing w:val="4"/>
          <w:position w:val="-6"/>
          <w:sz w:val="11"/>
        </w:rPr>
        <w:t> </w:t>
      </w:r>
      <w:r>
        <w:rPr/>
        <w:t>storage</w:t>
      </w:r>
      <w:r>
        <w:rPr>
          <w:spacing w:val="-17"/>
        </w:rPr>
        <w:t> </w:t>
      </w:r>
      <w:r>
        <w:rPr/>
        <w:t>is</w:t>
      </w:r>
      <w:r>
        <w:rPr>
          <w:spacing w:val="-17"/>
        </w:rPr>
        <w:t> </w:t>
      </w:r>
      <w:r>
        <w:rPr/>
        <w:t>a</w:t>
      </w:r>
      <w:r>
        <w:rPr>
          <w:spacing w:val="-18"/>
        </w:rPr>
        <w:t> </w:t>
      </w:r>
      <w:r>
        <w:rPr/>
        <w:t>new</w:t>
      </w:r>
      <w:r>
        <w:rPr>
          <w:spacing w:val="-17"/>
        </w:rPr>
        <w:t> </w:t>
      </w:r>
      <w:r>
        <w:rPr/>
        <w:t>technology and</w:t>
      </w:r>
      <w:r>
        <w:rPr>
          <w:spacing w:val="-15"/>
        </w:rPr>
        <w:t> </w:t>
      </w:r>
      <w:r>
        <w:rPr/>
        <w:t>many</w:t>
      </w:r>
      <w:r>
        <w:rPr>
          <w:spacing w:val="-15"/>
        </w:rPr>
        <w:t> </w:t>
      </w:r>
      <w:r>
        <w:rPr/>
        <w:t>questions</w:t>
      </w:r>
      <w:r>
        <w:rPr>
          <w:spacing w:val="-15"/>
        </w:rPr>
        <w:t> </w:t>
      </w:r>
      <w:r>
        <w:rPr/>
        <w:t>remain.</w:t>
      </w:r>
      <w:r>
        <w:rPr>
          <w:spacing w:val="-16"/>
        </w:rPr>
        <w:t> </w:t>
      </w:r>
      <w:r>
        <w:rPr/>
        <w:t>Here,</w:t>
      </w:r>
      <w:r>
        <w:rPr>
          <w:spacing w:val="-15"/>
        </w:rPr>
        <w:t> </w:t>
      </w:r>
      <w:r>
        <w:rPr/>
        <w:t>we</w:t>
      </w:r>
      <w:r>
        <w:rPr>
          <w:spacing w:val="-16"/>
        </w:rPr>
        <w:t> </w:t>
      </w:r>
      <w:r>
        <w:rPr/>
        <w:t>summarize</w:t>
      </w:r>
      <w:r>
        <w:rPr>
          <w:spacing w:val="-16"/>
        </w:rPr>
        <w:t> </w:t>
      </w:r>
      <w:r>
        <w:rPr/>
        <w:t>what</w:t>
      </w:r>
      <w:r>
        <w:rPr>
          <w:spacing w:val="-15"/>
        </w:rPr>
        <w:t> </w:t>
      </w:r>
      <w:r>
        <w:rPr/>
        <w:t>we</w:t>
      </w:r>
      <w:r>
        <w:rPr>
          <w:spacing w:val="-16"/>
        </w:rPr>
        <w:t> </w:t>
      </w:r>
      <w:r>
        <w:rPr/>
        <w:t>know now and what gaps</w:t>
      </w:r>
      <w:r>
        <w:rPr>
          <w:spacing w:val="-2"/>
        </w:rPr>
        <w:t> </w:t>
      </w:r>
      <w:r>
        <w:rPr/>
        <w:t>remain.</w:t>
      </w:r>
    </w:p>
    <w:p>
      <w:pPr>
        <w:pStyle w:val="ListParagraph"/>
        <w:numPr>
          <w:ilvl w:val="0"/>
          <w:numId w:val="29"/>
        </w:numPr>
        <w:tabs>
          <w:tab w:pos="441" w:val="left" w:leader="none"/>
        </w:tabs>
        <w:spacing w:line="240" w:lineRule="auto" w:before="6" w:after="0"/>
        <w:ind w:left="440" w:right="0" w:hanging="284"/>
        <w:jc w:val="both"/>
        <w:rPr>
          <w:sz w:val="20"/>
        </w:rPr>
      </w:pPr>
      <w:r>
        <w:rPr>
          <w:sz w:val="20"/>
        </w:rPr>
        <w:t>Current storage capacity estimates are</w:t>
      </w:r>
      <w:r>
        <w:rPr>
          <w:spacing w:val="-3"/>
          <w:sz w:val="20"/>
        </w:rPr>
        <w:t> </w:t>
      </w:r>
      <w:r>
        <w:rPr>
          <w:sz w:val="20"/>
        </w:rPr>
        <w:t>imperfect:</w:t>
      </w:r>
    </w:p>
    <w:p>
      <w:pPr>
        <w:pStyle w:val="ListParagraph"/>
        <w:numPr>
          <w:ilvl w:val="1"/>
          <w:numId w:val="29"/>
        </w:numPr>
        <w:tabs>
          <w:tab w:pos="724" w:val="left" w:leader="none"/>
        </w:tabs>
        <w:spacing w:line="249" w:lineRule="auto" w:before="10" w:after="0"/>
        <w:ind w:left="723" w:right="40" w:hanging="284"/>
        <w:jc w:val="both"/>
        <w:rPr>
          <w:sz w:val="20"/>
        </w:rPr>
      </w:pPr>
      <w:r>
        <w:rPr>
          <w:sz w:val="20"/>
        </w:rPr>
        <w:t>There is need for more development and agreement </w:t>
      </w:r>
      <w:r>
        <w:rPr>
          <w:spacing w:val="-6"/>
          <w:sz w:val="20"/>
        </w:rPr>
        <w:t>on </w:t>
      </w:r>
      <w:r>
        <w:rPr>
          <w:sz w:val="20"/>
        </w:rPr>
        <w:t>assessment methodologies.</w:t>
      </w:r>
    </w:p>
    <w:p>
      <w:pPr>
        <w:pStyle w:val="ListParagraph"/>
        <w:numPr>
          <w:ilvl w:val="1"/>
          <w:numId w:val="29"/>
        </w:numPr>
        <w:tabs>
          <w:tab w:pos="724" w:val="left" w:leader="none"/>
        </w:tabs>
        <w:spacing w:line="249" w:lineRule="auto" w:before="1" w:after="0"/>
        <w:ind w:left="723" w:right="38" w:hanging="284"/>
        <w:jc w:val="both"/>
        <w:rPr>
          <w:sz w:val="20"/>
        </w:rPr>
      </w:pPr>
      <w:r>
        <w:rPr>
          <w:sz w:val="20"/>
        </w:rPr>
        <w:t>There are many gaps in capacity estimates at the global, regional and local levels.</w:t>
      </w:r>
    </w:p>
    <w:p>
      <w:pPr>
        <w:pStyle w:val="ListParagraph"/>
        <w:numPr>
          <w:ilvl w:val="1"/>
          <w:numId w:val="29"/>
        </w:numPr>
        <w:tabs>
          <w:tab w:pos="724" w:val="left" w:leader="none"/>
        </w:tabs>
        <w:spacing w:line="249" w:lineRule="auto" w:before="2" w:after="0"/>
        <w:ind w:left="723" w:right="40" w:hanging="284"/>
        <w:jc w:val="both"/>
        <w:rPr>
          <w:sz w:val="20"/>
        </w:rPr>
      </w:pPr>
      <w:r>
        <w:rPr>
          <w:sz w:val="20"/>
        </w:rPr>
        <w:t>The</w:t>
      </w:r>
      <w:r>
        <w:rPr>
          <w:spacing w:val="-19"/>
          <w:sz w:val="20"/>
        </w:rPr>
        <w:t> </w:t>
      </w:r>
      <w:r>
        <w:rPr>
          <w:sz w:val="20"/>
        </w:rPr>
        <w:t>knowledge</w:t>
      </w:r>
      <w:r>
        <w:rPr>
          <w:spacing w:val="-19"/>
          <w:sz w:val="20"/>
        </w:rPr>
        <w:t> </w:t>
      </w:r>
      <w:r>
        <w:rPr>
          <w:sz w:val="20"/>
        </w:rPr>
        <w:t>base</w:t>
      </w:r>
      <w:r>
        <w:rPr>
          <w:spacing w:val="-18"/>
          <w:sz w:val="20"/>
        </w:rPr>
        <w:t> </w:t>
      </w:r>
      <w:r>
        <w:rPr>
          <w:sz w:val="20"/>
        </w:rPr>
        <w:t>for</w:t>
      </w:r>
      <w:r>
        <w:rPr>
          <w:spacing w:val="-19"/>
          <w:sz w:val="20"/>
        </w:rPr>
        <w:t> </w:t>
      </w:r>
      <w:r>
        <w:rPr>
          <w:sz w:val="20"/>
        </w:rPr>
        <w:t>geological</w:t>
      </w:r>
      <w:r>
        <w:rPr>
          <w:spacing w:val="-20"/>
          <w:sz w:val="20"/>
        </w:rPr>
        <w:t> </w:t>
      </w:r>
      <w:r>
        <w:rPr>
          <w:sz w:val="20"/>
        </w:rPr>
        <w:t>storage</w:t>
      </w:r>
      <w:r>
        <w:rPr>
          <w:spacing w:val="-19"/>
          <w:sz w:val="20"/>
        </w:rPr>
        <w:t> </w:t>
      </w:r>
      <w:r>
        <w:rPr>
          <w:sz w:val="20"/>
        </w:rPr>
        <w:t>is</w:t>
      </w:r>
      <w:r>
        <w:rPr>
          <w:spacing w:val="-19"/>
          <w:sz w:val="20"/>
        </w:rPr>
        <w:t> </w:t>
      </w:r>
      <w:r>
        <w:rPr>
          <w:sz w:val="20"/>
        </w:rPr>
        <w:t>for</w:t>
      </w:r>
      <w:r>
        <w:rPr>
          <w:spacing w:val="-19"/>
          <w:sz w:val="20"/>
        </w:rPr>
        <w:t> </w:t>
      </w:r>
      <w:r>
        <w:rPr>
          <w:sz w:val="20"/>
        </w:rPr>
        <w:t>the</w:t>
      </w:r>
      <w:r>
        <w:rPr>
          <w:spacing w:val="-18"/>
          <w:sz w:val="20"/>
        </w:rPr>
        <w:t> </w:t>
      </w:r>
      <w:r>
        <w:rPr>
          <w:sz w:val="20"/>
        </w:rPr>
        <w:t>most part</w:t>
      </w:r>
      <w:r>
        <w:rPr>
          <w:spacing w:val="-5"/>
          <w:sz w:val="20"/>
        </w:rPr>
        <w:t> </w:t>
      </w:r>
      <w:r>
        <w:rPr>
          <w:sz w:val="20"/>
        </w:rPr>
        <w:t>based</w:t>
      </w:r>
      <w:r>
        <w:rPr>
          <w:spacing w:val="-5"/>
          <w:sz w:val="20"/>
        </w:rPr>
        <w:t> </w:t>
      </w:r>
      <w:r>
        <w:rPr>
          <w:sz w:val="20"/>
        </w:rPr>
        <w:t>on</w:t>
      </w:r>
      <w:r>
        <w:rPr>
          <w:spacing w:val="-16"/>
          <w:sz w:val="20"/>
        </w:rPr>
        <w:t> </w:t>
      </w:r>
      <w:r>
        <w:rPr>
          <w:sz w:val="20"/>
        </w:rPr>
        <w:t>Australian,</w:t>
      </w:r>
      <w:r>
        <w:rPr>
          <w:spacing w:val="-6"/>
          <w:sz w:val="20"/>
        </w:rPr>
        <w:t> </w:t>
      </w:r>
      <w:r>
        <w:rPr>
          <w:sz w:val="20"/>
        </w:rPr>
        <w:t>Japanese,</w:t>
      </w:r>
      <w:r>
        <w:rPr>
          <w:spacing w:val="-5"/>
          <w:sz w:val="20"/>
        </w:rPr>
        <w:t> </w:t>
      </w:r>
      <w:r>
        <w:rPr>
          <w:sz w:val="20"/>
        </w:rPr>
        <w:t>North</w:t>
      </w:r>
      <w:r>
        <w:rPr>
          <w:spacing w:val="-16"/>
          <w:sz w:val="20"/>
        </w:rPr>
        <w:t> </w:t>
      </w:r>
      <w:r>
        <w:rPr>
          <w:sz w:val="20"/>
        </w:rPr>
        <w:t>American</w:t>
      </w:r>
      <w:r>
        <w:rPr>
          <w:spacing w:val="-5"/>
          <w:sz w:val="20"/>
        </w:rPr>
        <w:t> </w:t>
      </w:r>
      <w:r>
        <w:rPr>
          <w:sz w:val="20"/>
        </w:rPr>
        <w:t>and west European</w:t>
      </w:r>
      <w:r>
        <w:rPr>
          <w:spacing w:val="-2"/>
          <w:sz w:val="20"/>
        </w:rPr>
        <w:t> </w:t>
      </w:r>
      <w:r>
        <w:rPr>
          <w:sz w:val="20"/>
        </w:rPr>
        <w:t>data.</w:t>
      </w:r>
    </w:p>
    <w:p>
      <w:pPr>
        <w:pStyle w:val="ListParagraph"/>
        <w:numPr>
          <w:ilvl w:val="1"/>
          <w:numId w:val="29"/>
        </w:numPr>
        <w:tabs>
          <w:tab w:pos="724" w:val="left" w:leader="none"/>
        </w:tabs>
        <w:spacing w:line="249" w:lineRule="auto" w:before="2" w:after="0"/>
        <w:ind w:left="723" w:right="39" w:hanging="284"/>
        <w:jc w:val="both"/>
        <w:rPr>
          <w:sz w:val="20"/>
        </w:rPr>
      </w:pPr>
      <w:r>
        <w:rPr>
          <w:sz w:val="20"/>
        </w:rPr>
        <w:t>There is a need to obtain much more information on storage capacity in other areas, particularly in areas likely to experience the greatest growth in energy </w:t>
      </w:r>
      <w:r>
        <w:rPr>
          <w:spacing w:val="-4"/>
          <w:sz w:val="20"/>
        </w:rPr>
        <w:t>use, </w:t>
      </w:r>
      <w:r>
        <w:rPr>
          <w:sz w:val="20"/>
        </w:rPr>
        <w:t>such as China, Southeast Asia, India, Russia/Former Soviet</w:t>
      </w:r>
      <w:r>
        <w:rPr>
          <w:spacing w:val="-10"/>
          <w:sz w:val="20"/>
        </w:rPr>
        <w:t> </w:t>
      </w:r>
      <w:r>
        <w:rPr>
          <w:sz w:val="20"/>
        </w:rPr>
        <w:t>Union,</w:t>
      </w:r>
      <w:r>
        <w:rPr>
          <w:spacing w:val="-10"/>
          <w:sz w:val="20"/>
        </w:rPr>
        <w:t> </w:t>
      </w:r>
      <w:r>
        <w:rPr>
          <w:sz w:val="20"/>
        </w:rPr>
        <w:t>Eastern</w:t>
      </w:r>
      <w:r>
        <w:rPr>
          <w:spacing w:val="-10"/>
          <w:sz w:val="20"/>
        </w:rPr>
        <w:t> </w:t>
      </w:r>
      <w:r>
        <w:rPr>
          <w:sz w:val="20"/>
        </w:rPr>
        <w:t>Europe,</w:t>
      </w:r>
      <w:r>
        <w:rPr>
          <w:spacing w:val="-9"/>
          <w:sz w:val="20"/>
        </w:rPr>
        <w:t> </w:t>
      </w:r>
      <w:r>
        <w:rPr>
          <w:sz w:val="20"/>
        </w:rPr>
        <w:t>the</w:t>
      </w:r>
      <w:r>
        <w:rPr>
          <w:spacing w:val="-10"/>
          <w:sz w:val="20"/>
        </w:rPr>
        <w:t> </w:t>
      </w:r>
      <w:r>
        <w:rPr>
          <w:sz w:val="20"/>
        </w:rPr>
        <w:t>Middle</w:t>
      </w:r>
      <w:r>
        <w:rPr>
          <w:spacing w:val="-10"/>
          <w:sz w:val="20"/>
        </w:rPr>
        <w:t> </w:t>
      </w:r>
      <w:r>
        <w:rPr>
          <w:sz w:val="20"/>
        </w:rPr>
        <w:t>East</w:t>
      </w:r>
      <w:r>
        <w:rPr>
          <w:spacing w:val="-10"/>
          <w:sz w:val="20"/>
        </w:rPr>
        <w:t> </w:t>
      </w:r>
      <w:r>
        <w:rPr>
          <w:sz w:val="20"/>
        </w:rPr>
        <w:t>and</w:t>
      </w:r>
      <w:r>
        <w:rPr>
          <w:spacing w:val="-8"/>
          <w:sz w:val="20"/>
        </w:rPr>
        <w:t> </w:t>
      </w:r>
      <w:r>
        <w:rPr>
          <w:sz w:val="20"/>
        </w:rPr>
        <w:t>parts of South America and southern</w:t>
      </w:r>
      <w:r>
        <w:rPr>
          <w:spacing w:val="-29"/>
          <w:sz w:val="20"/>
        </w:rPr>
        <w:t> </w:t>
      </w:r>
      <w:r>
        <w:rPr>
          <w:sz w:val="20"/>
        </w:rPr>
        <w:t>Africa.</w:t>
      </w:r>
    </w:p>
    <w:p>
      <w:pPr>
        <w:pStyle w:val="BodyText"/>
        <w:spacing w:before="4"/>
        <w:rPr>
          <w:sz w:val="21"/>
        </w:rPr>
      </w:pPr>
    </w:p>
    <w:p>
      <w:pPr>
        <w:pStyle w:val="ListParagraph"/>
        <w:numPr>
          <w:ilvl w:val="0"/>
          <w:numId w:val="29"/>
        </w:numPr>
        <w:tabs>
          <w:tab w:pos="441" w:val="left" w:leader="none"/>
        </w:tabs>
        <w:spacing w:line="249" w:lineRule="auto" w:before="0" w:after="0"/>
        <w:ind w:left="440" w:right="41" w:hanging="284"/>
        <w:jc w:val="left"/>
        <w:rPr>
          <w:sz w:val="20"/>
        </w:rPr>
      </w:pPr>
      <w:r>
        <w:rPr>
          <w:sz w:val="20"/>
        </w:rPr>
        <w:t>Overall, storage science is understood, but there is need for greater knowledge of particular mechanisms, including:</w:t>
      </w:r>
    </w:p>
    <w:p>
      <w:pPr>
        <w:pStyle w:val="ListParagraph"/>
        <w:numPr>
          <w:ilvl w:val="1"/>
          <w:numId w:val="29"/>
        </w:numPr>
        <w:tabs>
          <w:tab w:pos="723" w:val="left" w:leader="none"/>
          <w:tab w:pos="724" w:val="left" w:leader="none"/>
        </w:tabs>
        <w:spacing w:line="249" w:lineRule="auto" w:before="1" w:after="0"/>
        <w:ind w:left="723" w:right="39" w:hanging="284"/>
        <w:jc w:val="left"/>
        <w:rPr>
          <w:sz w:val="20"/>
        </w:rPr>
      </w:pPr>
      <w:r>
        <w:rPr>
          <w:sz w:val="20"/>
        </w:rPr>
        <w:t>The kinetics of geochemical trapping and the long-term impact of CO</w:t>
      </w:r>
      <w:r>
        <w:rPr>
          <w:position w:val="-6"/>
          <w:sz w:val="11"/>
        </w:rPr>
        <w:t>2 </w:t>
      </w:r>
      <w:r>
        <w:rPr>
          <w:sz w:val="20"/>
        </w:rPr>
        <w:t>on reservoir fluids and</w:t>
      </w:r>
      <w:r>
        <w:rPr>
          <w:spacing w:val="-10"/>
          <w:sz w:val="20"/>
        </w:rPr>
        <w:t> </w:t>
      </w:r>
      <w:r>
        <w:rPr>
          <w:sz w:val="20"/>
        </w:rPr>
        <w:t>rocks.</w:t>
      </w:r>
    </w:p>
    <w:p>
      <w:pPr>
        <w:pStyle w:val="ListParagraph"/>
        <w:numPr>
          <w:ilvl w:val="1"/>
          <w:numId w:val="29"/>
        </w:numPr>
        <w:tabs>
          <w:tab w:pos="723" w:val="left" w:leader="none"/>
          <w:tab w:pos="724" w:val="left" w:leader="none"/>
        </w:tabs>
        <w:spacing w:line="175" w:lineRule="auto" w:before="0" w:after="0"/>
        <w:ind w:left="723" w:right="0" w:hanging="284"/>
        <w:jc w:val="left"/>
        <w:rPr>
          <w:sz w:val="11"/>
        </w:rPr>
      </w:pPr>
      <w:r>
        <w:rPr>
          <w:sz w:val="20"/>
        </w:rPr>
        <w:t>The</w:t>
      </w:r>
      <w:r>
        <w:rPr>
          <w:spacing w:val="11"/>
          <w:sz w:val="20"/>
        </w:rPr>
        <w:t> </w:t>
      </w:r>
      <w:r>
        <w:rPr>
          <w:sz w:val="20"/>
        </w:rPr>
        <w:t>fundamental</w:t>
      </w:r>
      <w:r>
        <w:rPr>
          <w:spacing w:val="11"/>
          <w:sz w:val="20"/>
        </w:rPr>
        <w:t> </w:t>
      </w:r>
      <w:r>
        <w:rPr>
          <w:sz w:val="20"/>
        </w:rPr>
        <w:t>processes</w:t>
      </w:r>
      <w:r>
        <w:rPr>
          <w:spacing w:val="12"/>
          <w:sz w:val="20"/>
        </w:rPr>
        <w:t> </w:t>
      </w:r>
      <w:r>
        <w:rPr>
          <w:sz w:val="20"/>
        </w:rPr>
        <w:t>of</w:t>
      </w:r>
      <w:r>
        <w:rPr>
          <w:spacing w:val="11"/>
          <w:sz w:val="20"/>
        </w:rPr>
        <w:t> </w:t>
      </w:r>
      <w:r>
        <w:rPr>
          <w:sz w:val="20"/>
        </w:rPr>
        <w:t>CO</w:t>
      </w:r>
      <w:r>
        <w:rPr>
          <w:position w:val="-6"/>
          <w:sz w:val="11"/>
        </w:rPr>
        <w:t>2</w:t>
      </w:r>
      <w:r>
        <w:rPr>
          <w:spacing w:val="7"/>
          <w:position w:val="-6"/>
          <w:sz w:val="11"/>
        </w:rPr>
        <w:t> </w:t>
      </w:r>
      <w:r>
        <w:rPr>
          <w:sz w:val="20"/>
        </w:rPr>
        <w:t>adsorption</w:t>
      </w:r>
      <w:r>
        <w:rPr>
          <w:spacing w:val="12"/>
          <w:sz w:val="20"/>
        </w:rPr>
        <w:t> </w:t>
      </w:r>
      <w:r>
        <w:rPr>
          <w:sz w:val="20"/>
        </w:rPr>
        <w:t>and</w:t>
      </w:r>
      <w:r>
        <w:rPr>
          <w:spacing w:val="12"/>
          <w:sz w:val="20"/>
        </w:rPr>
        <w:t> </w:t>
      </w:r>
      <w:r>
        <w:rPr>
          <w:sz w:val="20"/>
        </w:rPr>
        <w:t>CH</w:t>
      </w:r>
      <w:r>
        <w:rPr>
          <w:position w:val="-6"/>
          <w:sz w:val="11"/>
        </w:rPr>
        <w:t>4</w:t>
      </w:r>
    </w:p>
    <w:p>
      <w:pPr>
        <w:pStyle w:val="BodyText"/>
        <w:spacing w:line="214" w:lineRule="exact"/>
        <w:ind w:left="723"/>
        <w:jc w:val="both"/>
      </w:pPr>
      <w:r>
        <w:rPr/>
        <w:t>desorption on coal during storage operations.</w:t>
      </w:r>
    </w:p>
    <w:p>
      <w:pPr>
        <w:pStyle w:val="BodyText"/>
        <w:spacing w:before="7"/>
      </w:pPr>
    </w:p>
    <w:p>
      <w:pPr>
        <w:pStyle w:val="ListParagraph"/>
        <w:numPr>
          <w:ilvl w:val="0"/>
          <w:numId w:val="29"/>
        </w:numPr>
        <w:tabs>
          <w:tab w:pos="441" w:val="left" w:leader="none"/>
        </w:tabs>
        <w:spacing w:line="249" w:lineRule="auto" w:before="0" w:after="0"/>
        <w:ind w:left="440" w:right="39" w:hanging="284"/>
        <w:jc w:val="both"/>
        <w:rPr>
          <w:sz w:val="20"/>
        </w:rPr>
      </w:pPr>
      <w:r>
        <w:rPr>
          <w:sz w:val="20"/>
        </w:rPr>
        <w:t>Available information indicates that geological storage operations can be conducted without presenting any greater risks for health and the local environment than similar operations in the oil and gas industry, when carried out     at high-quality and well-characterized sites. However, confidence would be further enhanced by increased knowledge and assessment ability, particularly</w:t>
      </w:r>
      <w:r>
        <w:rPr>
          <w:spacing w:val="-9"/>
          <w:sz w:val="20"/>
        </w:rPr>
        <w:t> </w:t>
      </w:r>
      <w:r>
        <w:rPr>
          <w:sz w:val="20"/>
        </w:rPr>
        <w:t>regarding:</w:t>
      </w:r>
    </w:p>
    <w:p>
      <w:pPr>
        <w:pStyle w:val="ListParagraph"/>
        <w:numPr>
          <w:ilvl w:val="0"/>
          <w:numId w:val="30"/>
        </w:numPr>
        <w:tabs>
          <w:tab w:pos="724" w:val="left" w:leader="none"/>
        </w:tabs>
        <w:spacing w:line="249" w:lineRule="auto" w:before="0" w:after="0"/>
        <w:ind w:left="723" w:right="39" w:hanging="284"/>
        <w:jc w:val="both"/>
        <w:rPr>
          <w:sz w:val="20"/>
        </w:rPr>
      </w:pPr>
      <w:r>
        <w:rPr>
          <w:sz w:val="20"/>
        </w:rPr>
        <w:t>Risks of leakage from abandoned wells caused by material and cement degradation.</w:t>
      </w:r>
    </w:p>
    <w:p>
      <w:pPr>
        <w:pStyle w:val="ListParagraph"/>
        <w:numPr>
          <w:ilvl w:val="0"/>
          <w:numId w:val="30"/>
        </w:numPr>
        <w:tabs>
          <w:tab w:pos="724" w:val="left" w:leader="none"/>
        </w:tabs>
        <w:spacing w:line="231" w:lineRule="exact" w:before="0" w:after="0"/>
        <w:ind w:left="723" w:right="0" w:hanging="284"/>
        <w:jc w:val="both"/>
        <w:rPr>
          <w:sz w:val="20"/>
        </w:rPr>
      </w:pPr>
      <w:r>
        <w:rPr>
          <w:sz w:val="20"/>
        </w:rPr>
        <w:t>The</w:t>
      </w:r>
      <w:r>
        <w:rPr>
          <w:spacing w:val="-6"/>
          <w:sz w:val="20"/>
        </w:rPr>
        <w:t> </w:t>
      </w:r>
      <w:r>
        <w:rPr>
          <w:sz w:val="20"/>
        </w:rPr>
        <w:t>temporal</w:t>
      </w:r>
      <w:r>
        <w:rPr>
          <w:spacing w:val="-6"/>
          <w:sz w:val="20"/>
        </w:rPr>
        <w:t> </w:t>
      </w:r>
      <w:r>
        <w:rPr>
          <w:sz w:val="20"/>
        </w:rPr>
        <w:t>variability</w:t>
      </w:r>
      <w:r>
        <w:rPr>
          <w:spacing w:val="-6"/>
          <w:sz w:val="20"/>
        </w:rPr>
        <w:t> </w:t>
      </w:r>
      <w:r>
        <w:rPr>
          <w:sz w:val="20"/>
        </w:rPr>
        <w:t>and</w:t>
      </w:r>
      <w:r>
        <w:rPr>
          <w:spacing w:val="-5"/>
          <w:sz w:val="20"/>
        </w:rPr>
        <w:t> </w:t>
      </w:r>
      <w:r>
        <w:rPr>
          <w:sz w:val="20"/>
        </w:rPr>
        <w:t>spatial</w:t>
      </w:r>
      <w:r>
        <w:rPr>
          <w:spacing w:val="-6"/>
          <w:sz w:val="20"/>
        </w:rPr>
        <w:t> </w:t>
      </w:r>
      <w:r>
        <w:rPr>
          <w:sz w:val="20"/>
        </w:rPr>
        <w:t>distribution</w:t>
      </w:r>
      <w:r>
        <w:rPr>
          <w:spacing w:val="-6"/>
          <w:sz w:val="20"/>
        </w:rPr>
        <w:t> </w:t>
      </w:r>
      <w:r>
        <w:rPr>
          <w:sz w:val="20"/>
        </w:rPr>
        <w:t>of</w:t>
      </w:r>
      <w:r>
        <w:rPr>
          <w:spacing w:val="-4"/>
          <w:sz w:val="20"/>
        </w:rPr>
        <w:t> </w:t>
      </w:r>
      <w:r>
        <w:rPr>
          <w:sz w:val="20"/>
        </w:rPr>
        <w:t>leaks</w:t>
      </w:r>
    </w:p>
    <w:p>
      <w:pPr>
        <w:pStyle w:val="BodyText"/>
        <w:spacing w:line="228" w:lineRule="exact" w:before="1"/>
        <w:ind w:left="723"/>
        <w:jc w:val="both"/>
      </w:pPr>
      <w:r>
        <w:rPr/>
        <w:t>that might arise from inadequate storage sites.</w:t>
      </w:r>
    </w:p>
    <w:p>
      <w:pPr>
        <w:pStyle w:val="ListParagraph"/>
        <w:numPr>
          <w:ilvl w:val="0"/>
          <w:numId w:val="30"/>
        </w:numPr>
        <w:tabs>
          <w:tab w:pos="724" w:val="left" w:leader="none"/>
        </w:tabs>
        <w:spacing w:line="240" w:lineRule="exact" w:before="0" w:after="0"/>
        <w:ind w:left="723" w:right="0" w:hanging="284"/>
        <w:jc w:val="left"/>
        <w:rPr>
          <w:sz w:val="20"/>
        </w:rPr>
      </w:pPr>
      <w:r>
        <w:rPr>
          <w:sz w:val="20"/>
        </w:rPr>
        <w:t>Microbial impacts in the deep</w:t>
      </w:r>
      <w:r>
        <w:rPr>
          <w:spacing w:val="-5"/>
          <w:sz w:val="20"/>
        </w:rPr>
        <w:t> </w:t>
      </w:r>
      <w:r>
        <w:rPr>
          <w:sz w:val="20"/>
        </w:rPr>
        <w:t>subsurface.</w:t>
      </w:r>
    </w:p>
    <w:p>
      <w:pPr>
        <w:pStyle w:val="ListParagraph"/>
        <w:numPr>
          <w:ilvl w:val="0"/>
          <w:numId w:val="30"/>
        </w:numPr>
        <w:tabs>
          <w:tab w:pos="724" w:val="left" w:leader="none"/>
        </w:tabs>
        <w:spacing w:line="240" w:lineRule="exact" w:before="0" w:after="0"/>
        <w:ind w:left="723" w:right="0" w:hanging="284"/>
        <w:jc w:val="left"/>
        <w:rPr>
          <w:sz w:val="20"/>
        </w:rPr>
      </w:pPr>
      <w:r>
        <w:rPr/>
        <w:pict>
          <v:shape style="position:absolute;margin-left:181.559204pt;margin-top:8.885723pt;width:2.95pt;height:5.85pt;mso-position-horizontal-relative:page;mso-position-vertical-relative:paragraph;z-index:-258813952"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sz w:val="20"/>
        </w:rPr>
        <w:t>Environmental impact of CO on the marine</w:t>
      </w:r>
      <w:r>
        <w:rPr>
          <w:spacing w:val="5"/>
          <w:sz w:val="20"/>
        </w:rPr>
        <w:t> </w:t>
      </w:r>
      <w:r>
        <w:rPr>
          <w:spacing w:val="-3"/>
          <w:sz w:val="20"/>
        </w:rPr>
        <w:t>seafloor.</w:t>
      </w:r>
    </w:p>
    <w:p>
      <w:pPr>
        <w:pStyle w:val="ListParagraph"/>
        <w:numPr>
          <w:ilvl w:val="0"/>
          <w:numId w:val="30"/>
        </w:numPr>
        <w:tabs>
          <w:tab w:pos="724" w:val="left" w:leader="none"/>
        </w:tabs>
        <w:spacing w:line="249" w:lineRule="auto" w:before="0" w:after="0"/>
        <w:ind w:left="723" w:right="39" w:hanging="284"/>
        <w:jc w:val="left"/>
        <w:rPr>
          <w:sz w:val="20"/>
        </w:rPr>
      </w:pPr>
      <w:r>
        <w:rPr>
          <w:sz w:val="20"/>
        </w:rPr>
        <w:t>Methods to conduct end-to-end quantitative assessment of risks to human health and the local environment.</w:t>
      </w:r>
    </w:p>
    <w:p>
      <w:pPr>
        <w:pStyle w:val="BodyText"/>
        <w:spacing w:before="4"/>
        <w:rPr>
          <w:sz w:val="21"/>
        </w:rPr>
      </w:pPr>
    </w:p>
    <w:p>
      <w:pPr>
        <w:pStyle w:val="ListParagraph"/>
        <w:numPr>
          <w:ilvl w:val="0"/>
          <w:numId w:val="29"/>
        </w:numPr>
        <w:tabs>
          <w:tab w:pos="441" w:val="left" w:leader="none"/>
        </w:tabs>
        <w:spacing w:line="225" w:lineRule="auto" w:before="0" w:after="0"/>
        <w:ind w:left="440" w:right="40" w:hanging="284"/>
        <w:jc w:val="both"/>
        <w:rPr>
          <w:sz w:val="20"/>
        </w:rPr>
      </w:pPr>
      <w:r>
        <w:rPr>
          <w:sz w:val="20"/>
        </w:rPr>
        <w:t>There is strong evidence that storage of CO</w:t>
      </w:r>
      <w:r>
        <w:rPr>
          <w:position w:val="-6"/>
          <w:sz w:val="11"/>
        </w:rPr>
        <w:t>2 </w:t>
      </w:r>
      <w:r>
        <w:rPr>
          <w:sz w:val="20"/>
        </w:rPr>
        <w:t>in geological storage sites will be long term; however, it would be beneficial to</w:t>
      </w:r>
      <w:r>
        <w:rPr>
          <w:spacing w:val="-1"/>
          <w:sz w:val="20"/>
        </w:rPr>
        <w:t> </w:t>
      </w:r>
      <w:r>
        <w:rPr>
          <w:sz w:val="20"/>
        </w:rPr>
        <w:t>have:</w:t>
      </w:r>
    </w:p>
    <w:p>
      <w:pPr>
        <w:pStyle w:val="ListParagraph"/>
        <w:numPr>
          <w:ilvl w:val="1"/>
          <w:numId w:val="29"/>
        </w:numPr>
        <w:tabs>
          <w:tab w:pos="724" w:val="left" w:leader="none"/>
        </w:tabs>
        <w:spacing w:line="240" w:lineRule="auto" w:before="13" w:after="0"/>
        <w:ind w:left="723" w:right="0" w:hanging="284"/>
        <w:jc w:val="both"/>
        <w:rPr>
          <w:sz w:val="20"/>
        </w:rPr>
      </w:pPr>
      <w:r>
        <w:rPr>
          <w:sz w:val="20"/>
        </w:rPr>
        <w:t>Quantification of potential leakage rates from more</w:t>
      </w:r>
    </w:p>
    <w:p>
      <w:pPr>
        <w:pStyle w:val="BodyText"/>
        <w:spacing w:before="10"/>
        <w:ind w:left="723"/>
        <w:jc w:val="both"/>
      </w:pPr>
      <w:r>
        <w:rPr/>
        <w:t>storage sites.</w:t>
      </w:r>
    </w:p>
    <w:p>
      <w:pPr>
        <w:pStyle w:val="ListParagraph"/>
        <w:numPr>
          <w:ilvl w:val="1"/>
          <w:numId w:val="29"/>
        </w:numPr>
        <w:tabs>
          <w:tab w:pos="724" w:val="left" w:leader="none"/>
        </w:tabs>
        <w:spacing w:line="249" w:lineRule="auto" w:before="10" w:after="0"/>
        <w:ind w:left="723" w:right="39" w:hanging="284"/>
        <w:jc w:val="both"/>
        <w:rPr>
          <w:sz w:val="20"/>
        </w:rPr>
      </w:pPr>
      <w:r>
        <w:rPr>
          <w:sz w:val="20"/>
        </w:rPr>
        <w:t>Reliable coupled hydrogeological-geochemical-geo– mechanical simulation models to predict long-term storage performance</w:t>
      </w:r>
      <w:r>
        <w:rPr>
          <w:spacing w:val="-2"/>
          <w:sz w:val="20"/>
        </w:rPr>
        <w:t> </w:t>
      </w:r>
      <w:r>
        <w:rPr>
          <w:sz w:val="20"/>
        </w:rPr>
        <w:t>accurately.</w:t>
      </w:r>
    </w:p>
    <w:p>
      <w:pPr>
        <w:pStyle w:val="ListParagraph"/>
        <w:numPr>
          <w:ilvl w:val="1"/>
          <w:numId w:val="29"/>
        </w:numPr>
        <w:tabs>
          <w:tab w:pos="723" w:val="left" w:leader="none"/>
          <w:tab w:pos="724" w:val="left" w:leader="none"/>
        </w:tabs>
        <w:spacing w:line="249" w:lineRule="auto" w:before="63" w:after="0"/>
        <w:ind w:left="723" w:right="531" w:hanging="284"/>
        <w:jc w:val="left"/>
        <w:rPr>
          <w:sz w:val="20"/>
        </w:rPr>
      </w:pPr>
      <w:r>
        <w:rPr>
          <w:sz w:val="20"/>
        </w:rPr>
        <w:br w:type="column"/>
        <w:t>Reliable probabilistic methods for predicting leakage rates from storage</w:t>
      </w:r>
      <w:r>
        <w:rPr>
          <w:spacing w:val="-2"/>
          <w:sz w:val="20"/>
        </w:rPr>
        <w:t> </w:t>
      </w:r>
      <w:r>
        <w:rPr>
          <w:sz w:val="20"/>
        </w:rPr>
        <w:t>sites.</w:t>
      </w:r>
    </w:p>
    <w:p>
      <w:pPr>
        <w:pStyle w:val="ListParagraph"/>
        <w:numPr>
          <w:ilvl w:val="1"/>
          <w:numId w:val="29"/>
        </w:numPr>
        <w:tabs>
          <w:tab w:pos="723" w:val="left" w:leader="none"/>
          <w:tab w:pos="724" w:val="left" w:leader="none"/>
        </w:tabs>
        <w:spacing w:line="249" w:lineRule="auto" w:before="2" w:after="0"/>
        <w:ind w:left="723" w:right="531" w:hanging="284"/>
        <w:jc w:val="left"/>
        <w:rPr>
          <w:sz w:val="20"/>
        </w:rPr>
      </w:pPr>
      <w:r>
        <w:rPr>
          <w:sz w:val="20"/>
        </w:rPr>
        <w:t>Further</w:t>
      </w:r>
      <w:r>
        <w:rPr>
          <w:spacing w:val="-28"/>
          <w:sz w:val="20"/>
        </w:rPr>
        <w:t> </w:t>
      </w:r>
      <w:r>
        <w:rPr>
          <w:sz w:val="20"/>
        </w:rPr>
        <w:t>knowledge</w:t>
      </w:r>
      <w:r>
        <w:rPr>
          <w:spacing w:val="-28"/>
          <w:sz w:val="20"/>
        </w:rPr>
        <w:t> </w:t>
      </w:r>
      <w:r>
        <w:rPr>
          <w:sz w:val="20"/>
        </w:rPr>
        <w:t>of</w:t>
      </w:r>
      <w:r>
        <w:rPr>
          <w:spacing w:val="-28"/>
          <w:sz w:val="20"/>
        </w:rPr>
        <w:t> </w:t>
      </w:r>
      <w:r>
        <w:rPr>
          <w:sz w:val="20"/>
        </w:rPr>
        <w:t>the</w:t>
      </w:r>
      <w:r>
        <w:rPr>
          <w:spacing w:val="-28"/>
          <w:sz w:val="20"/>
        </w:rPr>
        <w:t> </w:t>
      </w:r>
      <w:r>
        <w:rPr>
          <w:sz w:val="20"/>
        </w:rPr>
        <w:t>history</w:t>
      </w:r>
      <w:r>
        <w:rPr>
          <w:spacing w:val="-27"/>
          <w:sz w:val="20"/>
        </w:rPr>
        <w:t> </w:t>
      </w:r>
      <w:r>
        <w:rPr>
          <w:sz w:val="20"/>
        </w:rPr>
        <w:t>of</w:t>
      </w:r>
      <w:r>
        <w:rPr>
          <w:spacing w:val="-28"/>
          <w:sz w:val="20"/>
        </w:rPr>
        <w:t> </w:t>
      </w:r>
      <w:r>
        <w:rPr>
          <w:sz w:val="20"/>
        </w:rPr>
        <w:t>natural</w:t>
      </w:r>
      <w:r>
        <w:rPr>
          <w:spacing w:val="-28"/>
          <w:sz w:val="20"/>
        </w:rPr>
        <w:t> </w:t>
      </w:r>
      <w:r>
        <w:rPr>
          <w:sz w:val="20"/>
        </w:rPr>
        <w:t>accumulations of CO</w:t>
      </w:r>
      <w:r>
        <w:rPr>
          <w:position w:val="-6"/>
          <w:sz w:val="11"/>
        </w:rPr>
        <w:t>2</w:t>
      </w:r>
      <w:r>
        <w:rPr>
          <w:sz w:val="20"/>
        </w:rPr>
        <w:t>.</w:t>
      </w:r>
    </w:p>
    <w:p>
      <w:pPr>
        <w:pStyle w:val="ListParagraph"/>
        <w:numPr>
          <w:ilvl w:val="1"/>
          <w:numId w:val="29"/>
        </w:numPr>
        <w:tabs>
          <w:tab w:pos="723" w:val="left" w:leader="none"/>
          <w:tab w:pos="724" w:val="left" w:leader="none"/>
        </w:tabs>
        <w:spacing w:line="181" w:lineRule="exact" w:before="0" w:after="0"/>
        <w:ind w:left="723" w:right="0" w:hanging="284"/>
        <w:jc w:val="left"/>
        <w:rPr>
          <w:sz w:val="20"/>
        </w:rPr>
      </w:pPr>
      <w:r>
        <w:rPr>
          <w:sz w:val="20"/>
        </w:rPr>
        <w:t>Effective</w:t>
      </w:r>
      <w:r>
        <w:rPr>
          <w:spacing w:val="24"/>
          <w:sz w:val="20"/>
        </w:rPr>
        <w:t> </w:t>
      </w:r>
      <w:r>
        <w:rPr>
          <w:sz w:val="20"/>
        </w:rPr>
        <w:t>and</w:t>
      </w:r>
      <w:r>
        <w:rPr>
          <w:spacing w:val="25"/>
          <w:sz w:val="20"/>
        </w:rPr>
        <w:t> </w:t>
      </w:r>
      <w:r>
        <w:rPr>
          <w:sz w:val="20"/>
        </w:rPr>
        <w:t>demonstrated</w:t>
      </w:r>
      <w:r>
        <w:rPr>
          <w:spacing w:val="24"/>
          <w:sz w:val="20"/>
        </w:rPr>
        <w:t> </w:t>
      </w:r>
      <w:r>
        <w:rPr>
          <w:sz w:val="20"/>
        </w:rPr>
        <w:t>protocols</w:t>
      </w:r>
      <w:r>
        <w:rPr>
          <w:spacing w:val="25"/>
          <w:sz w:val="20"/>
        </w:rPr>
        <w:t> </w:t>
      </w:r>
      <w:r>
        <w:rPr>
          <w:sz w:val="20"/>
        </w:rPr>
        <w:t>for</w:t>
      </w:r>
      <w:r>
        <w:rPr>
          <w:spacing w:val="24"/>
          <w:sz w:val="20"/>
        </w:rPr>
        <w:t> </w:t>
      </w:r>
      <w:r>
        <w:rPr>
          <w:sz w:val="20"/>
        </w:rPr>
        <w:t>achieving</w:t>
      </w:r>
    </w:p>
    <w:p>
      <w:pPr>
        <w:pStyle w:val="BodyText"/>
        <w:spacing w:before="10"/>
        <w:ind w:left="723"/>
      </w:pPr>
      <w:r>
        <w:rPr/>
        <w:t>desirable storage duration and local safety.</w:t>
      </w:r>
    </w:p>
    <w:p>
      <w:pPr>
        <w:pStyle w:val="BodyText"/>
        <w:spacing w:before="3"/>
        <w:rPr>
          <w:sz w:val="21"/>
        </w:rPr>
      </w:pPr>
    </w:p>
    <w:p>
      <w:pPr>
        <w:pStyle w:val="ListParagraph"/>
        <w:numPr>
          <w:ilvl w:val="0"/>
          <w:numId w:val="29"/>
        </w:numPr>
        <w:tabs>
          <w:tab w:pos="441" w:val="left" w:leader="none"/>
        </w:tabs>
        <w:spacing w:line="240" w:lineRule="exact" w:before="0" w:after="0"/>
        <w:ind w:left="440" w:right="530" w:hanging="284"/>
        <w:jc w:val="both"/>
        <w:rPr>
          <w:sz w:val="20"/>
        </w:rPr>
      </w:pPr>
      <w:r>
        <w:rPr>
          <w:sz w:val="20"/>
        </w:rPr>
        <w:t>Monitoring technology is available for determining the behaviour of CO</w:t>
      </w:r>
      <w:r>
        <w:rPr>
          <w:position w:val="-6"/>
          <w:sz w:val="11"/>
        </w:rPr>
        <w:t>2 </w:t>
      </w:r>
      <w:r>
        <w:rPr>
          <w:sz w:val="20"/>
        </w:rPr>
        <w:t>at the surface or in the subsurface; however, there is scope for improvement in the following areas:</w:t>
      </w:r>
    </w:p>
    <w:p>
      <w:pPr>
        <w:pStyle w:val="ListParagraph"/>
        <w:numPr>
          <w:ilvl w:val="1"/>
          <w:numId w:val="29"/>
        </w:numPr>
        <w:tabs>
          <w:tab w:pos="724" w:val="left" w:leader="none"/>
        </w:tabs>
        <w:spacing w:line="240" w:lineRule="auto" w:before="5" w:after="0"/>
        <w:ind w:left="723" w:right="0" w:hanging="284"/>
        <w:jc w:val="both"/>
        <w:rPr>
          <w:sz w:val="20"/>
        </w:rPr>
      </w:pPr>
      <w:r>
        <w:rPr>
          <w:sz w:val="20"/>
        </w:rPr>
        <w:t>Quantification</w:t>
      </w:r>
      <w:r>
        <w:rPr>
          <w:spacing w:val="20"/>
          <w:sz w:val="20"/>
        </w:rPr>
        <w:t> </w:t>
      </w:r>
      <w:r>
        <w:rPr>
          <w:sz w:val="20"/>
        </w:rPr>
        <w:t>and</w:t>
      </w:r>
      <w:r>
        <w:rPr>
          <w:spacing w:val="20"/>
          <w:sz w:val="20"/>
        </w:rPr>
        <w:t> </w:t>
      </w:r>
      <w:r>
        <w:rPr>
          <w:sz w:val="20"/>
        </w:rPr>
        <w:t>resolution</w:t>
      </w:r>
      <w:r>
        <w:rPr>
          <w:spacing w:val="21"/>
          <w:sz w:val="20"/>
        </w:rPr>
        <w:t> </w:t>
      </w:r>
      <w:r>
        <w:rPr>
          <w:sz w:val="20"/>
        </w:rPr>
        <w:t>of</w:t>
      </w:r>
      <w:r>
        <w:rPr>
          <w:spacing w:val="20"/>
          <w:sz w:val="20"/>
        </w:rPr>
        <w:t> </w:t>
      </w:r>
      <w:r>
        <w:rPr>
          <w:sz w:val="20"/>
        </w:rPr>
        <w:t>location</w:t>
      </w:r>
      <w:r>
        <w:rPr>
          <w:spacing w:val="20"/>
          <w:sz w:val="20"/>
        </w:rPr>
        <w:t> </w:t>
      </w:r>
      <w:r>
        <w:rPr>
          <w:sz w:val="20"/>
        </w:rPr>
        <w:t>and</w:t>
      </w:r>
      <w:r>
        <w:rPr>
          <w:spacing w:val="21"/>
          <w:sz w:val="20"/>
        </w:rPr>
        <w:t> </w:t>
      </w:r>
      <w:r>
        <w:rPr>
          <w:sz w:val="20"/>
        </w:rPr>
        <w:t>forms</w:t>
      </w:r>
      <w:r>
        <w:rPr>
          <w:spacing w:val="20"/>
          <w:sz w:val="20"/>
        </w:rPr>
        <w:t> </w:t>
      </w:r>
      <w:r>
        <w:rPr>
          <w:sz w:val="20"/>
        </w:rPr>
        <w:t>of</w:t>
      </w:r>
    </w:p>
    <w:p>
      <w:pPr>
        <w:pStyle w:val="BodyText"/>
        <w:spacing w:line="260" w:lineRule="exact" w:before="10"/>
        <w:ind w:left="723"/>
      </w:pPr>
      <w:r>
        <w:rPr/>
        <w:t>CO</w:t>
      </w:r>
      <w:r>
        <w:rPr>
          <w:position w:val="-6"/>
          <w:sz w:val="11"/>
        </w:rPr>
        <w:t>2 </w:t>
      </w:r>
      <w:r>
        <w:rPr/>
        <w:t>in the subsurface, by geophysical techniques.</w:t>
      </w:r>
    </w:p>
    <w:p>
      <w:pPr>
        <w:pStyle w:val="ListParagraph"/>
        <w:numPr>
          <w:ilvl w:val="1"/>
          <w:numId w:val="29"/>
        </w:numPr>
        <w:tabs>
          <w:tab w:pos="724" w:val="left" w:leader="none"/>
        </w:tabs>
        <w:spacing w:line="187" w:lineRule="auto" w:before="10" w:after="0"/>
        <w:ind w:left="723" w:right="0" w:hanging="284"/>
        <w:jc w:val="both"/>
        <w:rPr>
          <w:sz w:val="20"/>
        </w:rPr>
      </w:pPr>
      <w:r>
        <w:rPr>
          <w:sz w:val="20"/>
        </w:rPr>
        <w:t>Detection and monitoring of subaquatic CO</w:t>
      </w:r>
      <w:r>
        <w:rPr>
          <w:position w:val="-6"/>
          <w:sz w:val="11"/>
        </w:rPr>
        <w:t>2</w:t>
      </w:r>
      <w:r>
        <w:rPr>
          <w:spacing w:val="14"/>
          <w:position w:val="-6"/>
          <w:sz w:val="11"/>
        </w:rPr>
        <w:t> </w:t>
      </w:r>
      <w:r>
        <w:rPr>
          <w:sz w:val="20"/>
        </w:rPr>
        <w:t>seepage.</w:t>
      </w:r>
    </w:p>
    <w:p>
      <w:pPr>
        <w:pStyle w:val="ListParagraph"/>
        <w:numPr>
          <w:ilvl w:val="1"/>
          <w:numId w:val="29"/>
        </w:numPr>
        <w:tabs>
          <w:tab w:pos="723" w:val="left" w:leader="none"/>
          <w:tab w:pos="724" w:val="left" w:leader="none"/>
        </w:tabs>
        <w:spacing w:line="210" w:lineRule="exact" w:before="0" w:after="0"/>
        <w:ind w:left="723" w:right="0" w:hanging="284"/>
        <w:jc w:val="left"/>
        <w:rPr>
          <w:sz w:val="20"/>
        </w:rPr>
      </w:pPr>
      <w:r>
        <w:rPr>
          <w:sz w:val="20"/>
        </w:rPr>
        <w:t>Remote-sensing and cost-effective surface methods</w:t>
      </w:r>
      <w:r>
        <w:rPr>
          <w:spacing w:val="-4"/>
          <w:sz w:val="20"/>
        </w:rPr>
        <w:t> </w:t>
      </w:r>
      <w:r>
        <w:rPr>
          <w:sz w:val="20"/>
        </w:rPr>
        <w:t>for</w:t>
      </w:r>
    </w:p>
    <w:p>
      <w:pPr>
        <w:pStyle w:val="BodyText"/>
        <w:spacing w:before="10"/>
        <w:ind w:left="723"/>
      </w:pPr>
      <w:r>
        <w:rPr/>
        <w:t>temporally variable leak detection and quantification,</w:t>
      </w:r>
    </w:p>
    <w:p>
      <w:pPr>
        <w:pStyle w:val="BodyText"/>
        <w:spacing w:before="10"/>
        <w:ind w:left="723"/>
      </w:pPr>
      <w:r>
        <w:rPr/>
        <w:t>especially for dispersed leaks.</w:t>
      </w:r>
    </w:p>
    <w:p>
      <w:pPr>
        <w:pStyle w:val="ListParagraph"/>
        <w:numPr>
          <w:ilvl w:val="1"/>
          <w:numId w:val="29"/>
        </w:numPr>
        <w:tabs>
          <w:tab w:pos="723" w:val="left" w:leader="none"/>
          <w:tab w:pos="724" w:val="left" w:leader="none"/>
        </w:tabs>
        <w:spacing w:line="249" w:lineRule="auto" w:before="10" w:after="0"/>
        <w:ind w:left="723" w:right="531" w:hanging="284"/>
        <w:jc w:val="left"/>
        <w:rPr>
          <w:sz w:val="20"/>
        </w:rPr>
      </w:pPr>
      <w:r>
        <w:rPr>
          <w:sz w:val="20"/>
        </w:rPr>
        <w:t>Fracture detection and characterization of leakage potential.</w:t>
      </w:r>
    </w:p>
    <w:p>
      <w:pPr>
        <w:pStyle w:val="ListParagraph"/>
        <w:numPr>
          <w:ilvl w:val="1"/>
          <w:numId w:val="29"/>
        </w:numPr>
        <w:tabs>
          <w:tab w:pos="723" w:val="left" w:leader="none"/>
          <w:tab w:pos="724" w:val="left" w:leader="none"/>
        </w:tabs>
        <w:spacing w:line="249" w:lineRule="auto" w:before="2" w:after="0"/>
        <w:ind w:left="723" w:right="531" w:hanging="284"/>
        <w:jc w:val="left"/>
        <w:rPr>
          <w:sz w:val="20"/>
        </w:rPr>
      </w:pPr>
      <w:r>
        <w:rPr>
          <w:sz w:val="20"/>
        </w:rPr>
        <w:t>Development of appropriate long-term monitoring approaches and</w:t>
      </w:r>
      <w:r>
        <w:rPr>
          <w:spacing w:val="-1"/>
          <w:sz w:val="20"/>
        </w:rPr>
        <w:t> </w:t>
      </w:r>
      <w:r>
        <w:rPr>
          <w:sz w:val="20"/>
        </w:rPr>
        <w:t>strategies.</w:t>
      </w:r>
    </w:p>
    <w:p>
      <w:pPr>
        <w:pStyle w:val="BodyText"/>
        <w:spacing w:before="6"/>
      </w:pPr>
    </w:p>
    <w:p>
      <w:pPr>
        <w:pStyle w:val="ListParagraph"/>
        <w:numPr>
          <w:ilvl w:val="0"/>
          <w:numId w:val="29"/>
        </w:numPr>
        <w:tabs>
          <w:tab w:pos="441" w:val="left" w:leader="none"/>
        </w:tabs>
        <w:spacing w:line="240" w:lineRule="exact" w:before="0" w:after="0"/>
        <w:ind w:left="440" w:right="529" w:hanging="284"/>
        <w:jc w:val="both"/>
        <w:rPr>
          <w:sz w:val="20"/>
        </w:rPr>
      </w:pPr>
      <w:r>
        <w:rPr>
          <w:sz w:val="20"/>
        </w:rPr>
        <w:t>Mitigation and remediation options and technologies are available, but there is no track record of remediation </w:t>
      </w:r>
      <w:r>
        <w:rPr>
          <w:spacing w:val="-4"/>
          <w:sz w:val="20"/>
        </w:rPr>
        <w:t>for </w:t>
      </w:r>
      <w:r>
        <w:rPr>
          <w:sz w:val="20"/>
        </w:rPr>
        <w:t>leaked CO</w:t>
      </w:r>
      <w:r>
        <w:rPr>
          <w:position w:val="-6"/>
          <w:sz w:val="11"/>
        </w:rPr>
        <w:t>2</w:t>
      </w:r>
      <w:r>
        <w:rPr>
          <w:sz w:val="20"/>
        </w:rPr>
        <w:t>. While this could be seen as positive, some stakeholders suggest it might be valuable to have an engineered (and controlled) leakage event that could </w:t>
      </w:r>
      <w:r>
        <w:rPr>
          <w:spacing w:val="-8"/>
          <w:sz w:val="20"/>
        </w:rPr>
        <w:t>be </w:t>
      </w:r>
      <w:r>
        <w:rPr>
          <w:sz w:val="20"/>
        </w:rPr>
        <w:t>used as a learning experience.</w:t>
      </w:r>
    </w:p>
    <w:p>
      <w:pPr>
        <w:pStyle w:val="BodyText"/>
        <w:spacing w:before="4"/>
        <w:rPr>
          <w:sz w:val="21"/>
        </w:rPr>
      </w:pPr>
    </w:p>
    <w:p>
      <w:pPr>
        <w:pStyle w:val="ListParagraph"/>
        <w:numPr>
          <w:ilvl w:val="0"/>
          <w:numId w:val="29"/>
        </w:numPr>
        <w:tabs>
          <w:tab w:pos="441" w:val="left" w:leader="none"/>
        </w:tabs>
        <w:spacing w:line="249" w:lineRule="auto" w:before="0" w:after="0"/>
        <w:ind w:left="440" w:right="532" w:hanging="284"/>
        <w:jc w:val="left"/>
        <w:rPr>
          <w:sz w:val="20"/>
        </w:rPr>
      </w:pPr>
      <w:r>
        <w:rPr>
          <w:sz w:val="20"/>
        </w:rPr>
        <w:t>The</w:t>
      </w:r>
      <w:r>
        <w:rPr>
          <w:spacing w:val="-13"/>
          <w:sz w:val="20"/>
        </w:rPr>
        <w:t> </w:t>
      </w:r>
      <w:r>
        <w:rPr>
          <w:sz w:val="20"/>
        </w:rPr>
        <w:t>potential</w:t>
      </w:r>
      <w:r>
        <w:rPr>
          <w:spacing w:val="-13"/>
          <w:sz w:val="20"/>
        </w:rPr>
        <w:t> </w:t>
      </w:r>
      <w:r>
        <w:rPr>
          <w:sz w:val="20"/>
        </w:rPr>
        <w:t>cost</w:t>
      </w:r>
      <w:r>
        <w:rPr>
          <w:spacing w:val="-13"/>
          <w:sz w:val="20"/>
        </w:rPr>
        <w:t> </w:t>
      </w:r>
      <w:r>
        <w:rPr>
          <w:sz w:val="20"/>
        </w:rPr>
        <w:t>of</w:t>
      </w:r>
      <w:r>
        <w:rPr>
          <w:spacing w:val="-12"/>
          <w:sz w:val="20"/>
        </w:rPr>
        <w:t> </w:t>
      </w:r>
      <w:r>
        <w:rPr>
          <w:sz w:val="20"/>
        </w:rPr>
        <w:t>geological</w:t>
      </w:r>
      <w:r>
        <w:rPr>
          <w:spacing w:val="-13"/>
          <w:sz w:val="20"/>
        </w:rPr>
        <w:t> </w:t>
      </w:r>
      <w:r>
        <w:rPr>
          <w:sz w:val="20"/>
        </w:rPr>
        <w:t>storage</w:t>
      </w:r>
      <w:r>
        <w:rPr>
          <w:spacing w:val="-14"/>
          <w:sz w:val="20"/>
        </w:rPr>
        <w:t> </w:t>
      </w:r>
      <w:r>
        <w:rPr>
          <w:sz w:val="20"/>
        </w:rPr>
        <w:t>is</w:t>
      </w:r>
      <w:r>
        <w:rPr>
          <w:spacing w:val="-13"/>
          <w:sz w:val="20"/>
        </w:rPr>
        <w:t> </w:t>
      </w:r>
      <w:r>
        <w:rPr>
          <w:sz w:val="20"/>
        </w:rPr>
        <w:t>known</w:t>
      </w:r>
      <w:r>
        <w:rPr>
          <w:spacing w:val="-12"/>
          <w:sz w:val="20"/>
        </w:rPr>
        <w:t> </w:t>
      </w:r>
      <w:r>
        <w:rPr>
          <w:sz w:val="20"/>
        </w:rPr>
        <w:t>reasonably well,</w:t>
      </w:r>
      <w:r>
        <w:rPr>
          <w:spacing w:val="-2"/>
          <w:sz w:val="20"/>
        </w:rPr>
        <w:t> </w:t>
      </w:r>
      <w:r>
        <w:rPr>
          <w:sz w:val="20"/>
        </w:rPr>
        <w:t>but:</w:t>
      </w:r>
    </w:p>
    <w:p>
      <w:pPr>
        <w:pStyle w:val="ListParagraph"/>
        <w:numPr>
          <w:ilvl w:val="1"/>
          <w:numId w:val="29"/>
        </w:numPr>
        <w:tabs>
          <w:tab w:pos="723" w:val="left" w:leader="none"/>
          <w:tab w:pos="724" w:val="left" w:leader="none"/>
        </w:tabs>
        <w:spacing w:line="249" w:lineRule="auto" w:before="2" w:after="0"/>
        <w:ind w:left="723" w:right="530" w:hanging="284"/>
        <w:jc w:val="left"/>
        <w:rPr>
          <w:sz w:val="20"/>
        </w:rPr>
      </w:pPr>
      <w:r>
        <w:rPr>
          <w:sz w:val="20"/>
        </w:rPr>
        <w:t>There are only a few experience-based cost data from non-EOR CO</w:t>
      </w:r>
      <w:r>
        <w:rPr>
          <w:position w:val="-6"/>
          <w:sz w:val="11"/>
        </w:rPr>
        <w:t>2 </w:t>
      </w:r>
      <w:r>
        <w:rPr>
          <w:sz w:val="20"/>
        </w:rPr>
        <w:t>storage</w:t>
      </w:r>
      <w:r>
        <w:rPr>
          <w:spacing w:val="-7"/>
          <w:sz w:val="20"/>
        </w:rPr>
        <w:t> </w:t>
      </w:r>
      <w:r>
        <w:rPr>
          <w:sz w:val="20"/>
        </w:rPr>
        <w:t>projects.</w:t>
      </w:r>
    </w:p>
    <w:p>
      <w:pPr>
        <w:pStyle w:val="ListParagraph"/>
        <w:numPr>
          <w:ilvl w:val="1"/>
          <w:numId w:val="29"/>
        </w:numPr>
        <w:tabs>
          <w:tab w:pos="723" w:val="left" w:leader="none"/>
          <w:tab w:pos="724" w:val="left" w:leader="none"/>
        </w:tabs>
        <w:spacing w:line="181" w:lineRule="exact" w:before="0" w:after="0"/>
        <w:ind w:left="723" w:right="0" w:hanging="284"/>
        <w:jc w:val="left"/>
        <w:rPr>
          <w:sz w:val="20"/>
        </w:rPr>
      </w:pPr>
      <w:r>
        <w:rPr>
          <w:sz w:val="20"/>
        </w:rPr>
        <w:t>There</w:t>
      </w:r>
      <w:r>
        <w:rPr>
          <w:spacing w:val="20"/>
          <w:sz w:val="20"/>
        </w:rPr>
        <w:t> </w:t>
      </w:r>
      <w:r>
        <w:rPr>
          <w:sz w:val="20"/>
        </w:rPr>
        <w:t>is</w:t>
      </w:r>
      <w:r>
        <w:rPr>
          <w:spacing w:val="20"/>
          <w:sz w:val="20"/>
        </w:rPr>
        <w:t> </w:t>
      </w:r>
      <w:r>
        <w:rPr>
          <w:sz w:val="20"/>
        </w:rPr>
        <w:t>little</w:t>
      </w:r>
      <w:r>
        <w:rPr>
          <w:spacing w:val="20"/>
          <w:sz w:val="20"/>
        </w:rPr>
        <w:t> </w:t>
      </w:r>
      <w:r>
        <w:rPr>
          <w:sz w:val="20"/>
        </w:rPr>
        <w:t>knowledge</w:t>
      </w:r>
      <w:r>
        <w:rPr>
          <w:spacing w:val="20"/>
          <w:sz w:val="20"/>
        </w:rPr>
        <w:t> </w:t>
      </w:r>
      <w:r>
        <w:rPr>
          <w:sz w:val="20"/>
        </w:rPr>
        <w:t>of</w:t>
      </w:r>
      <w:r>
        <w:rPr>
          <w:spacing w:val="20"/>
          <w:sz w:val="20"/>
        </w:rPr>
        <w:t> </w:t>
      </w:r>
      <w:r>
        <w:rPr>
          <w:sz w:val="20"/>
        </w:rPr>
        <w:t>regulatory</w:t>
      </w:r>
      <w:r>
        <w:rPr>
          <w:spacing w:val="20"/>
          <w:sz w:val="20"/>
        </w:rPr>
        <w:t> </w:t>
      </w:r>
      <w:r>
        <w:rPr>
          <w:sz w:val="20"/>
        </w:rPr>
        <w:t>compliance</w:t>
      </w:r>
    </w:p>
    <w:p>
      <w:pPr>
        <w:pStyle w:val="BodyText"/>
        <w:spacing w:before="10"/>
        <w:ind w:left="723"/>
      </w:pPr>
      <w:r>
        <w:rPr/>
        <w:t>costs.</w:t>
      </w:r>
    </w:p>
    <w:p>
      <w:pPr>
        <w:pStyle w:val="ListParagraph"/>
        <w:numPr>
          <w:ilvl w:val="1"/>
          <w:numId w:val="29"/>
        </w:numPr>
        <w:tabs>
          <w:tab w:pos="723" w:val="left" w:leader="none"/>
          <w:tab w:pos="724" w:val="left" w:leader="none"/>
        </w:tabs>
        <w:spacing w:line="249" w:lineRule="auto" w:before="10" w:after="0"/>
        <w:ind w:left="723" w:right="530" w:hanging="284"/>
        <w:jc w:val="left"/>
        <w:rPr>
          <w:sz w:val="20"/>
        </w:rPr>
      </w:pPr>
      <w:r>
        <w:rPr>
          <w:sz w:val="20"/>
        </w:rPr>
        <w:t>There</w:t>
      </w:r>
      <w:r>
        <w:rPr>
          <w:spacing w:val="-16"/>
          <w:sz w:val="20"/>
        </w:rPr>
        <w:t> </w:t>
      </w:r>
      <w:r>
        <w:rPr>
          <w:sz w:val="20"/>
        </w:rPr>
        <w:t>is</w:t>
      </w:r>
      <w:r>
        <w:rPr>
          <w:spacing w:val="-15"/>
          <w:sz w:val="20"/>
        </w:rPr>
        <w:t> </w:t>
      </w:r>
      <w:r>
        <w:rPr>
          <w:sz w:val="20"/>
        </w:rPr>
        <w:t>inadequate</w:t>
      </w:r>
      <w:r>
        <w:rPr>
          <w:spacing w:val="-15"/>
          <w:sz w:val="20"/>
        </w:rPr>
        <w:t> </w:t>
      </w:r>
      <w:r>
        <w:rPr>
          <w:sz w:val="20"/>
        </w:rPr>
        <w:t>information</w:t>
      </w:r>
      <w:r>
        <w:rPr>
          <w:spacing w:val="-16"/>
          <w:sz w:val="20"/>
        </w:rPr>
        <w:t> </w:t>
      </w:r>
      <w:r>
        <w:rPr>
          <w:sz w:val="20"/>
        </w:rPr>
        <w:t>on</w:t>
      </w:r>
      <w:r>
        <w:rPr>
          <w:spacing w:val="-14"/>
          <w:sz w:val="20"/>
        </w:rPr>
        <w:t> </w:t>
      </w:r>
      <w:r>
        <w:rPr>
          <w:sz w:val="20"/>
        </w:rPr>
        <w:t>monitoring</w:t>
      </w:r>
      <w:r>
        <w:rPr>
          <w:spacing w:val="-16"/>
          <w:sz w:val="20"/>
        </w:rPr>
        <w:t> </w:t>
      </w:r>
      <w:r>
        <w:rPr>
          <w:sz w:val="20"/>
        </w:rPr>
        <w:t>strategies and requirements, which affect</w:t>
      </w:r>
      <w:r>
        <w:rPr>
          <w:spacing w:val="-2"/>
          <w:sz w:val="20"/>
        </w:rPr>
        <w:t> </w:t>
      </w:r>
      <w:r>
        <w:rPr>
          <w:sz w:val="20"/>
        </w:rPr>
        <w:t>costs.</w:t>
      </w:r>
    </w:p>
    <w:p>
      <w:pPr>
        <w:pStyle w:val="BodyText"/>
        <w:spacing w:before="11"/>
        <w:rPr>
          <w:sz w:val="21"/>
        </w:rPr>
      </w:pPr>
    </w:p>
    <w:p>
      <w:pPr>
        <w:pStyle w:val="ListParagraph"/>
        <w:numPr>
          <w:ilvl w:val="0"/>
          <w:numId w:val="29"/>
        </w:numPr>
        <w:tabs>
          <w:tab w:pos="441" w:val="left" w:leader="none"/>
        </w:tabs>
        <w:spacing w:line="225" w:lineRule="auto" w:before="0" w:after="0"/>
        <w:ind w:left="440" w:right="531" w:hanging="284"/>
        <w:jc w:val="both"/>
        <w:rPr>
          <w:sz w:val="20"/>
        </w:rPr>
      </w:pPr>
      <w:r>
        <w:rPr>
          <w:sz w:val="20"/>
        </w:rPr>
        <w:t>The regulatory and responsibility or liability framework </w:t>
      </w:r>
      <w:r>
        <w:rPr>
          <w:spacing w:val="-4"/>
          <w:sz w:val="20"/>
        </w:rPr>
        <w:t>for </w:t>
      </w:r>
      <w:r>
        <w:rPr>
          <w:sz w:val="20"/>
        </w:rPr>
        <w:t>CO</w:t>
      </w:r>
      <w:r>
        <w:rPr>
          <w:position w:val="-6"/>
          <w:sz w:val="11"/>
        </w:rPr>
        <w:t>2</w:t>
      </w:r>
      <w:r>
        <w:rPr>
          <w:spacing w:val="6"/>
          <w:position w:val="-6"/>
          <w:sz w:val="11"/>
        </w:rPr>
        <w:t> </w:t>
      </w:r>
      <w:r>
        <w:rPr>
          <w:sz w:val="20"/>
        </w:rPr>
        <w:t>storage</w:t>
      </w:r>
      <w:r>
        <w:rPr>
          <w:spacing w:val="-16"/>
          <w:sz w:val="20"/>
        </w:rPr>
        <w:t> </w:t>
      </w:r>
      <w:r>
        <w:rPr>
          <w:sz w:val="20"/>
        </w:rPr>
        <w:t>is</w:t>
      </w:r>
      <w:r>
        <w:rPr>
          <w:spacing w:val="-16"/>
          <w:sz w:val="20"/>
        </w:rPr>
        <w:t> </w:t>
      </w:r>
      <w:r>
        <w:rPr>
          <w:sz w:val="20"/>
        </w:rPr>
        <w:t>yet</w:t>
      </w:r>
      <w:r>
        <w:rPr>
          <w:spacing w:val="-17"/>
          <w:sz w:val="20"/>
        </w:rPr>
        <w:t> </w:t>
      </w:r>
      <w:r>
        <w:rPr>
          <w:sz w:val="20"/>
        </w:rPr>
        <w:t>to</w:t>
      </w:r>
      <w:r>
        <w:rPr>
          <w:spacing w:val="-16"/>
          <w:sz w:val="20"/>
        </w:rPr>
        <w:t> </w:t>
      </w:r>
      <w:r>
        <w:rPr>
          <w:sz w:val="20"/>
        </w:rPr>
        <w:t>be</w:t>
      </w:r>
      <w:r>
        <w:rPr>
          <w:spacing w:val="-16"/>
          <w:sz w:val="20"/>
        </w:rPr>
        <w:t> </w:t>
      </w:r>
      <w:r>
        <w:rPr>
          <w:sz w:val="20"/>
        </w:rPr>
        <w:t>established</w:t>
      </w:r>
      <w:r>
        <w:rPr>
          <w:spacing w:val="-17"/>
          <w:sz w:val="20"/>
        </w:rPr>
        <w:t> </w:t>
      </w:r>
      <w:r>
        <w:rPr>
          <w:sz w:val="20"/>
        </w:rPr>
        <w:t>or</w:t>
      </w:r>
      <w:r>
        <w:rPr>
          <w:spacing w:val="-16"/>
          <w:sz w:val="20"/>
        </w:rPr>
        <w:t> </w:t>
      </w:r>
      <w:r>
        <w:rPr>
          <w:sz w:val="20"/>
        </w:rPr>
        <w:t>unclear.</w:t>
      </w:r>
      <w:r>
        <w:rPr>
          <w:spacing w:val="-19"/>
          <w:sz w:val="20"/>
        </w:rPr>
        <w:t> </w:t>
      </w:r>
      <w:r>
        <w:rPr>
          <w:sz w:val="20"/>
        </w:rPr>
        <w:t>The</w:t>
      </w:r>
      <w:r>
        <w:rPr>
          <w:spacing w:val="-17"/>
          <w:sz w:val="20"/>
        </w:rPr>
        <w:t> </w:t>
      </w:r>
      <w:r>
        <w:rPr>
          <w:sz w:val="20"/>
        </w:rPr>
        <w:t>following issues need to be considered:</w:t>
      </w:r>
    </w:p>
    <w:p>
      <w:pPr>
        <w:pStyle w:val="ListParagraph"/>
        <w:numPr>
          <w:ilvl w:val="1"/>
          <w:numId w:val="29"/>
        </w:numPr>
        <w:tabs>
          <w:tab w:pos="724" w:val="left" w:leader="none"/>
        </w:tabs>
        <w:spacing w:line="249" w:lineRule="auto" w:before="10" w:after="0"/>
        <w:ind w:left="723" w:right="532" w:hanging="284"/>
        <w:jc w:val="both"/>
        <w:rPr>
          <w:sz w:val="20"/>
        </w:rPr>
      </w:pPr>
      <w:r>
        <w:rPr>
          <w:sz w:val="20"/>
        </w:rPr>
        <w:t>The</w:t>
      </w:r>
      <w:r>
        <w:rPr>
          <w:spacing w:val="-26"/>
          <w:sz w:val="20"/>
        </w:rPr>
        <w:t> </w:t>
      </w:r>
      <w:r>
        <w:rPr>
          <w:sz w:val="20"/>
        </w:rPr>
        <w:t>role</w:t>
      </w:r>
      <w:r>
        <w:rPr>
          <w:spacing w:val="-26"/>
          <w:sz w:val="20"/>
        </w:rPr>
        <w:t> </w:t>
      </w:r>
      <w:r>
        <w:rPr>
          <w:sz w:val="20"/>
        </w:rPr>
        <w:t>of</w:t>
      </w:r>
      <w:r>
        <w:rPr>
          <w:spacing w:val="-25"/>
          <w:sz w:val="20"/>
        </w:rPr>
        <w:t> </w:t>
      </w:r>
      <w:r>
        <w:rPr>
          <w:sz w:val="20"/>
        </w:rPr>
        <w:t>pilot</w:t>
      </w:r>
      <w:r>
        <w:rPr>
          <w:spacing w:val="-26"/>
          <w:sz w:val="20"/>
        </w:rPr>
        <w:t> </w:t>
      </w:r>
      <w:r>
        <w:rPr>
          <w:sz w:val="20"/>
        </w:rPr>
        <w:t>and</w:t>
      </w:r>
      <w:r>
        <w:rPr>
          <w:spacing w:val="-25"/>
          <w:sz w:val="20"/>
        </w:rPr>
        <w:t> </w:t>
      </w:r>
      <w:r>
        <w:rPr>
          <w:sz w:val="20"/>
        </w:rPr>
        <w:t>demonstration</w:t>
      </w:r>
      <w:r>
        <w:rPr>
          <w:spacing w:val="-26"/>
          <w:sz w:val="20"/>
        </w:rPr>
        <w:t> </w:t>
      </w:r>
      <w:r>
        <w:rPr>
          <w:sz w:val="20"/>
        </w:rPr>
        <w:t>projects</w:t>
      </w:r>
      <w:r>
        <w:rPr>
          <w:spacing w:val="-26"/>
          <w:sz w:val="20"/>
        </w:rPr>
        <w:t> </w:t>
      </w:r>
      <w:r>
        <w:rPr>
          <w:sz w:val="20"/>
        </w:rPr>
        <w:t>in</w:t>
      </w:r>
      <w:r>
        <w:rPr>
          <w:spacing w:val="-25"/>
          <w:sz w:val="20"/>
        </w:rPr>
        <w:t> </w:t>
      </w:r>
      <w:r>
        <w:rPr>
          <w:sz w:val="20"/>
        </w:rPr>
        <w:t>developing regulations.</w:t>
      </w:r>
    </w:p>
    <w:p>
      <w:pPr>
        <w:pStyle w:val="ListParagraph"/>
        <w:numPr>
          <w:ilvl w:val="1"/>
          <w:numId w:val="29"/>
        </w:numPr>
        <w:tabs>
          <w:tab w:pos="724" w:val="left" w:leader="none"/>
        </w:tabs>
        <w:spacing w:line="206" w:lineRule="auto" w:before="20" w:after="0"/>
        <w:ind w:left="723" w:right="531" w:hanging="284"/>
        <w:jc w:val="both"/>
        <w:rPr>
          <w:sz w:val="20"/>
        </w:rPr>
      </w:pPr>
      <w:r>
        <w:rPr>
          <w:sz w:val="20"/>
        </w:rPr>
        <w:t>Approaches</w:t>
      </w:r>
      <w:r>
        <w:rPr>
          <w:spacing w:val="-27"/>
          <w:sz w:val="20"/>
        </w:rPr>
        <w:t> </w:t>
      </w:r>
      <w:r>
        <w:rPr>
          <w:sz w:val="20"/>
        </w:rPr>
        <w:t>for</w:t>
      </w:r>
      <w:r>
        <w:rPr>
          <w:spacing w:val="-27"/>
          <w:sz w:val="20"/>
        </w:rPr>
        <w:t> </w:t>
      </w:r>
      <w:r>
        <w:rPr>
          <w:sz w:val="20"/>
        </w:rPr>
        <w:t>verification</w:t>
      </w:r>
      <w:r>
        <w:rPr>
          <w:spacing w:val="-27"/>
          <w:sz w:val="20"/>
        </w:rPr>
        <w:t> </w:t>
      </w:r>
      <w:r>
        <w:rPr>
          <w:sz w:val="20"/>
        </w:rPr>
        <w:t>of</w:t>
      </w:r>
      <w:r>
        <w:rPr>
          <w:spacing w:val="-27"/>
          <w:sz w:val="20"/>
        </w:rPr>
        <w:t> </w:t>
      </w:r>
      <w:r>
        <w:rPr>
          <w:sz w:val="20"/>
        </w:rPr>
        <w:t>CO</w:t>
      </w:r>
      <w:r>
        <w:rPr>
          <w:position w:val="-6"/>
          <w:sz w:val="11"/>
        </w:rPr>
        <w:t>2</w:t>
      </w:r>
      <w:r>
        <w:rPr>
          <w:spacing w:val="-4"/>
          <w:position w:val="-6"/>
          <w:sz w:val="11"/>
        </w:rPr>
        <w:t> </w:t>
      </w:r>
      <w:r>
        <w:rPr>
          <w:sz w:val="20"/>
        </w:rPr>
        <w:t>storage</w:t>
      </w:r>
      <w:r>
        <w:rPr>
          <w:spacing w:val="-27"/>
          <w:sz w:val="20"/>
        </w:rPr>
        <w:t> </w:t>
      </w:r>
      <w:r>
        <w:rPr>
          <w:sz w:val="20"/>
        </w:rPr>
        <w:t>for</w:t>
      </w:r>
      <w:r>
        <w:rPr>
          <w:spacing w:val="-27"/>
          <w:sz w:val="20"/>
        </w:rPr>
        <w:t> </w:t>
      </w:r>
      <w:r>
        <w:rPr>
          <w:sz w:val="20"/>
        </w:rPr>
        <w:t>accounting purposes.</w:t>
      </w:r>
    </w:p>
    <w:p>
      <w:pPr>
        <w:pStyle w:val="ListParagraph"/>
        <w:numPr>
          <w:ilvl w:val="1"/>
          <w:numId w:val="29"/>
        </w:numPr>
        <w:tabs>
          <w:tab w:pos="724" w:val="left" w:leader="none"/>
        </w:tabs>
        <w:spacing w:line="225" w:lineRule="auto" w:before="26" w:after="0"/>
        <w:ind w:left="723" w:right="532" w:hanging="284"/>
        <w:jc w:val="both"/>
        <w:rPr>
          <w:sz w:val="20"/>
        </w:rPr>
      </w:pPr>
      <w:r>
        <w:rPr>
          <w:sz w:val="20"/>
        </w:rPr>
        <w:t>Approaches to regulatory oversight for selecting, operating and monitoring CO</w:t>
      </w:r>
      <w:r>
        <w:rPr>
          <w:position w:val="-6"/>
          <w:sz w:val="11"/>
        </w:rPr>
        <w:t>2 </w:t>
      </w:r>
      <w:r>
        <w:rPr>
          <w:sz w:val="20"/>
        </w:rPr>
        <w:t>storage sites, both in the short and long</w:t>
      </w:r>
      <w:r>
        <w:rPr>
          <w:spacing w:val="-2"/>
          <w:sz w:val="20"/>
        </w:rPr>
        <w:t> </w:t>
      </w:r>
      <w:r>
        <w:rPr>
          <w:sz w:val="20"/>
        </w:rPr>
        <w:t>term.</w:t>
      </w:r>
    </w:p>
    <w:p>
      <w:pPr>
        <w:pStyle w:val="ListParagraph"/>
        <w:numPr>
          <w:ilvl w:val="1"/>
          <w:numId w:val="29"/>
        </w:numPr>
        <w:tabs>
          <w:tab w:pos="724" w:val="left" w:leader="none"/>
        </w:tabs>
        <w:spacing w:line="249" w:lineRule="auto" w:before="10" w:after="0"/>
        <w:ind w:left="723" w:right="530" w:hanging="284"/>
        <w:jc w:val="both"/>
        <w:rPr>
          <w:sz w:val="20"/>
        </w:rPr>
      </w:pPr>
      <w:r>
        <w:rPr>
          <w:sz w:val="20"/>
        </w:rPr>
        <w:t>Clarity on the need for and approaches to long-term stewardship.</w:t>
      </w:r>
    </w:p>
    <w:p>
      <w:pPr>
        <w:pStyle w:val="ListParagraph"/>
        <w:numPr>
          <w:ilvl w:val="1"/>
          <w:numId w:val="29"/>
        </w:numPr>
        <w:tabs>
          <w:tab w:pos="724" w:val="left" w:leader="none"/>
        </w:tabs>
        <w:spacing w:line="240" w:lineRule="auto" w:before="2" w:after="0"/>
        <w:ind w:left="723" w:right="0" w:hanging="284"/>
        <w:jc w:val="both"/>
        <w:rPr>
          <w:sz w:val="20"/>
        </w:rPr>
      </w:pPr>
      <w:r>
        <w:rPr>
          <w:sz w:val="20"/>
        </w:rPr>
        <w:t>Requirements for decommissioning a storage</w:t>
      </w:r>
      <w:r>
        <w:rPr>
          <w:spacing w:val="-3"/>
          <w:sz w:val="20"/>
        </w:rPr>
        <w:t> </w:t>
      </w:r>
      <w:r>
        <w:rPr>
          <w:sz w:val="20"/>
        </w:rPr>
        <w:t>project.</w:t>
      </w:r>
    </w:p>
    <w:p>
      <w:pPr>
        <w:pStyle w:val="BodyText"/>
        <w:spacing w:before="8"/>
        <w:rPr>
          <w:sz w:val="21"/>
        </w:rPr>
      </w:pPr>
    </w:p>
    <w:p>
      <w:pPr>
        <w:pStyle w:val="BodyText"/>
        <w:spacing w:line="249" w:lineRule="auto"/>
        <w:ind w:left="157" w:right="530"/>
        <w:jc w:val="both"/>
      </w:pPr>
      <w:r>
        <w:rPr/>
        <w:t>Additional information on all of these topics would improve technologies and decrease uncertainties, but there appear to be no insurmountable technical barriers to an increased uptake of geological storage as a mitigation option.</w:t>
      </w:r>
    </w:p>
    <w:p>
      <w:pPr>
        <w:spacing w:after="0" w:line="249" w:lineRule="auto"/>
        <w:jc w:val="both"/>
        <w:sectPr>
          <w:type w:val="continuous"/>
          <w:pgSz w:w="12240" w:h="15840"/>
          <w:pgMar w:top="400" w:bottom="280" w:left="580" w:right="600"/>
          <w:cols w:num="2" w:equalWidth="0">
            <w:col w:w="5243" w:space="84"/>
            <w:col w:w="5733"/>
          </w:cols>
        </w:sectPr>
      </w:pPr>
    </w:p>
    <w:p>
      <w:pPr>
        <w:pStyle w:val="BodyText"/>
      </w:pPr>
    </w:p>
    <w:p>
      <w:pPr>
        <w:spacing w:after="0"/>
        <w:sectPr>
          <w:pgSz w:w="12240" w:h="15840"/>
          <w:pgMar w:header="567" w:footer="0" w:top="760" w:bottom="280" w:left="580" w:right="600"/>
        </w:sectPr>
      </w:pPr>
    </w:p>
    <w:p>
      <w:pPr>
        <w:spacing w:before="181"/>
        <w:ind w:left="553" w:right="0" w:firstLine="0"/>
        <w:jc w:val="left"/>
        <w:rPr>
          <w:b/>
          <w:sz w:val="28"/>
        </w:rPr>
      </w:pPr>
      <w:bookmarkStart w:name="References" w:id="121"/>
      <w:bookmarkEnd w:id="121"/>
      <w:r>
        <w:rPr/>
      </w:r>
      <w:r>
        <w:rPr>
          <w:b/>
          <w:sz w:val="28"/>
        </w:rPr>
        <w:t>References</w:t>
      </w:r>
    </w:p>
    <w:p>
      <w:pPr>
        <w:pStyle w:val="BodyText"/>
        <w:spacing w:before="10"/>
        <w:rPr>
          <w:b/>
          <w:sz w:val="21"/>
        </w:rPr>
      </w:pPr>
    </w:p>
    <w:p>
      <w:pPr>
        <w:spacing w:line="278" w:lineRule="auto" w:before="0"/>
        <w:ind w:left="894" w:right="0" w:hanging="341"/>
        <w:jc w:val="both"/>
        <w:rPr>
          <w:sz w:val="18"/>
        </w:rPr>
      </w:pPr>
      <w:r>
        <w:rPr>
          <w:b/>
          <w:sz w:val="18"/>
        </w:rPr>
        <w:t>Ahmad, </w:t>
      </w:r>
      <w:r>
        <w:rPr>
          <w:sz w:val="18"/>
        </w:rPr>
        <w:t>M.U. and J.A. Smith, 1988: Earthquakes, injection wells and the Perry Nuclear Power Plant, Cleveland, Ohio. </w:t>
      </w:r>
      <w:r>
        <w:rPr>
          <w:i/>
          <w:sz w:val="18"/>
        </w:rPr>
        <w:t>Geology</w:t>
      </w:r>
      <w:r>
        <w:rPr>
          <w:sz w:val="18"/>
        </w:rPr>
        <w:t>, </w:t>
      </w:r>
      <w:r>
        <w:rPr>
          <w:b/>
          <w:sz w:val="18"/>
        </w:rPr>
        <w:t>16</w:t>
      </w:r>
      <w:r>
        <w:rPr>
          <w:sz w:val="18"/>
        </w:rPr>
        <w:t>, 739–742.</w:t>
      </w:r>
    </w:p>
    <w:p>
      <w:pPr>
        <w:spacing w:line="207" w:lineRule="exact" w:before="0"/>
        <w:ind w:left="553" w:right="0" w:firstLine="0"/>
        <w:jc w:val="both"/>
        <w:rPr>
          <w:sz w:val="18"/>
        </w:rPr>
      </w:pPr>
      <w:r>
        <w:rPr>
          <w:b/>
          <w:sz w:val="18"/>
        </w:rPr>
        <w:t>Akimoto, </w:t>
      </w:r>
      <w:r>
        <w:rPr>
          <w:sz w:val="18"/>
        </w:rPr>
        <w:t>K., H. Kotsubo, </w:t>
      </w:r>
      <w:r>
        <w:rPr>
          <w:spacing w:val="-7"/>
          <w:sz w:val="18"/>
        </w:rPr>
        <w:t>T. </w:t>
      </w:r>
      <w:r>
        <w:rPr>
          <w:sz w:val="18"/>
        </w:rPr>
        <w:t>Asami, X. Li, M. </w:t>
      </w:r>
      <w:r>
        <w:rPr>
          <w:spacing w:val="19"/>
          <w:sz w:val="18"/>
        </w:rPr>
        <w:t> </w:t>
      </w:r>
      <w:r>
        <w:rPr>
          <w:sz w:val="18"/>
        </w:rPr>
        <w:t>Uno, </w:t>
      </w:r>
      <w:r>
        <w:rPr>
          <w:spacing w:val="-7"/>
          <w:sz w:val="18"/>
        </w:rPr>
        <w:t>T.</w:t>
      </w:r>
      <w:r>
        <w:rPr>
          <w:spacing w:val="31"/>
          <w:sz w:val="18"/>
        </w:rPr>
        <w:t> </w:t>
      </w:r>
      <w:r>
        <w:rPr>
          <w:spacing w:val="-3"/>
          <w:sz w:val="18"/>
        </w:rPr>
        <w:t>Tomoda</w:t>
      </w:r>
      <w:r>
        <w:rPr>
          <w:spacing w:val="39"/>
          <w:sz w:val="18"/>
        </w:rPr>
        <w:t> </w:t>
      </w:r>
      <w:r>
        <w:rPr>
          <w:sz w:val="18"/>
        </w:rPr>
        <w:t>and</w:t>
      </w:r>
    </w:p>
    <w:p>
      <w:pPr>
        <w:spacing w:line="278" w:lineRule="auto" w:before="33"/>
        <w:ind w:left="894" w:right="0" w:firstLine="0"/>
        <w:jc w:val="both"/>
        <w:rPr>
          <w:sz w:val="18"/>
        </w:rPr>
      </w:pPr>
      <w:r>
        <w:rPr>
          <w:spacing w:val="-7"/>
          <w:sz w:val="18"/>
        </w:rPr>
        <w:t>T. </w:t>
      </w:r>
      <w:r>
        <w:rPr>
          <w:sz w:val="18"/>
        </w:rPr>
        <w:t>Ohsumi, 2003: Evaluation of carbon sequestrations in Japan with a mathematical model. Proceedings of the 6</w:t>
      </w:r>
      <w:r>
        <w:rPr>
          <w:position w:val="6"/>
          <w:sz w:val="10"/>
        </w:rPr>
        <w:t>th </w:t>
      </w:r>
      <w:r>
        <w:rPr>
          <w:sz w:val="18"/>
        </w:rPr>
        <w:t>International Conference</w:t>
      </w:r>
      <w:r>
        <w:rPr>
          <w:spacing w:val="-11"/>
          <w:sz w:val="18"/>
        </w:rPr>
        <w:t> </w:t>
      </w:r>
      <w:r>
        <w:rPr>
          <w:sz w:val="18"/>
        </w:rPr>
        <w:t>on</w:t>
      </w:r>
      <w:r>
        <w:rPr>
          <w:spacing w:val="-11"/>
          <w:sz w:val="18"/>
        </w:rPr>
        <w:t> </w:t>
      </w:r>
      <w:r>
        <w:rPr>
          <w:sz w:val="18"/>
        </w:rPr>
        <w:t>Greenhouse</w:t>
      </w:r>
      <w:r>
        <w:rPr>
          <w:spacing w:val="-11"/>
          <w:sz w:val="18"/>
        </w:rPr>
        <w:t> </w:t>
      </w:r>
      <w:r>
        <w:rPr>
          <w:sz w:val="18"/>
        </w:rPr>
        <w:t>Gas</w:t>
      </w:r>
      <w:r>
        <w:rPr>
          <w:spacing w:val="-11"/>
          <w:sz w:val="18"/>
        </w:rPr>
        <w:t> </w:t>
      </w:r>
      <w:r>
        <w:rPr>
          <w:sz w:val="18"/>
        </w:rPr>
        <w:t>Control</w:t>
      </w:r>
      <w:r>
        <w:rPr>
          <w:spacing w:val="-14"/>
          <w:sz w:val="18"/>
        </w:rPr>
        <w:t> </w:t>
      </w:r>
      <w:r>
        <w:rPr>
          <w:sz w:val="18"/>
        </w:rPr>
        <w:t>Technologies</w:t>
      </w:r>
      <w:r>
        <w:rPr>
          <w:spacing w:val="-10"/>
          <w:sz w:val="18"/>
        </w:rPr>
        <w:t> </w:t>
      </w:r>
      <w:r>
        <w:rPr>
          <w:sz w:val="18"/>
        </w:rPr>
        <w:t>(GHGT-6),</w:t>
      </w:r>
    </w:p>
    <w:p>
      <w:pPr>
        <w:spacing w:line="278" w:lineRule="auto" w:before="0"/>
        <w:ind w:left="894" w:right="0" w:firstLine="0"/>
        <w:jc w:val="both"/>
        <w:rPr>
          <w:sz w:val="18"/>
        </w:rPr>
      </w:pPr>
      <w:r>
        <w:rPr>
          <w:sz w:val="18"/>
        </w:rPr>
        <w:t>J. Gale and Y. Kaya (eds.), 1-4 October 2002, Kyoto, Japan, v.I, 913–918.</w:t>
      </w:r>
    </w:p>
    <w:p>
      <w:pPr>
        <w:spacing w:line="278" w:lineRule="auto" w:before="0"/>
        <w:ind w:left="894" w:right="0" w:hanging="341"/>
        <w:jc w:val="both"/>
        <w:rPr>
          <w:sz w:val="18"/>
        </w:rPr>
      </w:pPr>
      <w:r>
        <w:rPr>
          <w:b/>
          <w:sz w:val="18"/>
        </w:rPr>
        <w:t>Alberta Energy and Utilities Board, </w:t>
      </w:r>
      <w:r>
        <w:rPr>
          <w:sz w:val="18"/>
        </w:rPr>
        <w:t>1994: Injection and disposal wells,</w:t>
      </w:r>
      <w:r>
        <w:rPr>
          <w:spacing w:val="-12"/>
          <w:sz w:val="18"/>
        </w:rPr>
        <w:t> </w:t>
      </w:r>
      <w:r>
        <w:rPr>
          <w:sz w:val="18"/>
        </w:rPr>
        <w:t>Guide</w:t>
      </w:r>
      <w:r>
        <w:rPr>
          <w:spacing w:val="-12"/>
          <w:sz w:val="18"/>
        </w:rPr>
        <w:t> </w:t>
      </w:r>
      <w:r>
        <w:rPr>
          <w:sz w:val="18"/>
        </w:rPr>
        <w:t>#51,</w:t>
      </w:r>
      <w:r>
        <w:rPr>
          <w:spacing w:val="-12"/>
          <w:sz w:val="18"/>
        </w:rPr>
        <w:t> </w:t>
      </w:r>
      <w:r>
        <w:rPr>
          <w:sz w:val="18"/>
        </w:rPr>
        <w:t>Calgary,</w:t>
      </w:r>
      <w:r>
        <w:rPr>
          <w:spacing w:val="-20"/>
          <w:sz w:val="18"/>
        </w:rPr>
        <w:t> </w:t>
      </w:r>
      <w:r>
        <w:rPr>
          <w:sz w:val="18"/>
        </w:rPr>
        <w:t>AB,</w:t>
      </w:r>
      <w:r>
        <w:rPr>
          <w:spacing w:val="-12"/>
          <w:sz w:val="18"/>
        </w:rPr>
        <w:t> </w:t>
      </w:r>
      <w:hyperlink r:id="rId261">
        <w:r>
          <w:rPr>
            <w:sz w:val="18"/>
          </w:rPr>
          <w:t>http://eub.gov.ab.ca/bbs/products/</w:t>
        </w:r>
      </w:hyperlink>
      <w:r>
        <w:rPr>
          <w:sz w:val="18"/>
        </w:rPr>
        <w:t> guides/g51-1994.pdf.</w:t>
      </w:r>
    </w:p>
    <w:p>
      <w:pPr>
        <w:spacing w:line="278" w:lineRule="auto" w:before="0"/>
        <w:ind w:left="894" w:right="0" w:hanging="341"/>
        <w:jc w:val="both"/>
        <w:rPr>
          <w:sz w:val="18"/>
        </w:rPr>
      </w:pPr>
      <w:r>
        <w:rPr>
          <w:b/>
          <w:sz w:val="18"/>
        </w:rPr>
        <w:t>Alberta</w:t>
      </w:r>
      <w:r>
        <w:rPr>
          <w:b/>
          <w:spacing w:val="-7"/>
          <w:sz w:val="18"/>
        </w:rPr>
        <w:t> </w:t>
      </w:r>
      <w:r>
        <w:rPr>
          <w:b/>
          <w:sz w:val="18"/>
        </w:rPr>
        <w:t>Energy</w:t>
      </w:r>
      <w:r>
        <w:rPr>
          <w:b/>
          <w:spacing w:val="-7"/>
          <w:sz w:val="18"/>
        </w:rPr>
        <w:t> </w:t>
      </w:r>
      <w:r>
        <w:rPr>
          <w:b/>
          <w:sz w:val="18"/>
        </w:rPr>
        <w:t>and</w:t>
      </w:r>
      <w:r>
        <w:rPr>
          <w:b/>
          <w:spacing w:val="-6"/>
          <w:sz w:val="18"/>
        </w:rPr>
        <w:t> </w:t>
      </w:r>
      <w:r>
        <w:rPr>
          <w:b/>
          <w:sz w:val="18"/>
        </w:rPr>
        <w:t>Utilities</w:t>
      </w:r>
      <w:r>
        <w:rPr>
          <w:b/>
          <w:spacing w:val="-8"/>
          <w:sz w:val="18"/>
        </w:rPr>
        <w:t> </w:t>
      </w:r>
      <w:r>
        <w:rPr>
          <w:b/>
          <w:sz w:val="18"/>
        </w:rPr>
        <w:t>Board,</w:t>
      </w:r>
      <w:r>
        <w:rPr>
          <w:b/>
          <w:spacing w:val="-5"/>
          <w:sz w:val="18"/>
        </w:rPr>
        <w:t> </w:t>
      </w:r>
      <w:r>
        <w:rPr>
          <w:sz w:val="18"/>
        </w:rPr>
        <w:t>2003:</w:t>
      </w:r>
      <w:r>
        <w:rPr>
          <w:spacing w:val="-11"/>
          <w:sz w:val="18"/>
        </w:rPr>
        <w:t> </w:t>
      </w:r>
      <w:r>
        <w:rPr>
          <w:spacing w:val="-4"/>
          <w:sz w:val="18"/>
        </w:rPr>
        <w:t>Well</w:t>
      </w:r>
      <w:r>
        <w:rPr>
          <w:spacing w:val="-6"/>
          <w:sz w:val="18"/>
        </w:rPr>
        <w:t> </w:t>
      </w:r>
      <w:r>
        <w:rPr>
          <w:sz w:val="18"/>
        </w:rPr>
        <w:t>abandonment</w:t>
      </w:r>
      <w:r>
        <w:rPr>
          <w:spacing w:val="-7"/>
          <w:sz w:val="18"/>
        </w:rPr>
        <w:t> </w:t>
      </w:r>
      <w:r>
        <w:rPr>
          <w:sz w:val="18"/>
        </w:rPr>
        <w:t>guide, August 2003 incorporating errata to August 2004, </w:t>
      </w:r>
      <w:hyperlink r:id="rId262">
        <w:r>
          <w:rPr>
            <w:sz w:val="18"/>
          </w:rPr>
          <w:t>http://www.</w:t>
        </w:r>
      </w:hyperlink>
      <w:r>
        <w:rPr>
          <w:sz w:val="18"/>
        </w:rPr>
        <w:t> eub.gov.ab.ca/bbs/products/guides/g20.pdf.</w:t>
      </w:r>
    </w:p>
    <w:p>
      <w:pPr>
        <w:spacing w:line="278" w:lineRule="auto" w:before="0"/>
        <w:ind w:left="894" w:right="0" w:hanging="341"/>
        <w:jc w:val="both"/>
        <w:rPr>
          <w:sz w:val="18"/>
        </w:rPr>
      </w:pPr>
      <w:r>
        <w:rPr>
          <w:b/>
          <w:sz w:val="18"/>
        </w:rPr>
        <w:t>Allinson, </w:t>
      </w:r>
      <w:r>
        <w:rPr>
          <w:sz w:val="18"/>
        </w:rPr>
        <w:t>W.G, D.N. Nguyen and J. Bradshaw, 2003: The economics of geological storage of CO</w:t>
      </w:r>
      <w:r>
        <w:rPr>
          <w:position w:val="-5"/>
          <w:sz w:val="10"/>
        </w:rPr>
        <w:t>2 </w:t>
      </w:r>
      <w:r>
        <w:rPr>
          <w:sz w:val="18"/>
        </w:rPr>
        <w:t>in Australia, </w:t>
      </w:r>
      <w:r>
        <w:rPr>
          <w:i/>
          <w:sz w:val="18"/>
        </w:rPr>
        <w:t>APPEA Journal</w:t>
      </w:r>
      <w:r>
        <w:rPr>
          <w:sz w:val="18"/>
        </w:rPr>
        <w:t>, </w:t>
      </w:r>
      <w:r>
        <w:rPr>
          <w:b/>
          <w:sz w:val="18"/>
        </w:rPr>
        <w:t>623</w:t>
      </w:r>
      <w:r>
        <w:rPr>
          <w:sz w:val="18"/>
        </w:rPr>
        <w:t>.</w:t>
      </w:r>
    </w:p>
    <w:p>
      <w:pPr>
        <w:spacing w:line="164" w:lineRule="exact" w:before="0"/>
        <w:ind w:left="553" w:right="0" w:firstLine="0"/>
        <w:jc w:val="both"/>
        <w:rPr>
          <w:sz w:val="18"/>
        </w:rPr>
      </w:pPr>
      <w:r>
        <w:rPr>
          <w:b/>
          <w:sz w:val="18"/>
        </w:rPr>
        <w:t>Allis,</w:t>
      </w:r>
      <w:r>
        <w:rPr>
          <w:b/>
          <w:spacing w:val="-4"/>
          <w:sz w:val="18"/>
        </w:rPr>
        <w:t> </w:t>
      </w:r>
      <w:r>
        <w:rPr>
          <w:sz w:val="18"/>
        </w:rPr>
        <w:t>R.,</w:t>
      </w:r>
      <w:r>
        <w:rPr>
          <w:spacing w:val="-7"/>
          <w:sz w:val="18"/>
        </w:rPr>
        <w:t> T.</w:t>
      </w:r>
      <w:r>
        <w:rPr>
          <w:spacing w:val="-3"/>
          <w:sz w:val="18"/>
        </w:rPr>
        <w:t> </w:t>
      </w:r>
      <w:r>
        <w:rPr>
          <w:sz w:val="18"/>
        </w:rPr>
        <w:t>Chidsey,</w:t>
      </w:r>
      <w:r>
        <w:rPr>
          <w:spacing w:val="-7"/>
          <w:sz w:val="18"/>
        </w:rPr>
        <w:t> </w:t>
      </w:r>
      <w:r>
        <w:rPr>
          <w:spacing w:val="-9"/>
          <w:sz w:val="18"/>
        </w:rPr>
        <w:t>W.</w:t>
      </w:r>
      <w:r>
        <w:rPr>
          <w:spacing w:val="-4"/>
          <w:sz w:val="18"/>
        </w:rPr>
        <w:t> </w:t>
      </w:r>
      <w:r>
        <w:rPr>
          <w:sz w:val="18"/>
        </w:rPr>
        <w:t>Gwynn,</w:t>
      </w:r>
      <w:r>
        <w:rPr>
          <w:spacing w:val="-3"/>
          <w:sz w:val="18"/>
        </w:rPr>
        <w:t> </w:t>
      </w:r>
      <w:r>
        <w:rPr>
          <w:sz w:val="18"/>
        </w:rPr>
        <w:t>C.</w:t>
      </w:r>
      <w:r>
        <w:rPr>
          <w:spacing w:val="-4"/>
          <w:sz w:val="18"/>
        </w:rPr>
        <w:t> </w:t>
      </w:r>
      <w:r>
        <w:rPr>
          <w:sz w:val="18"/>
        </w:rPr>
        <w:t>Morgan,</w:t>
      </w:r>
      <w:r>
        <w:rPr>
          <w:spacing w:val="-4"/>
          <w:sz w:val="18"/>
        </w:rPr>
        <w:t> </w:t>
      </w:r>
      <w:r>
        <w:rPr>
          <w:sz w:val="18"/>
        </w:rPr>
        <w:t>S.</w:t>
      </w:r>
      <w:r>
        <w:rPr>
          <w:spacing w:val="-6"/>
          <w:sz w:val="18"/>
        </w:rPr>
        <w:t> </w:t>
      </w:r>
      <w:r>
        <w:rPr>
          <w:sz w:val="18"/>
        </w:rPr>
        <w:t>White,</w:t>
      </w:r>
      <w:r>
        <w:rPr>
          <w:spacing w:val="-4"/>
          <w:sz w:val="18"/>
        </w:rPr>
        <w:t> </w:t>
      </w:r>
      <w:r>
        <w:rPr>
          <w:sz w:val="18"/>
        </w:rPr>
        <w:t>M.</w:t>
      </w:r>
      <w:r>
        <w:rPr>
          <w:spacing w:val="-13"/>
          <w:sz w:val="18"/>
        </w:rPr>
        <w:t> </w:t>
      </w:r>
      <w:r>
        <w:rPr>
          <w:sz w:val="18"/>
        </w:rPr>
        <w:t>Adams</w:t>
      </w:r>
      <w:r>
        <w:rPr>
          <w:spacing w:val="-4"/>
          <w:sz w:val="18"/>
        </w:rPr>
        <w:t> </w:t>
      </w:r>
      <w:r>
        <w:rPr>
          <w:sz w:val="18"/>
        </w:rPr>
        <w:t>and</w:t>
      </w:r>
    </w:p>
    <w:p>
      <w:pPr>
        <w:spacing w:line="240" w:lineRule="exact" w:before="8"/>
        <w:ind w:left="894" w:right="0" w:firstLine="0"/>
        <w:jc w:val="both"/>
        <w:rPr>
          <w:sz w:val="18"/>
        </w:rPr>
      </w:pPr>
      <w:r>
        <w:rPr>
          <w:sz w:val="18"/>
        </w:rPr>
        <w:t>J. Moore, 2001: Natural CO</w:t>
      </w:r>
      <w:r>
        <w:rPr>
          <w:position w:val="-5"/>
          <w:sz w:val="10"/>
        </w:rPr>
        <w:t>2 </w:t>
      </w:r>
      <w:r>
        <w:rPr>
          <w:sz w:val="18"/>
        </w:rPr>
        <w:t>reservoirs on the Colorado Plateau and</w:t>
      </w:r>
      <w:r>
        <w:rPr>
          <w:spacing w:val="-17"/>
          <w:sz w:val="18"/>
        </w:rPr>
        <w:t> </w:t>
      </w:r>
      <w:r>
        <w:rPr>
          <w:sz w:val="18"/>
        </w:rPr>
        <w:t>southern</w:t>
      </w:r>
      <w:r>
        <w:rPr>
          <w:spacing w:val="-16"/>
          <w:sz w:val="18"/>
        </w:rPr>
        <w:t> </w:t>
      </w:r>
      <w:r>
        <w:rPr>
          <w:sz w:val="18"/>
        </w:rPr>
        <w:t>Rocky</w:t>
      </w:r>
      <w:r>
        <w:rPr>
          <w:spacing w:val="-16"/>
          <w:sz w:val="18"/>
        </w:rPr>
        <w:t> </w:t>
      </w:r>
      <w:r>
        <w:rPr>
          <w:sz w:val="18"/>
        </w:rPr>
        <w:t>Mountains:</w:t>
      </w:r>
      <w:r>
        <w:rPr>
          <w:spacing w:val="-17"/>
          <w:sz w:val="18"/>
        </w:rPr>
        <w:t> </w:t>
      </w:r>
      <w:r>
        <w:rPr>
          <w:sz w:val="18"/>
        </w:rPr>
        <w:t>Candidates</w:t>
      </w:r>
      <w:r>
        <w:rPr>
          <w:spacing w:val="-16"/>
          <w:sz w:val="18"/>
        </w:rPr>
        <w:t> </w:t>
      </w:r>
      <w:r>
        <w:rPr>
          <w:sz w:val="18"/>
        </w:rPr>
        <w:t>for</w:t>
      </w:r>
      <w:r>
        <w:rPr>
          <w:spacing w:val="-16"/>
          <w:sz w:val="18"/>
        </w:rPr>
        <w:t> </w:t>
      </w:r>
      <w:r>
        <w:rPr>
          <w:sz w:val="18"/>
        </w:rPr>
        <w:t>CO</w:t>
      </w:r>
      <w:r>
        <w:rPr>
          <w:position w:val="-5"/>
          <w:sz w:val="10"/>
        </w:rPr>
        <w:t>2</w:t>
      </w:r>
      <w:r>
        <w:rPr>
          <w:spacing w:val="3"/>
          <w:position w:val="-5"/>
          <w:sz w:val="10"/>
        </w:rPr>
        <w:t> </w:t>
      </w:r>
      <w:r>
        <w:rPr>
          <w:sz w:val="18"/>
        </w:rPr>
        <w:t>sequestration. Proceedings of the First National Conference on Carbon Sequestration,</w:t>
      </w:r>
      <w:r>
        <w:rPr>
          <w:spacing w:val="-5"/>
          <w:sz w:val="18"/>
        </w:rPr>
        <w:t> </w:t>
      </w:r>
      <w:r>
        <w:rPr>
          <w:sz w:val="18"/>
        </w:rPr>
        <w:t>14–17</w:t>
      </w:r>
      <w:r>
        <w:rPr>
          <w:spacing w:val="-4"/>
          <w:sz w:val="18"/>
        </w:rPr>
        <w:t> </w:t>
      </w:r>
      <w:r>
        <w:rPr>
          <w:sz w:val="18"/>
        </w:rPr>
        <w:t>May</w:t>
      </w:r>
      <w:r>
        <w:rPr>
          <w:spacing w:val="-5"/>
          <w:sz w:val="18"/>
        </w:rPr>
        <w:t> </w:t>
      </w:r>
      <w:r>
        <w:rPr>
          <w:sz w:val="18"/>
        </w:rPr>
        <w:t>2001,</w:t>
      </w:r>
      <w:r>
        <w:rPr>
          <w:spacing w:val="-4"/>
          <w:sz w:val="18"/>
        </w:rPr>
        <w:t> </w:t>
      </w:r>
      <w:r>
        <w:rPr>
          <w:sz w:val="18"/>
        </w:rPr>
        <w:t>DOE</w:t>
      </w:r>
      <w:r>
        <w:rPr>
          <w:spacing w:val="-5"/>
          <w:sz w:val="18"/>
        </w:rPr>
        <w:t> </w:t>
      </w:r>
      <w:r>
        <w:rPr>
          <w:sz w:val="18"/>
        </w:rPr>
        <w:t>NETL,</w:t>
      </w:r>
      <w:r>
        <w:rPr>
          <w:spacing w:val="-7"/>
          <w:sz w:val="18"/>
        </w:rPr>
        <w:t> </w:t>
      </w:r>
      <w:r>
        <w:rPr>
          <w:sz w:val="18"/>
        </w:rPr>
        <w:t>Washington,</w:t>
      </w:r>
      <w:r>
        <w:rPr>
          <w:spacing w:val="-4"/>
          <w:sz w:val="18"/>
        </w:rPr>
        <w:t> </w:t>
      </w:r>
      <w:r>
        <w:rPr>
          <w:sz w:val="18"/>
        </w:rPr>
        <w:t>DC.</w:t>
      </w:r>
    </w:p>
    <w:p>
      <w:pPr>
        <w:spacing w:line="240" w:lineRule="exact" w:before="0"/>
        <w:ind w:left="894" w:right="0" w:hanging="341"/>
        <w:jc w:val="both"/>
        <w:rPr>
          <w:sz w:val="18"/>
        </w:rPr>
      </w:pPr>
      <w:r>
        <w:rPr>
          <w:b/>
          <w:sz w:val="18"/>
        </w:rPr>
        <w:t>Alston, </w:t>
      </w:r>
      <w:r>
        <w:rPr>
          <w:sz w:val="18"/>
        </w:rPr>
        <w:t>R.B., </w:t>
      </w:r>
      <w:r>
        <w:rPr>
          <w:spacing w:val="-6"/>
          <w:sz w:val="18"/>
        </w:rPr>
        <w:t>G.P. </w:t>
      </w:r>
      <w:r>
        <w:rPr>
          <w:sz w:val="18"/>
        </w:rPr>
        <w:t>Kokolis and </w:t>
      </w:r>
      <w:r>
        <w:rPr>
          <w:spacing w:val="-4"/>
          <w:sz w:val="18"/>
        </w:rPr>
        <w:t>C.F. </w:t>
      </w:r>
      <w:r>
        <w:rPr>
          <w:sz w:val="18"/>
        </w:rPr>
        <w:t>James, 1985: CO</w:t>
      </w:r>
      <w:r>
        <w:rPr>
          <w:position w:val="-5"/>
          <w:sz w:val="10"/>
        </w:rPr>
        <w:t>2 </w:t>
      </w:r>
      <w:r>
        <w:rPr>
          <w:sz w:val="18"/>
        </w:rPr>
        <w:t>minimum miscibility pressure: A correlation for impure CO</w:t>
      </w:r>
      <w:r>
        <w:rPr>
          <w:position w:val="-5"/>
          <w:sz w:val="10"/>
        </w:rPr>
        <w:t>2 </w:t>
      </w:r>
      <w:r>
        <w:rPr>
          <w:sz w:val="18"/>
        </w:rPr>
        <w:t>streams and live oil systems. </w:t>
      </w:r>
      <w:r>
        <w:rPr>
          <w:i/>
          <w:sz w:val="18"/>
        </w:rPr>
        <w:t>Society of Petroleum Engineers Journal</w:t>
      </w:r>
      <w:r>
        <w:rPr>
          <w:sz w:val="18"/>
        </w:rPr>
        <w:t>, </w:t>
      </w:r>
      <w:r>
        <w:rPr>
          <w:b/>
          <w:sz w:val="18"/>
        </w:rPr>
        <w:t>25</w:t>
      </w:r>
      <w:r>
        <w:rPr>
          <w:sz w:val="18"/>
        </w:rPr>
        <w:t>(2), 268–274.</w:t>
      </w:r>
    </w:p>
    <w:p>
      <w:pPr>
        <w:spacing w:line="240" w:lineRule="exact" w:before="0"/>
        <w:ind w:left="894" w:right="0" w:hanging="341"/>
        <w:jc w:val="both"/>
        <w:rPr>
          <w:sz w:val="18"/>
        </w:rPr>
      </w:pPr>
      <w:r>
        <w:rPr>
          <w:b/>
          <w:sz w:val="18"/>
        </w:rPr>
        <w:t>Amadeo, </w:t>
      </w:r>
      <w:r>
        <w:rPr>
          <w:sz w:val="18"/>
        </w:rPr>
        <w:t>N., H. Bajano, J. Comas, </w:t>
      </w:r>
      <w:r>
        <w:rPr>
          <w:spacing w:val="-6"/>
          <w:sz w:val="18"/>
        </w:rPr>
        <w:t>J.P. </w:t>
      </w:r>
      <w:r>
        <w:rPr>
          <w:sz w:val="18"/>
        </w:rPr>
        <w:t>Daverio, M.A. Laborde, J.A. Poggi and D.R. Gómez, 2005: Assessment of CO</w:t>
      </w:r>
      <w:r>
        <w:rPr>
          <w:position w:val="-5"/>
          <w:sz w:val="10"/>
        </w:rPr>
        <w:t>2 </w:t>
      </w:r>
      <w:r>
        <w:rPr>
          <w:sz w:val="18"/>
        </w:rPr>
        <w:t>capture and storage from thermal power plants in Argentina. Proceedings of the 7</w:t>
      </w:r>
      <w:r>
        <w:rPr>
          <w:position w:val="6"/>
          <w:sz w:val="10"/>
        </w:rPr>
        <w:t>th </w:t>
      </w:r>
      <w:r>
        <w:rPr>
          <w:sz w:val="18"/>
        </w:rPr>
        <w:t>International Conference on Greenhouse Gas</w:t>
      </w:r>
      <w:r>
        <w:rPr>
          <w:spacing w:val="-32"/>
          <w:sz w:val="18"/>
        </w:rPr>
        <w:t> </w:t>
      </w:r>
      <w:r>
        <w:rPr>
          <w:sz w:val="18"/>
        </w:rPr>
        <w:t>Technologies (GHGT-7), September 5–9, 2004, </w:t>
      </w:r>
      <w:r>
        <w:rPr>
          <w:spacing w:val="-3"/>
          <w:sz w:val="18"/>
        </w:rPr>
        <w:t>Vancouver, </w:t>
      </w:r>
      <w:r>
        <w:rPr>
          <w:sz w:val="18"/>
        </w:rPr>
        <w:t>Canada, </w:t>
      </w:r>
      <w:r>
        <w:rPr>
          <w:spacing w:val="-3"/>
          <w:sz w:val="18"/>
        </w:rPr>
        <w:t>v.I, </w:t>
      </w:r>
      <w:r>
        <w:rPr>
          <w:sz w:val="18"/>
        </w:rPr>
        <w:t>243-252.</w:t>
      </w:r>
    </w:p>
    <w:p>
      <w:pPr>
        <w:spacing w:line="278" w:lineRule="auto" w:before="24"/>
        <w:ind w:left="894" w:right="0" w:hanging="341"/>
        <w:jc w:val="both"/>
        <w:rPr>
          <w:sz w:val="18"/>
        </w:rPr>
      </w:pPr>
      <w:r>
        <w:rPr>
          <w:b/>
          <w:sz w:val="18"/>
        </w:rPr>
        <w:t>Angus, </w:t>
      </w:r>
      <w:r>
        <w:rPr>
          <w:sz w:val="18"/>
        </w:rPr>
        <w:t>S., B. Armstrong and K.M. de Reuck, 1973: International Thermodynamic </w:t>
      </w:r>
      <w:r>
        <w:rPr>
          <w:spacing w:val="-3"/>
          <w:sz w:val="18"/>
        </w:rPr>
        <w:t>Tables </w:t>
      </w:r>
      <w:r>
        <w:rPr>
          <w:sz w:val="18"/>
        </w:rPr>
        <w:t>of the Fluid State </w:t>
      </w:r>
      <w:r>
        <w:rPr>
          <w:spacing w:val="-4"/>
          <w:sz w:val="18"/>
        </w:rPr>
        <w:t>Volume </w:t>
      </w:r>
      <w:r>
        <w:rPr>
          <w:sz w:val="18"/>
        </w:rPr>
        <w:t>3. Carbon Dioxide.</w:t>
      </w:r>
      <w:r>
        <w:rPr>
          <w:spacing w:val="-17"/>
          <w:sz w:val="18"/>
        </w:rPr>
        <w:t> </w:t>
      </w:r>
      <w:r>
        <w:rPr>
          <w:spacing w:val="-4"/>
          <w:sz w:val="18"/>
        </w:rPr>
        <w:t>IUPAC</w:t>
      </w:r>
      <w:r>
        <w:rPr>
          <w:spacing w:val="-16"/>
          <w:sz w:val="18"/>
        </w:rPr>
        <w:t> </w:t>
      </w:r>
      <w:r>
        <w:rPr>
          <w:sz w:val="18"/>
        </w:rPr>
        <w:t>Division</w:t>
      </w:r>
      <w:r>
        <w:rPr>
          <w:spacing w:val="-17"/>
          <w:sz w:val="18"/>
        </w:rPr>
        <w:t> </w:t>
      </w:r>
      <w:r>
        <w:rPr>
          <w:sz w:val="18"/>
        </w:rPr>
        <w:t>of</w:t>
      </w:r>
      <w:r>
        <w:rPr>
          <w:spacing w:val="-16"/>
          <w:sz w:val="18"/>
        </w:rPr>
        <w:t> </w:t>
      </w:r>
      <w:r>
        <w:rPr>
          <w:sz w:val="18"/>
        </w:rPr>
        <w:t>Physical</w:t>
      </w:r>
      <w:r>
        <w:rPr>
          <w:spacing w:val="-17"/>
          <w:sz w:val="18"/>
        </w:rPr>
        <w:t> </w:t>
      </w:r>
      <w:r>
        <w:rPr>
          <w:sz w:val="18"/>
        </w:rPr>
        <w:t>Chemistry,</w:t>
      </w:r>
      <w:r>
        <w:rPr>
          <w:spacing w:val="-17"/>
          <w:sz w:val="18"/>
        </w:rPr>
        <w:t> </w:t>
      </w:r>
      <w:r>
        <w:rPr>
          <w:sz w:val="18"/>
        </w:rPr>
        <w:t>Pergamon</w:t>
      </w:r>
      <w:r>
        <w:rPr>
          <w:spacing w:val="-16"/>
          <w:sz w:val="18"/>
        </w:rPr>
        <w:t> </w:t>
      </w:r>
      <w:r>
        <w:rPr>
          <w:sz w:val="18"/>
        </w:rPr>
        <w:t>Press, London, pp. 266–359.</w:t>
      </w:r>
    </w:p>
    <w:p>
      <w:pPr>
        <w:spacing w:line="278" w:lineRule="auto" w:before="0"/>
        <w:ind w:left="894" w:right="0" w:hanging="341"/>
        <w:jc w:val="both"/>
        <w:rPr>
          <w:sz w:val="18"/>
        </w:rPr>
      </w:pPr>
      <w:r>
        <w:rPr>
          <w:b/>
          <w:sz w:val="18"/>
        </w:rPr>
        <w:t>Anheden, </w:t>
      </w:r>
      <w:r>
        <w:rPr>
          <w:sz w:val="18"/>
        </w:rPr>
        <w:t>M., A. Andersson, C. Bernstone, S. Eriksson, J. </w:t>
      </w:r>
      <w:r>
        <w:rPr>
          <w:spacing w:val="-5"/>
          <w:sz w:val="18"/>
        </w:rPr>
        <w:t>Yan, </w:t>
      </w:r>
      <w:r>
        <w:rPr>
          <w:sz w:val="18"/>
        </w:rPr>
        <w:t>S. Liljemark  and  C.  </w:t>
      </w:r>
      <w:r>
        <w:rPr>
          <w:spacing w:val="-3"/>
          <w:sz w:val="18"/>
        </w:rPr>
        <w:t>Wall,  </w:t>
      </w:r>
      <w:r>
        <w:rPr>
          <w:sz w:val="18"/>
        </w:rPr>
        <w:t>2005:  CO</w:t>
      </w:r>
      <w:r>
        <w:rPr>
          <w:position w:val="-5"/>
          <w:sz w:val="10"/>
        </w:rPr>
        <w:t>2    </w:t>
      </w:r>
      <w:r>
        <w:rPr>
          <w:sz w:val="18"/>
        </w:rPr>
        <w:t>quality  requirement  for</w:t>
      </w:r>
      <w:r>
        <w:rPr>
          <w:spacing w:val="39"/>
          <w:sz w:val="18"/>
        </w:rPr>
        <w:t> </w:t>
      </w:r>
      <w:r>
        <w:rPr>
          <w:sz w:val="18"/>
        </w:rPr>
        <w:t>a</w:t>
      </w:r>
    </w:p>
    <w:p>
      <w:pPr>
        <w:spacing w:line="177" w:lineRule="auto" w:before="0"/>
        <w:ind w:left="894" w:right="0" w:firstLine="0"/>
        <w:jc w:val="both"/>
        <w:rPr>
          <w:sz w:val="18"/>
        </w:rPr>
      </w:pPr>
      <w:r>
        <w:rPr>
          <w:sz w:val="18"/>
        </w:rPr>
        <w:t>system</w:t>
      </w:r>
      <w:r>
        <w:rPr>
          <w:spacing w:val="15"/>
          <w:sz w:val="18"/>
        </w:rPr>
        <w:t> </w:t>
      </w:r>
      <w:r>
        <w:rPr>
          <w:sz w:val="18"/>
        </w:rPr>
        <w:t>with</w:t>
      </w:r>
      <w:r>
        <w:rPr>
          <w:spacing w:val="15"/>
          <w:sz w:val="18"/>
        </w:rPr>
        <w:t> </w:t>
      </w:r>
      <w:r>
        <w:rPr>
          <w:sz w:val="18"/>
        </w:rPr>
        <w:t>CO</w:t>
      </w:r>
      <w:r>
        <w:rPr>
          <w:position w:val="-5"/>
          <w:sz w:val="10"/>
        </w:rPr>
        <w:t>2 </w:t>
      </w:r>
      <w:r>
        <w:rPr>
          <w:spacing w:val="10"/>
          <w:position w:val="-5"/>
          <w:sz w:val="10"/>
        </w:rPr>
        <w:t> </w:t>
      </w:r>
      <w:r>
        <w:rPr>
          <w:sz w:val="18"/>
        </w:rPr>
        <w:t>capture,</w:t>
      </w:r>
      <w:r>
        <w:rPr>
          <w:spacing w:val="15"/>
          <w:sz w:val="18"/>
        </w:rPr>
        <w:t> </w:t>
      </w:r>
      <w:r>
        <w:rPr>
          <w:sz w:val="18"/>
        </w:rPr>
        <w:t>transport</w:t>
      </w:r>
      <w:r>
        <w:rPr>
          <w:spacing w:val="15"/>
          <w:sz w:val="18"/>
        </w:rPr>
        <w:t> </w:t>
      </w:r>
      <w:r>
        <w:rPr>
          <w:sz w:val="18"/>
        </w:rPr>
        <w:t>and</w:t>
      </w:r>
      <w:r>
        <w:rPr>
          <w:spacing w:val="16"/>
          <w:sz w:val="18"/>
        </w:rPr>
        <w:t> </w:t>
      </w:r>
      <w:r>
        <w:rPr>
          <w:sz w:val="18"/>
        </w:rPr>
        <w:t>storage.</w:t>
      </w:r>
      <w:r>
        <w:rPr>
          <w:spacing w:val="15"/>
          <w:sz w:val="18"/>
        </w:rPr>
        <w:t> </w:t>
      </w:r>
      <w:r>
        <w:rPr>
          <w:sz w:val="18"/>
        </w:rPr>
        <w:t>Proceedings</w:t>
      </w:r>
      <w:r>
        <w:rPr>
          <w:spacing w:val="15"/>
          <w:sz w:val="18"/>
        </w:rPr>
        <w:t> </w:t>
      </w:r>
      <w:r>
        <w:rPr>
          <w:sz w:val="18"/>
        </w:rPr>
        <w:t>of</w:t>
      </w:r>
    </w:p>
    <w:p>
      <w:pPr>
        <w:spacing w:line="278" w:lineRule="auto" w:before="1"/>
        <w:ind w:left="894" w:right="0" w:firstLine="0"/>
        <w:jc w:val="both"/>
        <w:rPr>
          <w:sz w:val="18"/>
        </w:rPr>
      </w:pPr>
      <w:r>
        <w:rPr>
          <w:sz w:val="18"/>
        </w:rPr>
        <w:t>the 7</w:t>
      </w:r>
      <w:r>
        <w:rPr>
          <w:position w:val="6"/>
          <w:sz w:val="10"/>
        </w:rPr>
        <w:t>th </w:t>
      </w:r>
      <w:r>
        <w:rPr>
          <w:sz w:val="18"/>
        </w:rPr>
        <w:t>International Conference on Greenhouse Gas</w:t>
      </w:r>
      <w:r>
        <w:rPr>
          <w:spacing w:val="-32"/>
          <w:sz w:val="18"/>
        </w:rPr>
        <w:t> </w:t>
      </w:r>
      <w:r>
        <w:rPr>
          <w:sz w:val="18"/>
        </w:rPr>
        <w:t>Technologies (GHGT-7), September 5–9, 2004, </w:t>
      </w:r>
      <w:r>
        <w:rPr>
          <w:spacing w:val="-3"/>
          <w:sz w:val="18"/>
        </w:rPr>
        <w:t>Vancouver, </w:t>
      </w:r>
      <w:r>
        <w:rPr>
          <w:sz w:val="18"/>
        </w:rPr>
        <w:t>Canada, </w:t>
      </w:r>
      <w:r>
        <w:rPr>
          <w:spacing w:val="-3"/>
          <w:sz w:val="18"/>
        </w:rPr>
        <w:t>v.II, </w:t>
      </w:r>
      <w:r>
        <w:rPr>
          <w:sz w:val="18"/>
        </w:rPr>
        <w:t>2559-2566.</w:t>
      </w:r>
    </w:p>
    <w:p>
      <w:pPr>
        <w:spacing w:line="278" w:lineRule="auto" w:before="0"/>
        <w:ind w:left="894" w:right="0" w:hanging="341"/>
        <w:jc w:val="both"/>
        <w:rPr>
          <w:sz w:val="18"/>
        </w:rPr>
      </w:pPr>
      <w:r>
        <w:rPr>
          <w:b/>
          <w:sz w:val="18"/>
        </w:rPr>
        <w:t>Apps, </w:t>
      </w:r>
      <w:r>
        <w:rPr>
          <w:sz w:val="18"/>
        </w:rPr>
        <w:t>J., 2005: The Regulatory Climate Governing the Disposal of Liquid </w:t>
      </w:r>
      <w:r>
        <w:rPr>
          <w:spacing w:val="-3"/>
          <w:sz w:val="18"/>
        </w:rPr>
        <w:t>Wastes </w:t>
      </w:r>
      <w:r>
        <w:rPr>
          <w:sz w:val="18"/>
        </w:rPr>
        <w:t>in Deep Geologic Formations: a Paradigm for Regulations for the Subsurface Disposal of CO</w:t>
      </w:r>
      <w:r>
        <w:rPr>
          <w:position w:val="-5"/>
          <w:sz w:val="10"/>
        </w:rPr>
        <w:t>2</w:t>
      </w:r>
      <w:r>
        <w:rPr>
          <w:sz w:val="18"/>
        </w:rPr>
        <w:t>, Carbon</w:t>
      </w:r>
      <w:r>
        <w:rPr>
          <w:spacing w:val="-11"/>
          <w:sz w:val="18"/>
        </w:rPr>
        <w:t> </w:t>
      </w:r>
      <w:r>
        <w:rPr>
          <w:sz w:val="18"/>
        </w:rPr>
        <w:t>Dioxide</w:t>
      </w:r>
    </w:p>
    <w:p>
      <w:pPr>
        <w:spacing w:line="164" w:lineRule="exact" w:before="0"/>
        <w:ind w:left="894" w:right="0" w:firstLine="0"/>
        <w:jc w:val="both"/>
        <w:rPr>
          <w:sz w:val="18"/>
        </w:rPr>
      </w:pPr>
      <w:r>
        <w:rPr>
          <w:sz w:val="18"/>
        </w:rPr>
        <w:t>Capture for Storage in Deep Geologic Formations - Results</w:t>
      </w:r>
      <w:r>
        <w:rPr>
          <w:spacing w:val="2"/>
          <w:sz w:val="18"/>
        </w:rPr>
        <w:t> </w:t>
      </w:r>
      <w:r>
        <w:rPr>
          <w:sz w:val="18"/>
        </w:rPr>
        <w:t>from</w:t>
      </w:r>
    </w:p>
    <w:p>
      <w:pPr>
        <w:spacing w:line="240" w:lineRule="exact" w:before="9"/>
        <w:ind w:left="894" w:right="0" w:firstLine="0"/>
        <w:jc w:val="both"/>
        <w:rPr>
          <w:sz w:val="18"/>
        </w:rPr>
      </w:pPr>
      <w:r>
        <w:rPr>
          <w:sz w:val="18"/>
        </w:rPr>
        <w:t>the</w:t>
      </w:r>
      <w:r>
        <w:rPr>
          <w:spacing w:val="-13"/>
          <w:sz w:val="18"/>
        </w:rPr>
        <w:t> </w:t>
      </w:r>
      <w:r>
        <w:rPr>
          <w:sz w:val="18"/>
        </w:rPr>
        <w:t>CO</w:t>
      </w:r>
      <w:r>
        <w:rPr>
          <w:position w:val="-5"/>
          <w:sz w:val="10"/>
        </w:rPr>
        <w:t>2</w:t>
      </w:r>
      <w:r>
        <w:rPr>
          <w:spacing w:val="7"/>
          <w:position w:val="-5"/>
          <w:sz w:val="10"/>
        </w:rPr>
        <w:t> </w:t>
      </w:r>
      <w:r>
        <w:rPr>
          <w:sz w:val="18"/>
        </w:rPr>
        <w:t>Capture</w:t>
      </w:r>
      <w:r>
        <w:rPr>
          <w:spacing w:val="-12"/>
          <w:sz w:val="18"/>
        </w:rPr>
        <w:t> </w:t>
      </w:r>
      <w:r>
        <w:rPr>
          <w:sz w:val="18"/>
        </w:rPr>
        <w:t>Project,</w:t>
      </w:r>
      <w:r>
        <w:rPr>
          <w:spacing w:val="-13"/>
          <w:sz w:val="18"/>
        </w:rPr>
        <w:t> </w:t>
      </w:r>
      <w:r>
        <w:rPr>
          <w:spacing w:val="-3"/>
          <w:sz w:val="18"/>
        </w:rPr>
        <w:t>v.2:</w:t>
      </w:r>
      <w:r>
        <w:rPr>
          <w:spacing w:val="-12"/>
          <w:sz w:val="18"/>
        </w:rPr>
        <w:t> </w:t>
      </w:r>
      <w:r>
        <w:rPr>
          <w:sz w:val="18"/>
        </w:rPr>
        <w:t>Geologic</w:t>
      </w:r>
      <w:r>
        <w:rPr>
          <w:spacing w:val="-13"/>
          <w:sz w:val="18"/>
        </w:rPr>
        <w:t> </w:t>
      </w:r>
      <w:r>
        <w:rPr>
          <w:sz w:val="18"/>
        </w:rPr>
        <w:t>Storage</w:t>
      </w:r>
      <w:r>
        <w:rPr>
          <w:spacing w:val="-12"/>
          <w:sz w:val="18"/>
        </w:rPr>
        <w:t> </w:t>
      </w:r>
      <w:r>
        <w:rPr>
          <w:sz w:val="18"/>
        </w:rPr>
        <w:t>of</w:t>
      </w:r>
      <w:r>
        <w:rPr>
          <w:spacing w:val="-13"/>
          <w:sz w:val="18"/>
        </w:rPr>
        <w:t> </w:t>
      </w:r>
      <w:r>
        <w:rPr>
          <w:sz w:val="18"/>
        </w:rPr>
        <w:t>Carbon</w:t>
      </w:r>
      <w:r>
        <w:rPr>
          <w:spacing w:val="-12"/>
          <w:sz w:val="18"/>
        </w:rPr>
        <w:t> </w:t>
      </w:r>
      <w:r>
        <w:rPr>
          <w:sz w:val="18"/>
        </w:rPr>
        <w:t>Dioxide with Monitoring and Verification, S.M. Benson (ed.), </w:t>
      </w:r>
      <w:r>
        <w:rPr>
          <w:i/>
          <w:sz w:val="18"/>
        </w:rPr>
        <w:t>Elsevier </w:t>
      </w:r>
      <w:r>
        <w:rPr>
          <w:i/>
          <w:sz w:val="18"/>
        </w:rPr>
        <w:t>Science</w:t>
      </w:r>
      <w:r>
        <w:rPr>
          <w:sz w:val="18"/>
        </w:rPr>
        <w:t>, London, pp.</w:t>
      </w:r>
      <w:r>
        <w:rPr>
          <w:spacing w:val="-1"/>
          <w:sz w:val="18"/>
        </w:rPr>
        <w:t> </w:t>
      </w:r>
      <w:r>
        <w:rPr>
          <w:sz w:val="18"/>
        </w:rPr>
        <w:t>1163–1188.</w:t>
      </w:r>
    </w:p>
    <w:p>
      <w:pPr>
        <w:spacing w:line="230" w:lineRule="auto" w:before="29"/>
        <w:ind w:left="894" w:right="0" w:hanging="341"/>
        <w:jc w:val="both"/>
        <w:rPr>
          <w:sz w:val="18"/>
        </w:rPr>
      </w:pPr>
      <w:r>
        <w:rPr>
          <w:b/>
          <w:sz w:val="18"/>
        </w:rPr>
        <w:t>Arts, </w:t>
      </w:r>
      <w:r>
        <w:rPr>
          <w:sz w:val="18"/>
        </w:rPr>
        <w:t>R. and </w:t>
      </w:r>
      <w:r>
        <w:rPr>
          <w:spacing w:val="-10"/>
          <w:sz w:val="18"/>
        </w:rPr>
        <w:t>P. </w:t>
      </w:r>
      <w:r>
        <w:rPr>
          <w:sz w:val="18"/>
        </w:rPr>
        <w:t>Winthaegen, 2005: Monitor options for CO</w:t>
      </w:r>
      <w:r>
        <w:rPr>
          <w:position w:val="-5"/>
          <w:sz w:val="10"/>
        </w:rPr>
        <w:t>2 </w:t>
      </w:r>
      <w:r>
        <w:rPr>
          <w:sz w:val="18"/>
        </w:rPr>
        <w:t>storage, Carbon</w:t>
      </w:r>
      <w:r>
        <w:rPr>
          <w:spacing w:val="-17"/>
          <w:sz w:val="18"/>
        </w:rPr>
        <w:t> </w:t>
      </w:r>
      <w:r>
        <w:rPr>
          <w:sz w:val="18"/>
        </w:rPr>
        <w:t>Dioxide</w:t>
      </w:r>
      <w:r>
        <w:rPr>
          <w:spacing w:val="-16"/>
          <w:sz w:val="18"/>
        </w:rPr>
        <w:t> </w:t>
      </w:r>
      <w:r>
        <w:rPr>
          <w:sz w:val="18"/>
        </w:rPr>
        <w:t>Capture</w:t>
      </w:r>
      <w:r>
        <w:rPr>
          <w:spacing w:val="-17"/>
          <w:sz w:val="18"/>
        </w:rPr>
        <w:t> </w:t>
      </w:r>
      <w:r>
        <w:rPr>
          <w:sz w:val="18"/>
        </w:rPr>
        <w:t>for</w:t>
      </w:r>
      <w:r>
        <w:rPr>
          <w:spacing w:val="-16"/>
          <w:sz w:val="18"/>
        </w:rPr>
        <w:t> </w:t>
      </w:r>
      <w:r>
        <w:rPr>
          <w:sz w:val="18"/>
        </w:rPr>
        <w:t>Storage</w:t>
      </w:r>
      <w:r>
        <w:rPr>
          <w:spacing w:val="-17"/>
          <w:sz w:val="18"/>
        </w:rPr>
        <w:t> </w:t>
      </w:r>
      <w:r>
        <w:rPr>
          <w:sz w:val="18"/>
        </w:rPr>
        <w:t>in</w:t>
      </w:r>
      <w:r>
        <w:rPr>
          <w:spacing w:val="-15"/>
          <w:sz w:val="18"/>
        </w:rPr>
        <w:t> </w:t>
      </w:r>
      <w:r>
        <w:rPr>
          <w:sz w:val="18"/>
        </w:rPr>
        <w:t>Deep</w:t>
      </w:r>
      <w:r>
        <w:rPr>
          <w:spacing w:val="-17"/>
          <w:sz w:val="18"/>
        </w:rPr>
        <w:t> </w:t>
      </w:r>
      <w:r>
        <w:rPr>
          <w:sz w:val="18"/>
        </w:rPr>
        <w:t>Geologic</w:t>
      </w:r>
      <w:r>
        <w:rPr>
          <w:spacing w:val="-16"/>
          <w:sz w:val="18"/>
        </w:rPr>
        <w:t> </w:t>
      </w:r>
      <w:r>
        <w:rPr>
          <w:sz w:val="18"/>
        </w:rPr>
        <w:t>Formations</w:t>
      </w:r>
    </w:p>
    <w:p>
      <w:pPr>
        <w:spacing w:line="240" w:lineRule="exact" w:before="11"/>
        <w:ind w:left="894" w:right="1" w:firstLine="0"/>
        <w:jc w:val="both"/>
        <w:rPr>
          <w:sz w:val="18"/>
        </w:rPr>
      </w:pPr>
      <w:r>
        <w:rPr>
          <w:sz w:val="18"/>
        </w:rPr>
        <w:t>- Results from the CO</w:t>
      </w:r>
      <w:r>
        <w:rPr>
          <w:position w:val="-5"/>
          <w:sz w:val="10"/>
        </w:rPr>
        <w:t>2 </w:t>
      </w:r>
      <w:r>
        <w:rPr>
          <w:sz w:val="18"/>
        </w:rPr>
        <w:t>Capture Project, v.2: Geologic Storage of Carbon Dioxide with Monitoring and Verification, S.M. Benson (ed.), Elsevier Science, London. pp. 1001–1013.</w:t>
      </w:r>
    </w:p>
    <w:p>
      <w:pPr>
        <w:pStyle w:val="BodyText"/>
        <w:spacing w:before="9"/>
        <w:rPr>
          <w:sz w:val="21"/>
        </w:rPr>
      </w:pPr>
      <w:r>
        <w:rPr/>
        <w:br w:type="column"/>
      </w:r>
      <w:r>
        <w:rPr>
          <w:sz w:val="21"/>
        </w:rPr>
      </w:r>
    </w:p>
    <w:p>
      <w:pPr>
        <w:spacing w:line="240" w:lineRule="exact" w:before="0"/>
        <w:ind w:left="583" w:right="134" w:hanging="341"/>
        <w:jc w:val="both"/>
        <w:rPr>
          <w:sz w:val="18"/>
        </w:rPr>
      </w:pPr>
      <w:r>
        <w:rPr>
          <w:b/>
          <w:sz w:val="18"/>
        </w:rPr>
        <w:t>Arts, </w:t>
      </w:r>
      <w:r>
        <w:rPr>
          <w:sz w:val="18"/>
        </w:rPr>
        <w:t>R., A. Chadwick and O. Eiken, 2005: Recent time-lapse seismic data show no indication of leakage at the Sleipner CO</w:t>
      </w:r>
      <w:r>
        <w:rPr>
          <w:position w:val="-5"/>
          <w:sz w:val="10"/>
        </w:rPr>
        <w:t>2</w:t>
      </w:r>
      <w:r>
        <w:rPr>
          <w:sz w:val="18"/>
        </w:rPr>
        <w:t>- injection site. Proceedings of the 7</w:t>
      </w:r>
      <w:r>
        <w:rPr>
          <w:position w:val="6"/>
          <w:sz w:val="10"/>
        </w:rPr>
        <w:t>th </w:t>
      </w:r>
      <w:r>
        <w:rPr>
          <w:sz w:val="18"/>
        </w:rPr>
        <w:t>International Conference on Greenhouse Gas Technologies (GHGT-7), September 5–9, 2004, </w:t>
      </w:r>
      <w:r>
        <w:rPr>
          <w:spacing w:val="-3"/>
          <w:sz w:val="18"/>
        </w:rPr>
        <w:t>Vancouver, </w:t>
      </w:r>
      <w:r>
        <w:rPr>
          <w:sz w:val="18"/>
        </w:rPr>
        <w:t>Canada, </w:t>
      </w:r>
      <w:r>
        <w:rPr>
          <w:spacing w:val="-3"/>
          <w:sz w:val="18"/>
        </w:rPr>
        <w:t>v.I,</w:t>
      </w:r>
      <w:r>
        <w:rPr>
          <w:spacing w:val="3"/>
          <w:sz w:val="18"/>
        </w:rPr>
        <w:t> </w:t>
      </w:r>
      <w:r>
        <w:rPr>
          <w:sz w:val="18"/>
        </w:rPr>
        <w:t>653-662.</w:t>
      </w:r>
    </w:p>
    <w:p>
      <w:pPr>
        <w:spacing w:line="278" w:lineRule="auto" w:before="24"/>
        <w:ind w:left="583" w:right="134" w:hanging="341"/>
        <w:jc w:val="both"/>
        <w:rPr>
          <w:sz w:val="18"/>
        </w:rPr>
      </w:pPr>
      <w:r>
        <w:rPr>
          <w:b/>
          <w:sz w:val="18"/>
        </w:rPr>
        <w:t>Bachu,</w:t>
      </w:r>
      <w:r>
        <w:rPr>
          <w:b/>
          <w:spacing w:val="-7"/>
          <w:sz w:val="18"/>
        </w:rPr>
        <w:t> </w:t>
      </w:r>
      <w:r>
        <w:rPr>
          <w:sz w:val="18"/>
        </w:rPr>
        <w:t>S.,</w:t>
      </w:r>
      <w:r>
        <w:rPr>
          <w:spacing w:val="-6"/>
          <w:sz w:val="18"/>
        </w:rPr>
        <w:t> </w:t>
      </w:r>
      <w:r>
        <w:rPr>
          <w:sz w:val="18"/>
        </w:rPr>
        <w:t>2000:</w:t>
      </w:r>
      <w:r>
        <w:rPr>
          <w:spacing w:val="-7"/>
          <w:sz w:val="18"/>
        </w:rPr>
        <w:t> </w:t>
      </w:r>
      <w:r>
        <w:rPr>
          <w:sz w:val="18"/>
        </w:rPr>
        <w:t>Sequestration</w:t>
      </w:r>
      <w:r>
        <w:rPr>
          <w:spacing w:val="-6"/>
          <w:sz w:val="18"/>
        </w:rPr>
        <w:t> </w:t>
      </w:r>
      <w:r>
        <w:rPr>
          <w:sz w:val="18"/>
        </w:rPr>
        <w:t>of</w:t>
      </w:r>
      <w:r>
        <w:rPr>
          <w:spacing w:val="-6"/>
          <w:sz w:val="18"/>
        </w:rPr>
        <w:t> </w:t>
      </w:r>
      <w:r>
        <w:rPr>
          <w:sz w:val="18"/>
        </w:rPr>
        <w:t>carbon</w:t>
      </w:r>
      <w:r>
        <w:rPr>
          <w:spacing w:val="-6"/>
          <w:sz w:val="18"/>
        </w:rPr>
        <w:t> </w:t>
      </w:r>
      <w:r>
        <w:rPr>
          <w:sz w:val="18"/>
        </w:rPr>
        <w:t>dioxide</w:t>
      </w:r>
      <w:r>
        <w:rPr>
          <w:spacing w:val="-7"/>
          <w:sz w:val="18"/>
        </w:rPr>
        <w:t> </w:t>
      </w:r>
      <w:r>
        <w:rPr>
          <w:sz w:val="18"/>
        </w:rPr>
        <w:t>in</w:t>
      </w:r>
      <w:r>
        <w:rPr>
          <w:spacing w:val="-6"/>
          <w:sz w:val="18"/>
        </w:rPr>
        <w:t> </w:t>
      </w:r>
      <w:r>
        <w:rPr>
          <w:sz w:val="18"/>
        </w:rPr>
        <w:t>geological</w:t>
      </w:r>
      <w:r>
        <w:rPr>
          <w:spacing w:val="-7"/>
          <w:sz w:val="18"/>
        </w:rPr>
        <w:t> </w:t>
      </w:r>
      <w:r>
        <w:rPr>
          <w:sz w:val="18"/>
        </w:rPr>
        <w:t>media: Criteria</w:t>
      </w:r>
      <w:r>
        <w:rPr>
          <w:spacing w:val="-7"/>
          <w:sz w:val="18"/>
        </w:rPr>
        <w:t> </w:t>
      </w:r>
      <w:r>
        <w:rPr>
          <w:sz w:val="18"/>
        </w:rPr>
        <w:t>and</w:t>
      </w:r>
      <w:r>
        <w:rPr>
          <w:spacing w:val="-5"/>
          <w:sz w:val="18"/>
        </w:rPr>
        <w:t> </w:t>
      </w:r>
      <w:r>
        <w:rPr>
          <w:sz w:val="18"/>
        </w:rPr>
        <w:t>approach</w:t>
      </w:r>
      <w:r>
        <w:rPr>
          <w:spacing w:val="-5"/>
          <w:sz w:val="18"/>
        </w:rPr>
        <w:t> </w:t>
      </w:r>
      <w:r>
        <w:rPr>
          <w:sz w:val="18"/>
        </w:rPr>
        <w:t>for</w:t>
      </w:r>
      <w:r>
        <w:rPr>
          <w:spacing w:val="-6"/>
          <w:sz w:val="18"/>
        </w:rPr>
        <w:t> </w:t>
      </w:r>
      <w:r>
        <w:rPr>
          <w:sz w:val="18"/>
        </w:rPr>
        <w:t>site</w:t>
      </w:r>
      <w:r>
        <w:rPr>
          <w:spacing w:val="-7"/>
          <w:sz w:val="18"/>
        </w:rPr>
        <w:t> </w:t>
      </w:r>
      <w:r>
        <w:rPr>
          <w:sz w:val="18"/>
        </w:rPr>
        <w:t>selection.</w:t>
      </w:r>
      <w:r>
        <w:rPr>
          <w:spacing w:val="-5"/>
          <w:sz w:val="18"/>
        </w:rPr>
        <w:t> </w:t>
      </w:r>
      <w:r>
        <w:rPr>
          <w:i/>
          <w:sz w:val="18"/>
        </w:rPr>
        <w:t>Energy</w:t>
      </w:r>
      <w:r>
        <w:rPr>
          <w:i/>
          <w:spacing w:val="-6"/>
          <w:sz w:val="18"/>
        </w:rPr>
        <w:t> </w:t>
      </w:r>
      <w:r>
        <w:rPr>
          <w:i/>
          <w:sz w:val="18"/>
        </w:rPr>
        <w:t>Conservation</w:t>
      </w:r>
      <w:r>
        <w:rPr>
          <w:i/>
          <w:spacing w:val="-6"/>
          <w:sz w:val="18"/>
        </w:rPr>
        <w:t> </w:t>
      </w:r>
      <w:r>
        <w:rPr>
          <w:i/>
          <w:sz w:val="18"/>
        </w:rPr>
        <w:t>and </w:t>
      </w:r>
      <w:r>
        <w:rPr>
          <w:i/>
          <w:sz w:val="18"/>
        </w:rPr>
        <w:t>Management</w:t>
      </w:r>
      <w:r>
        <w:rPr>
          <w:sz w:val="18"/>
        </w:rPr>
        <w:t>, </w:t>
      </w:r>
      <w:r>
        <w:rPr>
          <w:b/>
          <w:sz w:val="18"/>
        </w:rPr>
        <w:t>41</w:t>
      </w:r>
      <w:r>
        <w:rPr>
          <w:sz w:val="18"/>
        </w:rPr>
        <w:t>(9), 953–970.</w:t>
      </w:r>
    </w:p>
    <w:p>
      <w:pPr>
        <w:spacing w:line="278" w:lineRule="auto" w:before="0"/>
        <w:ind w:left="583" w:right="135" w:hanging="341"/>
        <w:jc w:val="both"/>
        <w:rPr>
          <w:sz w:val="18"/>
        </w:rPr>
      </w:pPr>
      <w:r>
        <w:rPr>
          <w:b/>
          <w:sz w:val="18"/>
        </w:rPr>
        <w:t>Bachu, </w:t>
      </w:r>
      <w:r>
        <w:rPr>
          <w:sz w:val="18"/>
        </w:rPr>
        <w:t>S., 2003: Screening and ranking of sedimentary basins for sequestration</w:t>
      </w:r>
      <w:r>
        <w:rPr>
          <w:spacing w:val="-19"/>
          <w:sz w:val="18"/>
        </w:rPr>
        <w:t> </w:t>
      </w:r>
      <w:r>
        <w:rPr>
          <w:sz w:val="18"/>
        </w:rPr>
        <w:t>of</w:t>
      </w:r>
      <w:r>
        <w:rPr>
          <w:spacing w:val="-19"/>
          <w:sz w:val="18"/>
        </w:rPr>
        <w:t> </w:t>
      </w:r>
      <w:r>
        <w:rPr>
          <w:sz w:val="18"/>
        </w:rPr>
        <w:t>CO</w:t>
      </w:r>
      <w:r>
        <w:rPr>
          <w:position w:val="-5"/>
          <w:sz w:val="10"/>
        </w:rPr>
        <w:t>2</w:t>
      </w:r>
      <w:r>
        <w:rPr>
          <w:spacing w:val="1"/>
          <w:position w:val="-5"/>
          <w:sz w:val="10"/>
        </w:rPr>
        <w:t> </w:t>
      </w:r>
      <w:r>
        <w:rPr>
          <w:sz w:val="18"/>
        </w:rPr>
        <w:t>in</w:t>
      </w:r>
      <w:r>
        <w:rPr>
          <w:spacing w:val="-19"/>
          <w:sz w:val="18"/>
        </w:rPr>
        <w:t> </w:t>
      </w:r>
      <w:r>
        <w:rPr>
          <w:sz w:val="18"/>
        </w:rPr>
        <w:t>geological</w:t>
      </w:r>
      <w:r>
        <w:rPr>
          <w:spacing w:val="-19"/>
          <w:sz w:val="18"/>
        </w:rPr>
        <w:t> </w:t>
      </w:r>
      <w:r>
        <w:rPr>
          <w:sz w:val="18"/>
        </w:rPr>
        <w:t>media.</w:t>
      </w:r>
      <w:r>
        <w:rPr>
          <w:spacing w:val="-19"/>
          <w:sz w:val="18"/>
        </w:rPr>
        <w:t> </w:t>
      </w:r>
      <w:r>
        <w:rPr>
          <w:i/>
          <w:sz w:val="18"/>
        </w:rPr>
        <w:t>Environmental</w:t>
      </w:r>
      <w:r>
        <w:rPr>
          <w:i/>
          <w:spacing w:val="-19"/>
          <w:sz w:val="18"/>
        </w:rPr>
        <w:t> </w:t>
      </w:r>
      <w:r>
        <w:rPr>
          <w:i/>
          <w:sz w:val="18"/>
        </w:rPr>
        <w:t>Geology</w:t>
      </w:r>
      <w:r>
        <w:rPr>
          <w:sz w:val="18"/>
        </w:rPr>
        <w:t>,</w:t>
      </w:r>
    </w:p>
    <w:p>
      <w:pPr>
        <w:spacing w:line="164" w:lineRule="exact" w:before="0"/>
        <w:ind w:left="583" w:right="0" w:firstLine="0"/>
        <w:jc w:val="both"/>
        <w:rPr>
          <w:sz w:val="18"/>
        </w:rPr>
      </w:pPr>
      <w:r>
        <w:rPr>
          <w:b/>
          <w:sz w:val="18"/>
        </w:rPr>
        <w:t>44</w:t>
      </w:r>
      <w:r>
        <w:rPr>
          <w:sz w:val="18"/>
        </w:rPr>
        <w:t>(3), 277–289.</w:t>
      </w:r>
    </w:p>
    <w:p>
      <w:pPr>
        <w:spacing w:line="240" w:lineRule="exact" w:before="9"/>
        <w:ind w:left="583" w:right="134" w:hanging="341"/>
        <w:jc w:val="both"/>
        <w:rPr>
          <w:sz w:val="18"/>
        </w:rPr>
      </w:pPr>
      <w:r>
        <w:rPr>
          <w:b/>
          <w:sz w:val="18"/>
        </w:rPr>
        <w:t>Bachu</w:t>
      </w:r>
      <w:r>
        <w:rPr>
          <w:sz w:val="18"/>
        </w:rPr>
        <w:t>, S. and J.J. Adams, 2003: Sequestration of CO</w:t>
      </w:r>
      <w:r>
        <w:rPr>
          <w:position w:val="-5"/>
          <w:sz w:val="10"/>
        </w:rPr>
        <w:t>2 </w:t>
      </w:r>
      <w:r>
        <w:rPr>
          <w:sz w:val="18"/>
        </w:rPr>
        <w:t>in geological media in response to climate change: Capacity of deep saline aquifers to sequester CO</w:t>
      </w:r>
      <w:r>
        <w:rPr>
          <w:position w:val="-5"/>
          <w:sz w:val="10"/>
        </w:rPr>
        <w:t>2 </w:t>
      </w:r>
      <w:r>
        <w:rPr>
          <w:sz w:val="18"/>
        </w:rPr>
        <w:t>in solution. </w:t>
      </w:r>
      <w:r>
        <w:rPr>
          <w:i/>
          <w:sz w:val="18"/>
        </w:rPr>
        <w:t>Energy Conversion and </w:t>
      </w:r>
      <w:r>
        <w:rPr>
          <w:i/>
          <w:sz w:val="18"/>
        </w:rPr>
        <w:t>Management</w:t>
      </w:r>
      <w:r>
        <w:rPr>
          <w:sz w:val="18"/>
        </w:rPr>
        <w:t>, </w:t>
      </w:r>
      <w:r>
        <w:rPr>
          <w:b/>
          <w:sz w:val="18"/>
        </w:rPr>
        <w:t>44</w:t>
      </w:r>
      <w:r>
        <w:rPr>
          <w:sz w:val="18"/>
        </w:rPr>
        <w:t>(20), 3151–3175.</w:t>
      </w:r>
    </w:p>
    <w:p>
      <w:pPr>
        <w:spacing w:line="278" w:lineRule="auto" w:before="24"/>
        <w:ind w:left="583" w:right="134" w:hanging="341"/>
        <w:jc w:val="both"/>
        <w:rPr>
          <w:sz w:val="18"/>
        </w:rPr>
      </w:pPr>
      <w:r>
        <w:rPr>
          <w:b/>
          <w:sz w:val="18"/>
        </w:rPr>
        <w:t>Bachu, </w:t>
      </w:r>
      <w:r>
        <w:rPr>
          <w:sz w:val="18"/>
        </w:rPr>
        <w:t>S. and M. Dusseault, 2005: Underground injection of carbon dioxide in salt beds. Proceedings of the Second International Symposium on Deep Well Injection, C-F. Tsang and J. Apps (eds.), 22–24 October 2003, Berkeley, CA, In press.</w:t>
      </w:r>
    </w:p>
    <w:p>
      <w:pPr>
        <w:spacing w:line="278" w:lineRule="auto" w:before="0"/>
        <w:ind w:left="583" w:right="134" w:hanging="341"/>
        <w:jc w:val="both"/>
        <w:rPr>
          <w:sz w:val="18"/>
        </w:rPr>
      </w:pPr>
      <w:r>
        <w:rPr>
          <w:b/>
          <w:sz w:val="18"/>
        </w:rPr>
        <w:t>Bachu, </w:t>
      </w:r>
      <w:r>
        <w:rPr>
          <w:sz w:val="18"/>
        </w:rPr>
        <w:t>S. and K. Haug, 2005: In-situ characteristics of acid -gas injection operations in the Alberta basin, western Canada: Demonstration   of   CO</w:t>
      </w:r>
      <w:r>
        <w:rPr>
          <w:position w:val="-5"/>
          <w:sz w:val="10"/>
        </w:rPr>
        <w:t>2     </w:t>
      </w:r>
      <w:r>
        <w:rPr>
          <w:sz w:val="18"/>
        </w:rPr>
        <w:t>geological   storage,   Carbon</w:t>
      </w:r>
      <w:r>
        <w:rPr>
          <w:spacing w:val="20"/>
          <w:sz w:val="18"/>
        </w:rPr>
        <w:t> </w:t>
      </w:r>
      <w:r>
        <w:rPr>
          <w:sz w:val="18"/>
        </w:rPr>
        <w:t>Dioxide</w:t>
      </w:r>
    </w:p>
    <w:p>
      <w:pPr>
        <w:spacing w:line="164" w:lineRule="exact" w:before="0"/>
        <w:ind w:left="583" w:right="0" w:firstLine="0"/>
        <w:jc w:val="both"/>
        <w:rPr>
          <w:sz w:val="18"/>
        </w:rPr>
      </w:pPr>
      <w:r>
        <w:rPr>
          <w:sz w:val="18"/>
        </w:rPr>
        <w:t>Capture  for  Storage  in  Deep  Geologic  Formations  - </w:t>
      </w:r>
      <w:r>
        <w:rPr>
          <w:spacing w:val="31"/>
          <w:sz w:val="18"/>
        </w:rPr>
        <w:t> </w:t>
      </w:r>
      <w:r>
        <w:rPr>
          <w:sz w:val="18"/>
        </w:rPr>
        <w:t>Results</w:t>
      </w:r>
    </w:p>
    <w:p>
      <w:pPr>
        <w:spacing w:line="240" w:lineRule="exact" w:before="9"/>
        <w:ind w:left="583" w:right="135" w:firstLine="0"/>
        <w:jc w:val="both"/>
        <w:rPr>
          <w:sz w:val="18"/>
        </w:rPr>
      </w:pPr>
      <w:r>
        <w:rPr>
          <w:sz w:val="18"/>
        </w:rPr>
        <w:t>from the CO</w:t>
      </w:r>
      <w:r>
        <w:rPr>
          <w:position w:val="-5"/>
          <w:sz w:val="10"/>
        </w:rPr>
        <w:t>2 </w:t>
      </w:r>
      <w:r>
        <w:rPr>
          <w:sz w:val="18"/>
        </w:rPr>
        <w:t>Capture Project, v. 2: Geologic Storage of Carbon Dioxide with Monitoring and Verification, S.M. Benson (ed.), Elsevier, London, pp. 867–876.</w:t>
      </w:r>
    </w:p>
    <w:p>
      <w:pPr>
        <w:spacing w:line="240" w:lineRule="exact" w:before="0"/>
        <w:ind w:left="583" w:right="134" w:hanging="341"/>
        <w:jc w:val="both"/>
        <w:rPr>
          <w:sz w:val="18"/>
        </w:rPr>
      </w:pPr>
      <w:r>
        <w:rPr>
          <w:b/>
          <w:sz w:val="18"/>
        </w:rPr>
        <w:t>Bachu, </w:t>
      </w:r>
      <w:r>
        <w:rPr>
          <w:sz w:val="18"/>
        </w:rPr>
        <w:t>S. and J.C. Shaw, 2003: Evaluation of the CO</w:t>
      </w:r>
      <w:r>
        <w:rPr>
          <w:position w:val="-5"/>
          <w:sz w:val="10"/>
        </w:rPr>
        <w:t>2 </w:t>
      </w:r>
      <w:r>
        <w:rPr>
          <w:sz w:val="18"/>
        </w:rPr>
        <w:t>sequestration capacity in Alberta’s oil and gas reservoirs at depletion and the effect of underlying aquifers. </w:t>
      </w:r>
      <w:r>
        <w:rPr>
          <w:i/>
          <w:sz w:val="18"/>
        </w:rPr>
        <w:t>Journal of Canadian Petroleum </w:t>
      </w:r>
      <w:r>
        <w:rPr>
          <w:i/>
          <w:sz w:val="18"/>
        </w:rPr>
        <w:t>Technology</w:t>
      </w:r>
      <w:r>
        <w:rPr>
          <w:sz w:val="18"/>
        </w:rPr>
        <w:t>, </w:t>
      </w:r>
      <w:r>
        <w:rPr>
          <w:b/>
          <w:sz w:val="18"/>
        </w:rPr>
        <w:t>42</w:t>
      </w:r>
      <w:r>
        <w:rPr>
          <w:sz w:val="18"/>
        </w:rPr>
        <w:t>(9), 51–61.</w:t>
      </w:r>
    </w:p>
    <w:p>
      <w:pPr>
        <w:spacing w:line="240" w:lineRule="exact" w:before="0"/>
        <w:ind w:left="583" w:right="135" w:hanging="341"/>
        <w:jc w:val="both"/>
        <w:rPr>
          <w:sz w:val="18"/>
        </w:rPr>
      </w:pPr>
      <w:r>
        <w:rPr>
          <w:b/>
          <w:sz w:val="18"/>
        </w:rPr>
        <w:t>Bachu, </w:t>
      </w:r>
      <w:r>
        <w:rPr>
          <w:sz w:val="18"/>
        </w:rPr>
        <w:t>S. and J.C. </w:t>
      </w:r>
      <w:r>
        <w:rPr>
          <w:spacing w:val="-3"/>
          <w:sz w:val="18"/>
        </w:rPr>
        <w:t>Shaw, </w:t>
      </w:r>
      <w:r>
        <w:rPr>
          <w:sz w:val="18"/>
        </w:rPr>
        <w:t>2005: CO</w:t>
      </w:r>
      <w:r>
        <w:rPr>
          <w:position w:val="-5"/>
          <w:sz w:val="10"/>
        </w:rPr>
        <w:t>2 </w:t>
      </w:r>
      <w:r>
        <w:rPr>
          <w:sz w:val="18"/>
        </w:rPr>
        <w:t>storage in oil and gas reservoirs in western Canada: Effect of aquifers, potential for CO</w:t>
      </w:r>
      <w:r>
        <w:rPr>
          <w:position w:val="-5"/>
          <w:sz w:val="10"/>
        </w:rPr>
        <w:t>2</w:t>
      </w:r>
      <w:r>
        <w:rPr>
          <w:sz w:val="18"/>
        </w:rPr>
        <w:t>-flood enhanced oil recovery and practical capacity.  Proceedings  of the 7</w:t>
      </w:r>
      <w:r>
        <w:rPr>
          <w:position w:val="6"/>
          <w:sz w:val="10"/>
        </w:rPr>
        <w:t>th </w:t>
      </w:r>
      <w:r>
        <w:rPr>
          <w:sz w:val="18"/>
        </w:rPr>
        <w:t>International Conference on Greenhouse Gas Control Technologies (GHGT-7), September 5–9, 2004,</w:t>
      </w:r>
      <w:r>
        <w:rPr>
          <w:spacing w:val="25"/>
          <w:sz w:val="18"/>
        </w:rPr>
        <w:t> </w:t>
      </w:r>
      <w:r>
        <w:rPr>
          <w:spacing w:val="-3"/>
          <w:sz w:val="18"/>
        </w:rPr>
        <w:t>Vancouver,</w:t>
      </w:r>
    </w:p>
    <w:p>
      <w:pPr>
        <w:spacing w:before="24"/>
        <w:ind w:left="583" w:right="0" w:firstLine="0"/>
        <w:jc w:val="both"/>
        <w:rPr>
          <w:sz w:val="18"/>
        </w:rPr>
      </w:pPr>
      <w:r>
        <w:rPr>
          <w:sz w:val="18"/>
        </w:rPr>
        <w:t>Canada, v.I, 361-370.</w:t>
      </w:r>
    </w:p>
    <w:p>
      <w:pPr>
        <w:spacing w:line="240" w:lineRule="exact" w:before="9"/>
        <w:ind w:left="583" w:right="134" w:hanging="341"/>
        <w:jc w:val="both"/>
        <w:rPr>
          <w:sz w:val="18"/>
        </w:rPr>
      </w:pPr>
      <w:r>
        <w:rPr>
          <w:b/>
          <w:sz w:val="18"/>
        </w:rPr>
        <w:t>Bachu, </w:t>
      </w:r>
      <w:r>
        <w:rPr>
          <w:sz w:val="18"/>
        </w:rPr>
        <w:t>S., W.D. Gunter and E.H. Perkins, 1994: Aquifer disposal of CO</w:t>
      </w:r>
      <w:r>
        <w:rPr>
          <w:position w:val="-5"/>
          <w:sz w:val="10"/>
        </w:rPr>
        <w:t>2</w:t>
      </w:r>
      <w:r>
        <w:rPr>
          <w:sz w:val="18"/>
        </w:rPr>
        <w:t>: hydrodynamic and mineral trapping, </w:t>
      </w:r>
      <w:r>
        <w:rPr>
          <w:i/>
          <w:sz w:val="18"/>
        </w:rPr>
        <w:t>Energy Conversion </w:t>
      </w:r>
      <w:r>
        <w:rPr>
          <w:i/>
          <w:sz w:val="18"/>
        </w:rPr>
        <w:t>and Management</w:t>
      </w:r>
      <w:r>
        <w:rPr>
          <w:sz w:val="18"/>
        </w:rPr>
        <w:t>, </w:t>
      </w:r>
      <w:r>
        <w:rPr>
          <w:b/>
          <w:sz w:val="18"/>
        </w:rPr>
        <w:t>35</w:t>
      </w:r>
      <w:r>
        <w:rPr>
          <w:sz w:val="18"/>
        </w:rPr>
        <w:t>(4), 269–279.</w:t>
      </w:r>
    </w:p>
    <w:p>
      <w:pPr>
        <w:spacing w:line="240" w:lineRule="exact" w:before="0"/>
        <w:ind w:left="583" w:right="134" w:hanging="341"/>
        <w:jc w:val="both"/>
        <w:rPr>
          <w:sz w:val="18"/>
        </w:rPr>
      </w:pPr>
      <w:r>
        <w:rPr>
          <w:b/>
          <w:sz w:val="18"/>
        </w:rPr>
        <w:t>Bachu, </w:t>
      </w:r>
      <w:r>
        <w:rPr>
          <w:sz w:val="18"/>
        </w:rPr>
        <w:t>S., J.C. Shaw and R.M. Pearson, 2004: Estimation of oil recovery and CO</w:t>
      </w:r>
      <w:r>
        <w:rPr>
          <w:position w:val="-5"/>
          <w:sz w:val="10"/>
        </w:rPr>
        <w:t>2 </w:t>
      </w:r>
      <w:r>
        <w:rPr>
          <w:sz w:val="18"/>
        </w:rPr>
        <w:t>storage capacity in CO</w:t>
      </w:r>
      <w:r>
        <w:rPr>
          <w:position w:val="-5"/>
          <w:sz w:val="10"/>
        </w:rPr>
        <w:t>2 </w:t>
      </w:r>
      <w:r>
        <w:rPr>
          <w:sz w:val="18"/>
        </w:rPr>
        <w:t>EOR incorporating the effect of underlying aquifers. SPE Paper 89340, presented at the Fourteenth</w:t>
      </w:r>
      <w:r>
        <w:rPr>
          <w:spacing w:val="-12"/>
          <w:sz w:val="18"/>
        </w:rPr>
        <w:t> </w:t>
      </w:r>
      <w:r>
        <w:rPr>
          <w:sz w:val="18"/>
        </w:rPr>
        <w:t>SPE/DOE</w:t>
      </w:r>
      <w:r>
        <w:rPr>
          <w:spacing w:val="-12"/>
          <w:sz w:val="18"/>
        </w:rPr>
        <w:t> </w:t>
      </w:r>
      <w:r>
        <w:rPr>
          <w:sz w:val="18"/>
        </w:rPr>
        <w:t>Improved</w:t>
      </w:r>
      <w:r>
        <w:rPr>
          <w:spacing w:val="-12"/>
          <w:sz w:val="18"/>
        </w:rPr>
        <w:t> </w:t>
      </w:r>
      <w:r>
        <w:rPr>
          <w:sz w:val="18"/>
        </w:rPr>
        <w:t>Oil</w:t>
      </w:r>
      <w:r>
        <w:rPr>
          <w:spacing w:val="-12"/>
          <w:sz w:val="18"/>
        </w:rPr>
        <w:t> </w:t>
      </w:r>
      <w:r>
        <w:rPr>
          <w:sz w:val="18"/>
        </w:rPr>
        <w:t>Recovery</w:t>
      </w:r>
      <w:r>
        <w:rPr>
          <w:spacing w:val="-12"/>
          <w:sz w:val="18"/>
        </w:rPr>
        <w:t> </w:t>
      </w:r>
      <w:r>
        <w:rPr>
          <w:sz w:val="18"/>
        </w:rPr>
        <w:t>Symposium,</w:t>
      </w:r>
      <w:r>
        <w:rPr>
          <w:spacing w:val="-14"/>
          <w:sz w:val="18"/>
        </w:rPr>
        <w:t> </w:t>
      </w:r>
      <w:r>
        <w:rPr>
          <w:sz w:val="18"/>
        </w:rPr>
        <w:t>Tulsa, OK, April 17–21, 2004, 13</w:t>
      </w:r>
      <w:r>
        <w:rPr>
          <w:spacing w:val="-12"/>
          <w:sz w:val="18"/>
        </w:rPr>
        <w:t> </w:t>
      </w:r>
      <w:r>
        <w:rPr>
          <w:sz w:val="18"/>
        </w:rPr>
        <w:t>pp.</w:t>
      </w:r>
    </w:p>
    <w:p>
      <w:pPr>
        <w:spacing w:line="278" w:lineRule="auto" w:before="24"/>
        <w:ind w:left="583" w:right="135" w:hanging="341"/>
        <w:jc w:val="both"/>
        <w:rPr>
          <w:sz w:val="18"/>
        </w:rPr>
      </w:pPr>
      <w:r>
        <w:rPr>
          <w:b/>
          <w:sz w:val="18"/>
        </w:rPr>
        <w:t>Baes,</w:t>
      </w:r>
      <w:r>
        <w:rPr>
          <w:b/>
          <w:spacing w:val="-10"/>
          <w:sz w:val="18"/>
        </w:rPr>
        <w:t> </w:t>
      </w:r>
      <w:r>
        <w:rPr>
          <w:spacing w:val="-3"/>
          <w:sz w:val="18"/>
        </w:rPr>
        <w:t>C.F.,</w:t>
      </w:r>
      <w:r>
        <w:rPr>
          <w:spacing w:val="-10"/>
          <w:sz w:val="18"/>
        </w:rPr>
        <w:t> </w:t>
      </w:r>
      <w:r>
        <w:rPr>
          <w:sz w:val="18"/>
        </w:rPr>
        <w:t>S.E.</w:t>
      </w:r>
      <w:r>
        <w:rPr>
          <w:spacing w:val="-10"/>
          <w:sz w:val="18"/>
        </w:rPr>
        <w:t> </w:t>
      </w:r>
      <w:r>
        <w:rPr>
          <w:sz w:val="18"/>
        </w:rPr>
        <w:t>Beall,</w:t>
      </w:r>
      <w:r>
        <w:rPr>
          <w:spacing w:val="-10"/>
          <w:sz w:val="18"/>
        </w:rPr>
        <w:t> </w:t>
      </w:r>
      <w:r>
        <w:rPr>
          <w:spacing w:val="-5"/>
          <w:sz w:val="18"/>
        </w:rPr>
        <w:t>D.W.</w:t>
      </w:r>
      <w:r>
        <w:rPr>
          <w:spacing w:val="-10"/>
          <w:sz w:val="18"/>
        </w:rPr>
        <w:t> </w:t>
      </w:r>
      <w:r>
        <w:rPr>
          <w:sz w:val="18"/>
        </w:rPr>
        <w:t>Lee</w:t>
      </w:r>
      <w:r>
        <w:rPr>
          <w:spacing w:val="-10"/>
          <w:sz w:val="18"/>
        </w:rPr>
        <w:t> </w:t>
      </w:r>
      <w:r>
        <w:rPr>
          <w:sz w:val="18"/>
        </w:rPr>
        <w:t>and</w:t>
      </w:r>
      <w:r>
        <w:rPr>
          <w:spacing w:val="-10"/>
          <w:sz w:val="18"/>
        </w:rPr>
        <w:t> </w:t>
      </w:r>
      <w:r>
        <w:rPr>
          <w:sz w:val="18"/>
        </w:rPr>
        <w:t>G.</w:t>
      </w:r>
      <w:r>
        <w:rPr>
          <w:spacing w:val="-9"/>
          <w:sz w:val="18"/>
        </w:rPr>
        <w:t> </w:t>
      </w:r>
      <w:r>
        <w:rPr>
          <w:sz w:val="18"/>
        </w:rPr>
        <w:t>Marland,</w:t>
      </w:r>
      <w:r>
        <w:rPr>
          <w:spacing w:val="-10"/>
          <w:sz w:val="18"/>
        </w:rPr>
        <w:t> </w:t>
      </w:r>
      <w:r>
        <w:rPr>
          <w:sz w:val="18"/>
        </w:rPr>
        <w:t>1980:</w:t>
      </w:r>
      <w:r>
        <w:rPr>
          <w:spacing w:val="-14"/>
          <w:sz w:val="18"/>
        </w:rPr>
        <w:t> </w:t>
      </w:r>
      <w:r>
        <w:rPr>
          <w:sz w:val="18"/>
        </w:rPr>
        <w:t>The</w:t>
      </w:r>
      <w:r>
        <w:rPr>
          <w:spacing w:val="-10"/>
          <w:sz w:val="18"/>
        </w:rPr>
        <w:t> </w:t>
      </w:r>
      <w:r>
        <w:rPr>
          <w:sz w:val="18"/>
        </w:rPr>
        <w:t>collection, disposal and storage of carbon dioxide. In: Interaction of Energy and</w:t>
      </w:r>
      <w:r>
        <w:rPr>
          <w:spacing w:val="-9"/>
          <w:sz w:val="18"/>
        </w:rPr>
        <w:t> </w:t>
      </w:r>
      <w:r>
        <w:rPr>
          <w:sz w:val="18"/>
        </w:rPr>
        <w:t>Climate,</w:t>
      </w:r>
      <w:r>
        <w:rPr>
          <w:spacing w:val="-11"/>
          <w:sz w:val="18"/>
        </w:rPr>
        <w:t> </w:t>
      </w:r>
      <w:r>
        <w:rPr>
          <w:spacing w:val="-9"/>
          <w:sz w:val="18"/>
        </w:rPr>
        <w:t>W. </w:t>
      </w:r>
      <w:r>
        <w:rPr>
          <w:sz w:val="18"/>
        </w:rPr>
        <w:t>Bach,</w:t>
      </w:r>
      <w:r>
        <w:rPr>
          <w:spacing w:val="-9"/>
          <w:sz w:val="18"/>
        </w:rPr>
        <w:t> </w:t>
      </w:r>
      <w:r>
        <w:rPr>
          <w:sz w:val="18"/>
        </w:rPr>
        <w:t>J.</w:t>
      </w:r>
      <w:r>
        <w:rPr>
          <w:spacing w:val="-8"/>
          <w:sz w:val="18"/>
        </w:rPr>
        <w:t> </w:t>
      </w:r>
      <w:r>
        <w:rPr>
          <w:sz w:val="18"/>
        </w:rPr>
        <w:t>Pankrath</w:t>
      </w:r>
      <w:r>
        <w:rPr>
          <w:spacing w:val="-9"/>
          <w:sz w:val="18"/>
        </w:rPr>
        <w:t> </w:t>
      </w:r>
      <w:r>
        <w:rPr>
          <w:sz w:val="18"/>
        </w:rPr>
        <w:t>and</w:t>
      </w:r>
      <w:r>
        <w:rPr>
          <w:spacing w:val="-8"/>
          <w:sz w:val="18"/>
        </w:rPr>
        <w:t> </w:t>
      </w:r>
      <w:r>
        <w:rPr>
          <w:sz w:val="18"/>
        </w:rPr>
        <w:t>J.</w:t>
      </w:r>
      <w:r>
        <w:rPr>
          <w:spacing w:val="-12"/>
          <w:sz w:val="18"/>
        </w:rPr>
        <w:t> </w:t>
      </w:r>
      <w:r>
        <w:rPr>
          <w:sz w:val="18"/>
        </w:rPr>
        <w:t>William</w:t>
      </w:r>
      <w:r>
        <w:rPr>
          <w:spacing w:val="-8"/>
          <w:sz w:val="18"/>
        </w:rPr>
        <w:t> </w:t>
      </w:r>
      <w:r>
        <w:rPr>
          <w:sz w:val="18"/>
        </w:rPr>
        <w:t>(eds.),</w:t>
      </w:r>
      <w:r>
        <w:rPr>
          <w:spacing w:val="-9"/>
          <w:sz w:val="18"/>
        </w:rPr>
        <w:t> </w:t>
      </w:r>
      <w:r>
        <w:rPr>
          <w:sz w:val="18"/>
        </w:rPr>
        <w:t>495–519,</w:t>
      </w:r>
    </w:p>
    <w:p>
      <w:pPr>
        <w:spacing w:line="207" w:lineRule="exact" w:before="0"/>
        <w:ind w:left="583" w:right="0" w:firstLine="0"/>
        <w:jc w:val="both"/>
        <w:rPr>
          <w:sz w:val="18"/>
        </w:rPr>
      </w:pPr>
      <w:r>
        <w:rPr>
          <w:sz w:val="18"/>
        </w:rPr>
        <w:t>D. Reidel Publishing Co.</w:t>
      </w:r>
    </w:p>
    <w:p>
      <w:pPr>
        <w:spacing w:line="240" w:lineRule="exact" w:before="9"/>
        <w:ind w:left="583" w:right="134" w:hanging="341"/>
        <w:jc w:val="both"/>
        <w:rPr>
          <w:sz w:val="18"/>
        </w:rPr>
      </w:pPr>
      <w:r>
        <w:rPr>
          <w:b/>
          <w:sz w:val="18"/>
        </w:rPr>
        <w:t>Baines, </w:t>
      </w:r>
      <w:r>
        <w:rPr>
          <w:sz w:val="18"/>
        </w:rPr>
        <w:t>S.J. and R.H. </w:t>
      </w:r>
      <w:r>
        <w:rPr>
          <w:spacing w:val="-3"/>
          <w:sz w:val="18"/>
        </w:rPr>
        <w:t>Worden, </w:t>
      </w:r>
      <w:r>
        <w:rPr>
          <w:sz w:val="18"/>
        </w:rPr>
        <w:t>2001: Geological CO</w:t>
      </w:r>
      <w:r>
        <w:rPr>
          <w:position w:val="-5"/>
          <w:sz w:val="10"/>
        </w:rPr>
        <w:t>2 </w:t>
      </w:r>
      <w:r>
        <w:rPr>
          <w:sz w:val="18"/>
        </w:rPr>
        <w:t>disposal: Understanding the long-term fate of CO</w:t>
      </w:r>
      <w:r>
        <w:rPr>
          <w:position w:val="-5"/>
          <w:sz w:val="10"/>
        </w:rPr>
        <w:t>2 </w:t>
      </w:r>
      <w:r>
        <w:rPr>
          <w:sz w:val="18"/>
        </w:rPr>
        <w:t>in naturally occurring accumulations. Proceedings of the 5</w:t>
      </w:r>
      <w:r>
        <w:rPr>
          <w:position w:val="6"/>
          <w:sz w:val="10"/>
        </w:rPr>
        <w:t>th </w:t>
      </w:r>
      <w:r>
        <w:rPr>
          <w:sz w:val="18"/>
        </w:rPr>
        <w:t>International Conference on Greenhouse Gas Control Technologies (GHGT-5), D.J. Williams,</w:t>
      </w:r>
      <w:r>
        <w:rPr>
          <w:spacing w:val="-5"/>
          <w:sz w:val="18"/>
        </w:rPr>
        <w:t> </w:t>
      </w:r>
      <w:r>
        <w:rPr>
          <w:sz w:val="18"/>
        </w:rPr>
        <w:t>R.A.</w:t>
      </w:r>
      <w:r>
        <w:rPr>
          <w:spacing w:val="-4"/>
          <w:sz w:val="18"/>
        </w:rPr>
        <w:t> </w:t>
      </w:r>
      <w:r>
        <w:rPr>
          <w:sz w:val="18"/>
        </w:rPr>
        <w:t>Durie,</w:t>
      </w:r>
      <w:r>
        <w:rPr>
          <w:spacing w:val="-5"/>
          <w:sz w:val="18"/>
        </w:rPr>
        <w:t> </w:t>
      </w:r>
      <w:r>
        <w:rPr>
          <w:spacing w:val="-10"/>
          <w:sz w:val="18"/>
        </w:rPr>
        <w:t>P.</w:t>
      </w:r>
      <w:r>
        <w:rPr>
          <w:spacing w:val="-4"/>
          <w:sz w:val="18"/>
        </w:rPr>
        <w:t> </w:t>
      </w:r>
      <w:r>
        <w:rPr>
          <w:sz w:val="18"/>
        </w:rPr>
        <w:t>McMullan,</w:t>
      </w:r>
      <w:r>
        <w:rPr>
          <w:spacing w:val="-5"/>
          <w:sz w:val="18"/>
        </w:rPr>
        <w:t> </w:t>
      </w:r>
      <w:r>
        <w:rPr>
          <w:sz w:val="18"/>
        </w:rPr>
        <w:t>C.A.J.</w:t>
      </w:r>
      <w:r>
        <w:rPr>
          <w:spacing w:val="-4"/>
          <w:sz w:val="18"/>
        </w:rPr>
        <w:t> </w:t>
      </w:r>
      <w:r>
        <w:rPr>
          <w:sz w:val="18"/>
        </w:rPr>
        <w:t>Paulson</w:t>
      </w:r>
      <w:r>
        <w:rPr>
          <w:spacing w:val="-5"/>
          <w:sz w:val="18"/>
        </w:rPr>
        <w:t> </w:t>
      </w:r>
      <w:r>
        <w:rPr>
          <w:sz w:val="18"/>
        </w:rPr>
        <w:t>and</w:t>
      </w:r>
      <w:r>
        <w:rPr>
          <w:spacing w:val="-13"/>
          <w:sz w:val="18"/>
        </w:rPr>
        <w:t> </w:t>
      </w:r>
      <w:r>
        <w:rPr>
          <w:sz w:val="18"/>
        </w:rPr>
        <w:t>A.</w:t>
      </w:r>
      <w:r>
        <w:rPr>
          <w:spacing w:val="-5"/>
          <w:sz w:val="18"/>
        </w:rPr>
        <w:t> </w:t>
      </w:r>
      <w:r>
        <w:rPr>
          <w:sz w:val="18"/>
        </w:rPr>
        <w:t>Smith (eds.), 13–16 August 2000, Cairns, Australia, CSIRO</w:t>
      </w:r>
      <w:r>
        <w:rPr>
          <w:spacing w:val="-29"/>
          <w:sz w:val="18"/>
        </w:rPr>
        <w:t> </w:t>
      </w:r>
      <w:r>
        <w:rPr>
          <w:sz w:val="18"/>
        </w:rPr>
        <w:t>Publishing, Collingwood, Victoria, Australia, pp.</w:t>
      </w:r>
      <w:r>
        <w:rPr>
          <w:spacing w:val="-19"/>
          <w:sz w:val="18"/>
        </w:rPr>
        <w:t> </w:t>
      </w:r>
      <w:r>
        <w:rPr>
          <w:sz w:val="18"/>
        </w:rPr>
        <w:t>311–316.</w:t>
      </w:r>
    </w:p>
    <w:p>
      <w:pPr>
        <w:spacing w:after="0" w:line="240" w:lineRule="exact"/>
        <w:jc w:val="both"/>
        <w:rPr>
          <w:sz w:val="18"/>
        </w:rPr>
        <w:sectPr>
          <w:type w:val="continuous"/>
          <w:pgSz w:w="12240" w:h="15840"/>
          <w:pgMar w:top="400" w:bottom="280" w:left="580" w:right="600"/>
          <w:cols w:num="2" w:equalWidth="0">
            <w:col w:w="5598" w:space="40"/>
            <w:col w:w="5422"/>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40" w:lineRule="exact" w:before="43"/>
        <w:ind w:left="497" w:right="39" w:hanging="341"/>
        <w:jc w:val="both"/>
        <w:rPr>
          <w:sz w:val="18"/>
        </w:rPr>
      </w:pPr>
      <w:r>
        <w:rPr>
          <w:b/>
          <w:sz w:val="18"/>
        </w:rPr>
        <w:t>Beecy, </w:t>
      </w:r>
      <w:r>
        <w:rPr>
          <w:sz w:val="18"/>
        </w:rPr>
        <w:t>D. and V.A. Kuuskra, 2005: Basin strategies for linking CO</w:t>
      </w:r>
      <w:r>
        <w:rPr>
          <w:position w:val="-5"/>
          <w:sz w:val="10"/>
        </w:rPr>
        <w:t>2 </w:t>
      </w:r>
      <w:r>
        <w:rPr>
          <w:sz w:val="18"/>
        </w:rPr>
        <w:t>enhanced oil recovery and storage of CO</w:t>
      </w:r>
      <w:r>
        <w:rPr>
          <w:position w:val="-5"/>
          <w:sz w:val="10"/>
        </w:rPr>
        <w:t>2 </w:t>
      </w:r>
      <w:r>
        <w:rPr>
          <w:sz w:val="18"/>
        </w:rPr>
        <w:t>emissions. Proceedings of the 7</w:t>
      </w:r>
      <w:r>
        <w:rPr>
          <w:position w:val="6"/>
          <w:sz w:val="10"/>
        </w:rPr>
        <w:t>th </w:t>
      </w:r>
      <w:r>
        <w:rPr>
          <w:sz w:val="18"/>
        </w:rPr>
        <w:t>International Conference on Greenhouse Gas Control Technologies (GHGT-7), September 5–9, 2004, Vancouver,</w:t>
      </w:r>
    </w:p>
    <w:p>
      <w:pPr>
        <w:spacing w:before="24"/>
        <w:ind w:left="497" w:right="0" w:firstLine="0"/>
        <w:jc w:val="both"/>
        <w:rPr>
          <w:sz w:val="18"/>
        </w:rPr>
      </w:pPr>
      <w:r>
        <w:rPr>
          <w:sz w:val="18"/>
        </w:rPr>
        <w:t>Canada, v.I, 351-360.</w:t>
      </w:r>
    </w:p>
    <w:p>
      <w:pPr>
        <w:spacing w:line="240" w:lineRule="exact" w:before="9"/>
        <w:ind w:left="497" w:right="38" w:hanging="341"/>
        <w:jc w:val="both"/>
        <w:rPr>
          <w:sz w:val="18"/>
        </w:rPr>
      </w:pPr>
      <w:r>
        <w:rPr>
          <w:b/>
          <w:sz w:val="18"/>
        </w:rPr>
        <w:t>Benson, </w:t>
      </w:r>
      <w:r>
        <w:rPr>
          <w:sz w:val="18"/>
        </w:rPr>
        <w:t>S.M., 2005: Lessons learned from industrial and natural analogs for health, safety and environmental risk assessment for geologic storage of carbon dioxide. Carbon Dioxide Capture for Storage in Deep Geologic Formations - Results from the CO</w:t>
      </w:r>
      <w:r>
        <w:rPr>
          <w:position w:val="-5"/>
          <w:sz w:val="10"/>
        </w:rPr>
        <w:t>2 </w:t>
      </w:r>
      <w:r>
        <w:rPr>
          <w:sz w:val="18"/>
        </w:rPr>
        <w:t>Capture Project, </w:t>
      </w:r>
      <w:r>
        <w:rPr>
          <w:spacing w:val="-6"/>
          <w:sz w:val="18"/>
        </w:rPr>
        <w:t>v. </w:t>
      </w:r>
      <w:r>
        <w:rPr>
          <w:sz w:val="18"/>
        </w:rPr>
        <w:t>2: Geologic Storage of Carbon Dioxide with Monitoring</w:t>
      </w:r>
      <w:r>
        <w:rPr>
          <w:spacing w:val="-19"/>
          <w:sz w:val="18"/>
        </w:rPr>
        <w:t> </w:t>
      </w:r>
      <w:r>
        <w:rPr>
          <w:sz w:val="18"/>
        </w:rPr>
        <w:t>and</w:t>
      </w:r>
      <w:r>
        <w:rPr>
          <w:spacing w:val="-20"/>
          <w:sz w:val="18"/>
        </w:rPr>
        <w:t> </w:t>
      </w:r>
      <w:r>
        <w:rPr>
          <w:sz w:val="18"/>
        </w:rPr>
        <w:t>Verification,</w:t>
      </w:r>
      <w:r>
        <w:rPr>
          <w:spacing w:val="-18"/>
          <w:sz w:val="18"/>
        </w:rPr>
        <w:t> </w:t>
      </w:r>
      <w:r>
        <w:rPr>
          <w:sz w:val="18"/>
        </w:rPr>
        <w:t>S.M.</w:t>
      </w:r>
      <w:r>
        <w:rPr>
          <w:spacing w:val="-18"/>
          <w:sz w:val="18"/>
        </w:rPr>
        <w:t> </w:t>
      </w:r>
      <w:r>
        <w:rPr>
          <w:sz w:val="18"/>
        </w:rPr>
        <w:t>Benson</w:t>
      </w:r>
      <w:r>
        <w:rPr>
          <w:spacing w:val="-18"/>
          <w:sz w:val="18"/>
        </w:rPr>
        <w:t> </w:t>
      </w:r>
      <w:r>
        <w:rPr>
          <w:sz w:val="18"/>
        </w:rPr>
        <w:t>(ed.),</w:t>
      </w:r>
      <w:r>
        <w:rPr>
          <w:spacing w:val="-18"/>
          <w:sz w:val="18"/>
        </w:rPr>
        <w:t> </w:t>
      </w:r>
      <w:r>
        <w:rPr>
          <w:sz w:val="18"/>
        </w:rPr>
        <w:t>Elsevier,</w:t>
      </w:r>
      <w:r>
        <w:rPr>
          <w:spacing w:val="-18"/>
          <w:sz w:val="18"/>
        </w:rPr>
        <w:t> </w:t>
      </w:r>
      <w:r>
        <w:rPr>
          <w:sz w:val="18"/>
        </w:rPr>
        <w:t>London, pp.</w:t>
      </w:r>
      <w:r>
        <w:rPr>
          <w:spacing w:val="-1"/>
          <w:sz w:val="18"/>
        </w:rPr>
        <w:t> </w:t>
      </w:r>
      <w:r>
        <w:rPr>
          <w:sz w:val="18"/>
        </w:rPr>
        <w:t>1133–1141.</w:t>
      </w:r>
    </w:p>
    <w:p>
      <w:pPr>
        <w:spacing w:line="240" w:lineRule="exact" w:before="0"/>
        <w:ind w:left="497" w:right="39" w:hanging="341"/>
        <w:jc w:val="both"/>
        <w:rPr>
          <w:sz w:val="18"/>
        </w:rPr>
      </w:pPr>
      <w:r>
        <w:rPr>
          <w:b/>
          <w:sz w:val="18"/>
        </w:rPr>
        <w:t>Benson,</w:t>
      </w:r>
      <w:r>
        <w:rPr>
          <w:b/>
          <w:spacing w:val="-9"/>
          <w:sz w:val="18"/>
        </w:rPr>
        <w:t> </w:t>
      </w:r>
      <w:r>
        <w:rPr>
          <w:sz w:val="18"/>
        </w:rPr>
        <w:t>S.M.</w:t>
      </w:r>
      <w:r>
        <w:rPr>
          <w:spacing w:val="-9"/>
          <w:sz w:val="18"/>
        </w:rPr>
        <w:t> </w:t>
      </w:r>
      <w:r>
        <w:rPr>
          <w:sz w:val="18"/>
        </w:rPr>
        <w:t>and</w:t>
      </w:r>
      <w:r>
        <w:rPr>
          <w:spacing w:val="-8"/>
          <w:sz w:val="18"/>
        </w:rPr>
        <w:t> </w:t>
      </w:r>
      <w:r>
        <w:rPr>
          <w:spacing w:val="-5"/>
          <w:sz w:val="18"/>
        </w:rPr>
        <w:t>R.P.</w:t>
      </w:r>
      <w:r>
        <w:rPr>
          <w:spacing w:val="-9"/>
          <w:sz w:val="18"/>
        </w:rPr>
        <w:t> </w:t>
      </w:r>
      <w:r>
        <w:rPr>
          <w:sz w:val="18"/>
        </w:rPr>
        <w:t>Hepple,</w:t>
      </w:r>
      <w:r>
        <w:rPr>
          <w:spacing w:val="-8"/>
          <w:sz w:val="18"/>
        </w:rPr>
        <w:t> </w:t>
      </w:r>
      <w:r>
        <w:rPr>
          <w:sz w:val="18"/>
        </w:rPr>
        <w:t>2005:</w:t>
      </w:r>
      <w:r>
        <w:rPr>
          <w:spacing w:val="-9"/>
          <w:sz w:val="18"/>
        </w:rPr>
        <w:t> </w:t>
      </w:r>
      <w:r>
        <w:rPr>
          <w:sz w:val="18"/>
        </w:rPr>
        <w:t>Prospects</w:t>
      </w:r>
      <w:r>
        <w:rPr>
          <w:spacing w:val="-9"/>
          <w:sz w:val="18"/>
        </w:rPr>
        <w:t> </w:t>
      </w:r>
      <w:r>
        <w:rPr>
          <w:sz w:val="18"/>
        </w:rPr>
        <w:t>for</w:t>
      </w:r>
      <w:r>
        <w:rPr>
          <w:spacing w:val="-8"/>
          <w:sz w:val="18"/>
        </w:rPr>
        <w:t> </w:t>
      </w:r>
      <w:r>
        <w:rPr>
          <w:sz w:val="18"/>
        </w:rPr>
        <w:t>early</w:t>
      </w:r>
      <w:r>
        <w:rPr>
          <w:spacing w:val="-9"/>
          <w:sz w:val="18"/>
        </w:rPr>
        <w:t> </w:t>
      </w:r>
      <w:r>
        <w:rPr>
          <w:sz w:val="18"/>
        </w:rPr>
        <w:t>detection</w:t>
      </w:r>
      <w:r>
        <w:rPr>
          <w:spacing w:val="-8"/>
          <w:sz w:val="18"/>
        </w:rPr>
        <w:t> </w:t>
      </w:r>
      <w:r>
        <w:rPr>
          <w:sz w:val="18"/>
        </w:rPr>
        <w:t>and options for remediation of leakage from CO</w:t>
      </w:r>
      <w:r>
        <w:rPr>
          <w:position w:val="-5"/>
          <w:sz w:val="10"/>
        </w:rPr>
        <w:t>2</w:t>
      </w:r>
      <w:r>
        <w:rPr>
          <w:sz w:val="18"/>
        </w:rPr>
        <w:t>, storage projects, Carbon</w:t>
      </w:r>
      <w:r>
        <w:rPr>
          <w:spacing w:val="-17"/>
          <w:sz w:val="18"/>
        </w:rPr>
        <w:t> </w:t>
      </w:r>
      <w:r>
        <w:rPr>
          <w:sz w:val="18"/>
        </w:rPr>
        <w:t>Dioxide</w:t>
      </w:r>
      <w:r>
        <w:rPr>
          <w:spacing w:val="-16"/>
          <w:sz w:val="18"/>
        </w:rPr>
        <w:t> </w:t>
      </w:r>
      <w:r>
        <w:rPr>
          <w:sz w:val="18"/>
        </w:rPr>
        <w:t>Capture</w:t>
      </w:r>
      <w:r>
        <w:rPr>
          <w:spacing w:val="-17"/>
          <w:sz w:val="18"/>
        </w:rPr>
        <w:t> </w:t>
      </w:r>
      <w:r>
        <w:rPr>
          <w:sz w:val="18"/>
        </w:rPr>
        <w:t>for</w:t>
      </w:r>
      <w:r>
        <w:rPr>
          <w:spacing w:val="-16"/>
          <w:sz w:val="18"/>
        </w:rPr>
        <w:t> </w:t>
      </w:r>
      <w:r>
        <w:rPr>
          <w:sz w:val="18"/>
        </w:rPr>
        <w:t>Storage</w:t>
      </w:r>
      <w:r>
        <w:rPr>
          <w:spacing w:val="-17"/>
          <w:sz w:val="18"/>
        </w:rPr>
        <w:t> </w:t>
      </w:r>
      <w:r>
        <w:rPr>
          <w:sz w:val="18"/>
        </w:rPr>
        <w:t>in</w:t>
      </w:r>
      <w:r>
        <w:rPr>
          <w:spacing w:val="-15"/>
          <w:sz w:val="18"/>
        </w:rPr>
        <w:t> </w:t>
      </w:r>
      <w:r>
        <w:rPr>
          <w:sz w:val="18"/>
        </w:rPr>
        <w:t>Deep</w:t>
      </w:r>
      <w:r>
        <w:rPr>
          <w:spacing w:val="-17"/>
          <w:sz w:val="18"/>
        </w:rPr>
        <w:t> </w:t>
      </w:r>
      <w:r>
        <w:rPr>
          <w:sz w:val="18"/>
        </w:rPr>
        <w:t>Geologic</w:t>
      </w:r>
      <w:r>
        <w:rPr>
          <w:spacing w:val="-16"/>
          <w:sz w:val="18"/>
        </w:rPr>
        <w:t> </w:t>
      </w:r>
      <w:r>
        <w:rPr>
          <w:sz w:val="18"/>
        </w:rPr>
        <w:t>Formations</w:t>
      </w:r>
    </w:p>
    <w:p>
      <w:pPr>
        <w:spacing w:line="240" w:lineRule="exact" w:before="0"/>
        <w:ind w:left="497" w:right="40" w:firstLine="0"/>
        <w:jc w:val="both"/>
        <w:rPr>
          <w:sz w:val="18"/>
        </w:rPr>
      </w:pPr>
      <w:r>
        <w:rPr>
          <w:sz w:val="18"/>
        </w:rPr>
        <w:t>- Results from the CO</w:t>
      </w:r>
      <w:r>
        <w:rPr>
          <w:position w:val="-5"/>
          <w:sz w:val="10"/>
        </w:rPr>
        <w:t>2 </w:t>
      </w:r>
      <w:r>
        <w:rPr>
          <w:sz w:val="18"/>
        </w:rPr>
        <w:t>Capture Project, v. 2: Geologic Storage of Carbon Dioxide with Monitoring and Verification, S.M. Benson (ed.), Elsevier, London, pp. 1189–1204.</w:t>
      </w:r>
    </w:p>
    <w:p>
      <w:pPr>
        <w:spacing w:line="278" w:lineRule="auto" w:before="24"/>
        <w:ind w:left="497" w:right="38" w:hanging="341"/>
        <w:jc w:val="both"/>
        <w:rPr>
          <w:sz w:val="18"/>
        </w:rPr>
      </w:pPr>
      <w:r>
        <w:rPr>
          <w:b/>
          <w:sz w:val="18"/>
        </w:rPr>
        <w:t>Benson, </w:t>
      </w:r>
      <w:r>
        <w:rPr>
          <w:sz w:val="18"/>
        </w:rPr>
        <w:t>S.M., E. Gasperikova and G.M. Hoversten, 2004: Overview of monitoring techniques and protocols for geologic storage projects, IEA Greenhouse Gas R&amp;D Programme Report.</w:t>
      </w:r>
    </w:p>
    <w:p>
      <w:pPr>
        <w:spacing w:line="278" w:lineRule="auto" w:before="0"/>
        <w:ind w:left="497" w:right="38" w:hanging="341"/>
        <w:jc w:val="both"/>
        <w:rPr>
          <w:sz w:val="18"/>
        </w:rPr>
      </w:pPr>
      <w:r>
        <w:rPr>
          <w:b/>
          <w:sz w:val="18"/>
        </w:rPr>
        <w:t>Benson,</w:t>
      </w:r>
      <w:r>
        <w:rPr>
          <w:b/>
          <w:spacing w:val="-9"/>
          <w:sz w:val="18"/>
        </w:rPr>
        <w:t> </w:t>
      </w:r>
      <w:r>
        <w:rPr>
          <w:sz w:val="18"/>
        </w:rPr>
        <w:t>S.M.,</w:t>
      </w:r>
      <w:r>
        <w:rPr>
          <w:spacing w:val="-9"/>
          <w:sz w:val="18"/>
        </w:rPr>
        <w:t> </w:t>
      </w:r>
      <w:r>
        <w:rPr>
          <w:sz w:val="18"/>
        </w:rPr>
        <w:t>E.</w:t>
      </w:r>
      <w:r>
        <w:rPr>
          <w:spacing w:val="-9"/>
          <w:sz w:val="18"/>
        </w:rPr>
        <w:t> </w:t>
      </w:r>
      <w:r>
        <w:rPr>
          <w:sz w:val="18"/>
        </w:rPr>
        <w:t>Gasperikova</w:t>
      </w:r>
      <w:r>
        <w:rPr>
          <w:spacing w:val="-9"/>
          <w:sz w:val="18"/>
        </w:rPr>
        <w:t> </w:t>
      </w:r>
      <w:r>
        <w:rPr>
          <w:sz w:val="18"/>
        </w:rPr>
        <w:t>and</w:t>
      </w:r>
      <w:r>
        <w:rPr>
          <w:spacing w:val="-9"/>
          <w:sz w:val="18"/>
        </w:rPr>
        <w:t> </w:t>
      </w:r>
      <w:r>
        <w:rPr>
          <w:sz w:val="18"/>
        </w:rPr>
        <w:t>G.M.</w:t>
      </w:r>
      <w:r>
        <w:rPr>
          <w:spacing w:val="-9"/>
          <w:sz w:val="18"/>
        </w:rPr>
        <w:t> </w:t>
      </w:r>
      <w:r>
        <w:rPr>
          <w:sz w:val="18"/>
        </w:rPr>
        <w:t>Hoversten,</w:t>
      </w:r>
      <w:r>
        <w:rPr>
          <w:spacing w:val="-9"/>
          <w:sz w:val="18"/>
        </w:rPr>
        <w:t> </w:t>
      </w:r>
      <w:r>
        <w:rPr>
          <w:sz w:val="18"/>
        </w:rPr>
        <w:t>2005:</w:t>
      </w:r>
      <w:r>
        <w:rPr>
          <w:spacing w:val="-9"/>
          <w:sz w:val="18"/>
        </w:rPr>
        <w:t> </w:t>
      </w:r>
      <w:r>
        <w:rPr>
          <w:sz w:val="18"/>
        </w:rPr>
        <w:t>Monitoring protocols and life-cycle costs for geologic storage of carbon dioxide. Proceedings of the 7</w:t>
      </w:r>
      <w:r>
        <w:rPr>
          <w:position w:val="6"/>
          <w:sz w:val="10"/>
        </w:rPr>
        <w:t>th </w:t>
      </w:r>
      <w:r>
        <w:rPr>
          <w:sz w:val="18"/>
        </w:rPr>
        <w:t>International Conference on Greenhouse Gas Control Technologies (GHGT-7), September 5–9, 2004, </w:t>
      </w:r>
      <w:r>
        <w:rPr>
          <w:spacing w:val="-3"/>
          <w:sz w:val="18"/>
        </w:rPr>
        <w:t>Vancouver, </w:t>
      </w:r>
      <w:r>
        <w:rPr>
          <w:sz w:val="18"/>
        </w:rPr>
        <w:t>Canada, </w:t>
      </w:r>
      <w:r>
        <w:rPr>
          <w:spacing w:val="-3"/>
          <w:sz w:val="18"/>
        </w:rPr>
        <w:t>v.II,</w:t>
      </w:r>
      <w:r>
        <w:rPr>
          <w:spacing w:val="-1"/>
          <w:sz w:val="18"/>
        </w:rPr>
        <w:t> </w:t>
      </w:r>
      <w:r>
        <w:rPr>
          <w:sz w:val="18"/>
        </w:rPr>
        <w:t>1259-1266.</w:t>
      </w:r>
    </w:p>
    <w:p>
      <w:pPr>
        <w:spacing w:line="230" w:lineRule="auto" w:before="4"/>
        <w:ind w:left="497" w:right="38" w:hanging="341"/>
        <w:jc w:val="both"/>
        <w:rPr>
          <w:sz w:val="18"/>
        </w:rPr>
      </w:pPr>
      <w:r>
        <w:rPr>
          <w:b/>
          <w:sz w:val="18"/>
        </w:rPr>
        <w:t>Bøe,</w:t>
      </w:r>
      <w:r>
        <w:rPr>
          <w:b/>
          <w:spacing w:val="-20"/>
          <w:sz w:val="18"/>
        </w:rPr>
        <w:t> </w:t>
      </w:r>
      <w:r>
        <w:rPr>
          <w:sz w:val="18"/>
        </w:rPr>
        <w:t>R.,</w:t>
      </w:r>
      <w:r>
        <w:rPr>
          <w:spacing w:val="-20"/>
          <w:sz w:val="18"/>
        </w:rPr>
        <w:t> </w:t>
      </w:r>
      <w:r>
        <w:rPr>
          <w:sz w:val="18"/>
        </w:rPr>
        <w:t>C.</w:t>
      </w:r>
      <w:r>
        <w:rPr>
          <w:spacing w:val="-20"/>
          <w:sz w:val="18"/>
        </w:rPr>
        <w:t> </w:t>
      </w:r>
      <w:r>
        <w:rPr>
          <w:sz w:val="18"/>
        </w:rPr>
        <w:t>Magnus,</w:t>
      </w:r>
      <w:r>
        <w:rPr>
          <w:spacing w:val="-19"/>
          <w:sz w:val="18"/>
        </w:rPr>
        <w:t> </w:t>
      </w:r>
      <w:r>
        <w:rPr>
          <w:spacing w:val="-9"/>
          <w:sz w:val="18"/>
        </w:rPr>
        <w:t>P.T.</w:t>
      </w:r>
      <w:r>
        <w:rPr>
          <w:spacing w:val="-20"/>
          <w:sz w:val="18"/>
        </w:rPr>
        <w:t> </w:t>
      </w:r>
      <w:r>
        <w:rPr>
          <w:sz w:val="18"/>
        </w:rPr>
        <w:t>Osmundsen</w:t>
      </w:r>
      <w:r>
        <w:rPr>
          <w:spacing w:val="-20"/>
          <w:sz w:val="18"/>
        </w:rPr>
        <w:t> </w:t>
      </w:r>
      <w:r>
        <w:rPr>
          <w:sz w:val="18"/>
        </w:rPr>
        <w:t>and</w:t>
      </w:r>
      <w:r>
        <w:rPr>
          <w:spacing w:val="-19"/>
          <w:sz w:val="18"/>
        </w:rPr>
        <w:t> </w:t>
      </w:r>
      <w:r>
        <w:rPr>
          <w:sz w:val="18"/>
        </w:rPr>
        <w:t>B.I.</w:t>
      </w:r>
      <w:r>
        <w:rPr>
          <w:spacing w:val="-20"/>
          <w:sz w:val="18"/>
        </w:rPr>
        <w:t> </w:t>
      </w:r>
      <w:r>
        <w:rPr>
          <w:sz w:val="18"/>
        </w:rPr>
        <w:t>Rindstad,</w:t>
      </w:r>
      <w:r>
        <w:rPr>
          <w:spacing w:val="-20"/>
          <w:sz w:val="18"/>
        </w:rPr>
        <w:t> </w:t>
      </w:r>
      <w:r>
        <w:rPr>
          <w:sz w:val="18"/>
        </w:rPr>
        <w:t>2002:</w:t>
      </w:r>
      <w:r>
        <w:rPr>
          <w:spacing w:val="-20"/>
          <w:sz w:val="18"/>
        </w:rPr>
        <w:t> </w:t>
      </w:r>
      <w:r>
        <w:rPr>
          <w:sz w:val="18"/>
        </w:rPr>
        <w:t>CO</w:t>
      </w:r>
      <w:r>
        <w:rPr>
          <w:position w:val="-5"/>
          <w:sz w:val="10"/>
        </w:rPr>
        <w:t>2</w:t>
      </w:r>
      <w:r>
        <w:rPr>
          <w:spacing w:val="1"/>
          <w:position w:val="-5"/>
          <w:sz w:val="10"/>
        </w:rPr>
        <w:t> </w:t>
      </w:r>
      <w:r>
        <w:rPr>
          <w:sz w:val="18"/>
        </w:rPr>
        <w:t>point sources and subsurface storage capacities for CO</w:t>
      </w:r>
      <w:r>
        <w:rPr>
          <w:position w:val="-5"/>
          <w:sz w:val="10"/>
        </w:rPr>
        <w:t>2 </w:t>
      </w:r>
      <w:r>
        <w:rPr>
          <w:sz w:val="18"/>
        </w:rPr>
        <w:t>in aquifers in </w:t>
      </w:r>
      <w:r>
        <w:rPr>
          <w:spacing w:val="-3"/>
          <w:sz w:val="18"/>
        </w:rPr>
        <w:t>Norway.</w:t>
      </w:r>
      <w:r>
        <w:rPr>
          <w:spacing w:val="-13"/>
          <w:sz w:val="18"/>
        </w:rPr>
        <w:t> </w:t>
      </w:r>
      <w:r>
        <w:rPr>
          <w:sz w:val="18"/>
        </w:rPr>
        <w:t>Norsk</w:t>
      </w:r>
      <w:r>
        <w:rPr>
          <w:spacing w:val="-12"/>
          <w:sz w:val="18"/>
        </w:rPr>
        <w:t> </w:t>
      </w:r>
      <w:r>
        <w:rPr>
          <w:sz w:val="18"/>
        </w:rPr>
        <w:t>Geologische</w:t>
      </w:r>
      <w:r>
        <w:rPr>
          <w:spacing w:val="-12"/>
          <w:sz w:val="18"/>
        </w:rPr>
        <w:t> </w:t>
      </w:r>
      <w:r>
        <w:rPr>
          <w:sz w:val="18"/>
        </w:rPr>
        <w:t>Undersogelske,</w:t>
      </w:r>
      <w:r>
        <w:rPr>
          <w:spacing w:val="-15"/>
          <w:sz w:val="18"/>
        </w:rPr>
        <w:t> </w:t>
      </w:r>
      <w:r>
        <w:rPr>
          <w:sz w:val="18"/>
        </w:rPr>
        <w:t>Trondheim,</w:t>
      </w:r>
      <w:r>
        <w:rPr>
          <w:spacing w:val="-13"/>
          <w:sz w:val="18"/>
        </w:rPr>
        <w:t> </w:t>
      </w:r>
      <w:r>
        <w:rPr>
          <w:spacing w:val="-3"/>
          <w:sz w:val="18"/>
        </w:rPr>
        <w:t>Norway,</w:t>
      </w:r>
    </w:p>
    <w:p>
      <w:pPr>
        <w:spacing w:before="33"/>
        <w:ind w:left="497" w:right="0" w:firstLine="0"/>
        <w:jc w:val="both"/>
        <w:rPr>
          <w:sz w:val="18"/>
        </w:rPr>
      </w:pPr>
      <w:r>
        <w:rPr>
          <w:sz w:val="18"/>
        </w:rPr>
        <w:t>NGU Report 2002.010, 132 pp.</w:t>
      </w:r>
    </w:p>
    <w:p>
      <w:pPr>
        <w:spacing w:line="278" w:lineRule="auto" w:before="34"/>
        <w:ind w:left="497" w:right="38" w:hanging="341"/>
        <w:jc w:val="both"/>
        <w:rPr>
          <w:sz w:val="18"/>
        </w:rPr>
      </w:pPr>
      <w:r>
        <w:rPr>
          <w:b/>
          <w:sz w:val="18"/>
        </w:rPr>
        <w:t>Bergfeld,</w:t>
      </w:r>
      <w:r>
        <w:rPr>
          <w:b/>
          <w:spacing w:val="-18"/>
          <w:sz w:val="18"/>
        </w:rPr>
        <w:t> </w:t>
      </w:r>
      <w:r>
        <w:rPr>
          <w:sz w:val="18"/>
        </w:rPr>
        <w:t>D.,</w:t>
      </w:r>
      <w:r>
        <w:rPr>
          <w:spacing w:val="-17"/>
          <w:sz w:val="18"/>
        </w:rPr>
        <w:t> </w:t>
      </w:r>
      <w:r>
        <w:rPr>
          <w:spacing w:val="-8"/>
          <w:sz w:val="18"/>
        </w:rPr>
        <w:t>F.</w:t>
      </w:r>
      <w:r>
        <w:rPr>
          <w:spacing w:val="-17"/>
          <w:sz w:val="18"/>
        </w:rPr>
        <w:t> </w:t>
      </w:r>
      <w:r>
        <w:rPr>
          <w:sz w:val="18"/>
        </w:rPr>
        <w:t>Goff</w:t>
      </w:r>
      <w:r>
        <w:rPr>
          <w:spacing w:val="-17"/>
          <w:sz w:val="18"/>
        </w:rPr>
        <w:t> </w:t>
      </w:r>
      <w:r>
        <w:rPr>
          <w:sz w:val="18"/>
        </w:rPr>
        <w:t>and</w:t>
      </w:r>
      <w:r>
        <w:rPr>
          <w:spacing w:val="-17"/>
          <w:sz w:val="18"/>
        </w:rPr>
        <w:t> </w:t>
      </w:r>
      <w:r>
        <w:rPr>
          <w:sz w:val="18"/>
        </w:rPr>
        <w:t>C.J.</w:t>
      </w:r>
      <w:r>
        <w:rPr>
          <w:spacing w:val="-18"/>
          <w:sz w:val="18"/>
        </w:rPr>
        <w:t> </w:t>
      </w:r>
      <w:r>
        <w:rPr>
          <w:sz w:val="18"/>
        </w:rPr>
        <w:t>Janik,</w:t>
      </w:r>
      <w:r>
        <w:rPr>
          <w:spacing w:val="-17"/>
          <w:sz w:val="18"/>
        </w:rPr>
        <w:t> </w:t>
      </w:r>
      <w:r>
        <w:rPr>
          <w:sz w:val="18"/>
        </w:rPr>
        <w:t>2001:</w:t>
      </w:r>
      <w:r>
        <w:rPr>
          <w:spacing w:val="-17"/>
          <w:sz w:val="18"/>
        </w:rPr>
        <w:t> </w:t>
      </w:r>
      <w:r>
        <w:rPr>
          <w:sz w:val="18"/>
        </w:rPr>
        <w:t>Elevated</w:t>
      </w:r>
      <w:r>
        <w:rPr>
          <w:spacing w:val="-17"/>
          <w:sz w:val="18"/>
        </w:rPr>
        <w:t> </w:t>
      </w:r>
      <w:r>
        <w:rPr>
          <w:sz w:val="18"/>
        </w:rPr>
        <w:t>carbon</w:t>
      </w:r>
      <w:r>
        <w:rPr>
          <w:spacing w:val="-17"/>
          <w:sz w:val="18"/>
        </w:rPr>
        <w:t> </w:t>
      </w:r>
      <w:r>
        <w:rPr>
          <w:sz w:val="18"/>
        </w:rPr>
        <w:t>dioxide</w:t>
      </w:r>
      <w:r>
        <w:rPr>
          <w:spacing w:val="-18"/>
          <w:sz w:val="18"/>
        </w:rPr>
        <w:t> </w:t>
      </w:r>
      <w:r>
        <w:rPr>
          <w:sz w:val="18"/>
        </w:rPr>
        <w:t>flux at the Dixie </w:t>
      </w:r>
      <w:r>
        <w:rPr>
          <w:spacing w:val="-4"/>
          <w:sz w:val="18"/>
        </w:rPr>
        <w:t>Valley </w:t>
      </w:r>
      <w:r>
        <w:rPr>
          <w:sz w:val="18"/>
        </w:rPr>
        <w:t>geothermal field, Nevada; relations between surface phenomena and the geothermal reservoir. </w:t>
      </w:r>
      <w:r>
        <w:rPr>
          <w:i/>
          <w:sz w:val="18"/>
        </w:rPr>
        <w:t>Chemical </w:t>
      </w:r>
      <w:r>
        <w:rPr>
          <w:i/>
          <w:sz w:val="18"/>
        </w:rPr>
        <w:t>Geology</w:t>
      </w:r>
      <w:r>
        <w:rPr>
          <w:sz w:val="18"/>
        </w:rPr>
        <w:t>, </w:t>
      </w:r>
      <w:r>
        <w:rPr>
          <w:b/>
          <w:sz w:val="18"/>
        </w:rPr>
        <w:t>177</w:t>
      </w:r>
      <w:r>
        <w:rPr>
          <w:sz w:val="18"/>
        </w:rPr>
        <w:t>(1–2),</w:t>
      </w:r>
      <w:r>
        <w:rPr>
          <w:spacing w:val="-1"/>
          <w:sz w:val="18"/>
        </w:rPr>
        <w:t> </w:t>
      </w:r>
      <w:r>
        <w:rPr>
          <w:sz w:val="18"/>
        </w:rPr>
        <w:t>43–66.</w:t>
      </w:r>
    </w:p>
    <w:p>
      <w:pPr>
        <w:spacing w:line="278" w:lineRule="auto" w:before="0"/>
        <w:ind w:left="497" w:right="39" w:hanging="341"/>
        <w:jc w:val="both"/>
        <w:rPr>
          <w:sz w:val="18"/>
        </w:rPr>
      </w:pPr>
      <w:r>
        <w:rPr>
          <w:b/>
          <w:sz w:val="18"/>
        </w:rPr>
        <w:t>Bergman, </w:t>
      </w:r>
      <w:r>
        <w:rPr>
          <w:spacing w:val="-5"/>
          <w:sz w:val="18"/>
        </w:rPr>
        <w:t>P.D. </w:t>
      </w:r>
      <w:r>
        <w:rPr>
          <w:sz w:val="18"/>
        </w:rPr>
        <w:t>and E.M. </w:t>
      </w:r>
      <w:r>
        <w:rPr>
          <w:spacing w:val="-3"/>
          <w:sz w:val="18"/>
        </w:rPr>
        <w:t>Winter, </w:t>
      </w:r>
      <w:r>
        <w:rPr>
          <w:sz w:val="18"/>
        </w:rPr>
        <w:t>1995: Disposal of carbon dioxide in aquifers in the US. </w:t>
      </w:r>
      <w:r>
        <w:rPr>
          <w:i/>
          <w:sz w:val="18"/>
        </w:rPr>
        <w:t>Energy Conversion and Management</w:t>
      </w:r>
      <w:r>
        <w:rPr>
          <w:sz w:val="18"/>
        </w:rPr>
        <w:t>, </w:t>
      </w:r>
      <w:r>
        <w:rPr>
          <w:b/>
          <w:sz w:val="18"/>
        </w:rPr>
        <w:t>36</w:t>
      </w:r>
      <w:r>
        <w:rPr>
          <w:sz w:val="18"/>
        </w:rPr>
        <w:t>(6), 523–526.</w:t>
      </w:r>
    </w:p>
    <w:p>
      <w:pPr>
        <w:spacing w:line="278" w:lineRule="auto" w:before="0"/>
        <w:ind w:left="497" w:right="39" w:hanging="341"/>
        <w:jc w:val="both"/>
        <w:rPr>
          <w:i/>
          <w:sz w:val="18"/>
        </w:rPr>
      </w:pPr>
      <w:r>
        <w:rPr>
          <w:b/>
          <w:sz w:val="18"/>
        </w:rPr>
        <w:t>Bergman, </w:t>
      </w:r>
      <w:r>
        <w:rPr>
          <w:spacing w:val="-4"/>
          <w:sz w:val="18"/>
        </w:rPr>
        <w:t>P.D., </w:t>
      </w:r>
      <w:r>
        <w:rPr>
          <w:sz w:val="18"/>
        </w:rPr>
        <w:t>E.M. Winter and </w:t>
      </w:r>
      <w:r>
        <w:rPr>
          <w:spacing w:val="-6"/>
          <w:sz w:val="18"/>
        </w:rPr>
        <w:t>Z-Y. </w:t>
      </w:r>
      <w:r>
        <w:rPr>
          <w:sz w:val="18"/>
        </w:rPr>
        <w:t>Chen, 1997: Disposal of power plant CO</w:t>
      </w:r>
      <w:r>
        <w:rPr>
          <w:position w:val="-5"/>
          <w:sz w:val="10"/>
        </w:rPr>
        <w:t>2 </w:t>
      </w:r>
      <w:r>
        <w:rPr>
          <w:sz w:val="18"/>
        </w:rPr>
        <w:t>in depleted oil and gas reservoirs in </w:t>
      </w:r>
      <w:r>
        <w:rPr>
          <w:spacing w:val="-3"/>
          <w:sz w:val="18"/>
        </w:rPr>
        <w:t>Texas. </w:t>
      </w:r>
      <w:r>
        <w:rPr>
          <w:i/>
          <w:sz w:val="18"/>
        </w:rPr>
        <w:t>Energy</w:t>
      </w:r>
    </w:p>
    <w:p>
      <w:pPr>
        <w:spacing w:line="164" w:lineRule="exact" w:before="0"/>
        <w:ind w:left="497" w:right="0" w:firstLine="0"/>
        <w:jc w:val="both"/>
        <w:rPr>
          <w:sz w:val="18"/>
        </w:rPr>
      </w:pPr>
      <w:r>
        <w:rPr>
          <w:i/>
          <w:sz w:val="18"/>
        </w:rPr>
        <w:t>Conversion and Management</w:t>
      </w:r>
      <w:r>
        <w:rPr>
          <w:sz w:val="18"/>
        </w:rPr>
        <w:t>, </w:t>
      </w:r>
      <w:r>
        <w:rPr>
          <w:b/>
          <w:sz w:val="18"/>
        </w:rPr>
        <w:t>38</w:t>
      </w:r>
      <w:r>
        <w:rPr>
          <w:sz w:val="18"/>
        </w:rPr>
        <w:t>(Suppl.), S211–S216.</w:t>
      </w:r>
    </w:p>
    <w:p>
      <w:pPr>
        <w:spacing w:line="278" w:lineRule="auto" w:before="32"/>
        <w:ind w:left="497" w:right="38" w:hanging="341"/>
        <w:jc w:val="both"/>
        <w:rPr>
          <w:sz w:val="18"/>
        </w:rPr>
      </w:pPr>
      <w:r>
        <w:rPr>
          <w:b/>
          <w:sz w:val="18"/>
        </w:rPr>
        <w:t>Bewers, </w:t>
      </w:r>
      <w:r>
        <w:rPr>
          <w:sz w:val="18"/>
        </w:rPr>
        <w:t>M., 2003: Review of international conventions having implications for ocean storage of carbon dioxide. International Energy Agency, Greenhouse Gas Research and Development Programme, Cheltenham, UK, March 2003.</w:t>
      </w:r>
    </w:p>
    <w:p>
      <w:pPr>
        <w:spacing w:line="278" w:lineRule="auto" w:before="0"/>
        <w:ind w:left="497" w:right="39" w:hanging="341"/>
        <w:jc w:val="both"/>
        <w:rPr>
          <w:sz w:val="18"/>
        </w:rPr>
      </w:pPr>
      <w:r>
        <w:rPr>
          <w:b/>
          <w:sz w:val="18"/>
        </w:rPr>
        <w:t>Bock, </w:t>
      </w:r>
      <w:r>
        <w:rPr>
          <w:sz w:val="18"/>
        </w:rPr>
        <w:t>B., R. Rhudy, H. Herzog, M. Klett, J. Davison, D. De la </w:t>
      </w:r>
      <w:r>
        <w:rPr>
          <w:spacing w:val="-3"/>
          <w:sz w:val="18"/>
        </w:rPr>
        <w:t>Torre </w:t>
      </w:r>
      <w:r>
        <w:rPr>
          <w:sz w:val="18"/>
        </w:rPr>
        <w:t>Ugarte</w:t>
      </w:r>
      <w:r>
        <w:rPr>
          <w:spacing w:val="-27"/>
          <w:sz w:val="18"/>
        </w:rPr>
        <w:t> </w:t>
      </w:r>
      <w:r>
        <w:rPr>
          <w:sz w:val="18"/>
        </w:rPr>
        <w:t>and</w:t>
      </w:r>
      <w:r>
        <w:rPr>
          <w:spacing w:val="-27"/>
          <w:sz w:val="18"/>
        </w:rPr>
        <w:t> </w:t>
      </w:r>
      <w:r>
        <w:rPr>
          <w:sz w:val="18"/>
        </w:rPr>
        <w:t>D.</w:t>
      </w:r>
      <w:r>
        <w:rPr>
          <w:spacing w:val="-27"/>
          <w:sz w:val="18"/>
        </w:rPr>
        <w:t> </w:t>
      </w:r>
      <w:r>
        <w:rPr>
          <w:sz w:val="18"/>
        </w:rPr>
        <w:t>Simbeck,</w:t>
      </w:r>
      <w:r>
        <w:rPr>
          <w:spacing w:val="-28"/>
          <w:sz w:val="18"/>
        </w:rPr>
        <w:t> </w:t>
      </w:r>
      <w:r>
        <w:rPr>
          <w:sz w:val="18"/>
        </w:rPr>
        <w:t>2003:</w:t>
      </w:r>
      <w:r>
        <w:rPr>
          <w:spacing w:val="-27"/>
          <w:sz w:val="18"/>
        </w:rPr>
        <w:t> </w:t>
      </w:r>
      <w:r>
        <w:rPr>
          <w:sz w:val="18"/>
        </w:rPr>
        <w:t>Economic</w:t>
      </w:r>
      <w:r>
        <w:rPr>
          <w:spacing w:val="-27"/>
          <w:sz w:val="18"/>
        </w:rPr>
        <w:t> </w:t>
      </w:r>
      <w:r>
        <w:rPr>
          <w:sz w:val="18"/>
        </w:rPr>
        <w:t>Evaluation</w:t>
      </w:r>
      <w:r>
        <w:rPr>
          <w:spacing w:val="-27"/>
          <w:sz w:val="18"/>
        </w:rPr>
        <w:t> </w:t>
      </w:r>
      <w:r>
        <w:rPr>
          <w:sz w:val="18"/>
        </w:rPr>
        <w:t>of</w:t>
      </w:r>
      <w:r>
        <w:rPr>
          <w:spacing w:val="-27"/>
          <w:sz w:val="18"/>
        </w:rPr>
        <w:t> </w:t>
      </w:r>
      <w:r>
        <w:rPr>
          <w:sz w:val="18"/>
        </w:rPr>
        <w:t>CO</w:t>
      </w:r>
      <w:r>
        <w:rPr>
          <w:position w:val="-5"/>
          <w:sz w:val="10"/>
        </w:rPr>
        <w:t>2</w:t>
      </w:r>
      <w:r>
        <w:rPr>
          <w:spacing w:val="-7"/>
          <w:position w:val="-5"/>
          <w:sz w:val="10"/>
        </w:rPr>
        <w:t> </w:t>
      </w:r>
      <w:r>
        <w:rPr>
          <w:sz w:val="18"/>
        </w:rPr>
        <w:t>Storage</w:t>
      </w:r>
    </w:p>
    <w:p>
      <w:pPr>
        <w:spacing w:line="164" w:lineRule="exact" w:before="0"/>
        <w:ind w:left="497" w:right="0" w:firstLine="0"/>
        <w:jc w:val="both"/>
        <w:rPr>
          <w:sz w:val="18"/>
        </w:rPr>
      </w:pPr>
      <w:r>
        <w:rPr>
          <w:sz w:val="18"/>
        </w:rPr>
        <w:t>and Sink Options. DOE Research Report</w:t>
      </w:r>
      <w:r>
        <w:rPr>
          <w:spacing w:val="-33"/>
          <w:sz w:val="18"/>
        </w:rPr>
        <w:t> </w:t>
      </w:r>
      <w:r>
        <w:rPr>
          <w:sz w:val="18"/>
        </w:rPr>
        <w:t>DE-FC26-00NT40937.</w:t>
      </w:r>
    </w:p>
    <w:p>
      <w:pPr>
        <w:spacing w:line="278" w:lineRule="auto" w:before="32"/>
        <w:ind w:left="497" w:right="39" w:hanging="341"/>
        <w:jc w:val="both"/>
        <w:rPr>
          <w:sz w:val="18"/>
        </w:rPr>
      </w:pPr>
      <w:r>
        <w:rPr>
          <w:b/>
          <w:spacing w:val="-3"/>
          <w:sz w:val="18"/>
        </w:rPr>
        <w:t>Bondor, </w:t>
      </w:r>
      <w:r>
        <w:rPr>
          <w:spacing w:val="-4"/>
          <w:sz w:val="18"/>
        </w:rPr>
        <w:t>P.L., </w:t>
      </w:r>
      <w:r>
        <w:rPr>
          <w:sz w:val="18"/>
        </w:rPr>
        <w:t>1992: Applications of carbon dioxide in enhanced oil recovery. </w:t>
      </w:r>
      <w:r>
        <w:rPr>
          <w:i/>
          <w:sz w:val="18"/>
        </w:rPr>
        <w:t>Energy Conversion and Management</w:t>
      </w:r>
      <w:r>
        <w:rPr>
          <w:sz w:val="18"/>
        </w:rPr>
        <w:t>, </w:t>
      </w:r>
      <w:r>
        <w:rPr>
          <w:b/>
          <w:sz w:val="18"/>
        </w:rPr>
        <w:t>33</w:t>
      </w:r>
      <w:r>
        <w:rPr>
          <w:sz w:val="18"/>
        </w:rPr>
        <w:t>(5),</w:t>
      </w:r>
      <w:r>
        <w:rPr>
          <w:spacing w:val="-17"/>
          <w:sz w:val="18"/>
        </w:rPr>
        <w:t> </w:t>
      </w:r>
      <w:r>
        <w:rPr>
          <w:sz w:val="18"/>
        </w:rPr>
        <w:t>579–586.</w:t>
      </w:r>
    </w:p>
    <w:p>
      <w:pPr>
        <w:spacing w:before="0"/>
        <w:ind w:left="157" w:right="0" w:firstLine="0"/>
        <w:jc w:val="both"/>
        <w:rPr>
          <w:sz w:val="18"/>
        </w:rPr>
      </w:pPr>
      <w:r>
        <w:rPr>
          <w:b/>
          <w:sz w:val="18"/>
        </w:rPr>
        <w:t>Bossie-Codreanu,</w:t>
      </w:r>
      <w:r>
        <w:rPr>
          <w:b/>
          <w:spacing w:val="18"/>
          <w:sz w:val="18"/>
        </w:rPr>
        <w:t> </w:t>
      </w:r>
      <w:r>
        <w:rPr>
          <w:sz w:val="18"/>
        </w:rPr>
        <w:t>D.,</w:t>
      </w:r>
      <w:r>
        <w:rPr>
          <w:spacing w:val="11"/>
          <w:sz w:val="18"/>
        </w:rPr>
        <w:t> </w:t>
      </w:r>
      <w:r>
        <w:rPr>
          <w:spacing w:val="-12"/>
          <w:sz w:val="18"/>
        </w:rPr>
        <w:t>Y.</w:t>
      </w:r>
      <w:r>
        <w:rPr>
          <w:spacing w:val="19"/>
          <w:sz w:val="18"/>
        </w:rPr>
        <w:t> </w:t>
      </w:r>
      <w:r>
        <w:rPr>
          <w:sz w:val="18"/>
        </w:rPr>
        <w:t>Le-Gallo,</w:t>
      </w:r>
      <w:r>
        <w:rPr>
          <w:spacing w:val="18"/>
          <w:sz w:val="18"/>
        </w:rPr>
        <w:t> </w:t>
      </w:r>
      <w:r>
        <w:rPr>
          <w:spacing w:val="-6"/>
          <w:sz w:val="18"/>
        </w:rPr>
        <w:t>J.P.</w:t>
      </w:r>
      <w:r>
        <w:rPr>
          <w:spacing w:val="18"/>
          <w:sz w:val="18"/>
        </w:rPr>
        <w:t> </w:t>
      </w:r>
      <w:r>
        <w:rPr>
          <w:sz w:val="18"/>
        </w:rPr>
        <w:t>Duquerroix,</w:t>
      </w:r>
      <w:r>
        <w:rPr>
          <w:spacing w:val="19"/>
          <w:sz w:val="18"/>
        </w:rPr>
        <w:t> </w:t>
      </w:r>
      <w:r>
        <w:rPr>
          <w:sz w:val="18"/>
        </w:rPr>
        <w:t>N.</w:t>
      </w:r>
      <w:r>
        <w:rPr>
          <w:spacing w:val="18"/>
          <w:sz w:val="18"/>
        </w:rPr>
        <w:t> </w:t>
      </w:r>
      <w:r>
        <w:rPr>
          <w:sz w:val="18"/>
        </w:rPr>
        <w:t>Doerler</w:t>
      </w:r>
      <w:r>
        <w:rPr>
          <w:spacing w:val="19"/>
          <w:sz w:val="18"/>
        </w:rPr>
        <w:t> </w:t>
      </w:r>
      <w:r>
        <w:rPr>
          <w:sz w:val="18"/>
        </w:rPr>
        <w:t>and</w:t>
      </w:r>
    </w:p>
    <w:p>
      <w:pPr>
        <w:spacing w:line="240" w:lineRule="exact" w:before="9"/>
        <w:ind w:left="497" w:right="39" w:firstLine="0"/>
        <w:jc w:val="both"/>
        <w:rPr>
          <w:sz w:val="18"/>
        </w:rPr>
      </w:pPr>
      <w:r>
        <w:rPr>
          <w:spacing w:val="-10"/>
          <w:sz w:val="18"/>
        </w:rPr>
        <w:t>P. </w:t>
      </w:r>
      <w:r>
        <w:rPr>
          <w:sz w:val="18"/>
        </w:rPr>
        <w:t>Le Thiez, 2003: CO</w:t>
      </w:r>
      <w:r>
        <w:rPr>
          <w:position w:val="-5"/>
          <w:sz w:val="10"/>
        </w:rPr>
        <w:t>2 </w:t>
      </w:r>
      <w:r>
        <w:rPr>
          <w:sz w:val="18"/>
        </w:rPr>
        <w:t>sequestration in depleted oil reservoirs. Proceedings 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w:t>
      </w:r>
      <w:r>
        <w:rPr>
          <w:spacing w:val="-3"/>
          <w:sz w:val="18"/>
        </w:rPr>
        <w:t>v.I, </w:t>
      </w:r>
      <w:r>
        <w:rPr>
          <w:sz w:val="18"/>
        </w:rPr>
        <w:t>403–408.</w:t>
      </w:r>
    </w:p>
    <w:p>
      <w:pPr>
        <w:spacing w:line="240" w:lineRule="exact" w:before="43"/>
        <w:ind w:left="497" w:right="531" w:hanging="341"/>
        <w:jc w:val="both"/>
        <w:rPr>
          <w:sz w:val="18"/>
        </w:rPr>
      </w:pPr>
      <w:r>
        <w:rPr/>
        <w:br w:type="column"/>
      </w:r>
      <w:r>
        <w:rPr>
          <w:b/>
          <w:sz w:val="18"/>
        </w:rPr>
        <w:t>Bradshaw, </w:t>
      </w:r>
      <w:r>
        <w:rPr>
          <w:sz w:val="18"/>
        </w:rPr>
        <w:t>J.B. and </w:t>
      </w:r>
      <w:r>
        <w:rPr>
          <w:spacing w:val="-7"/>
          <w:sz w:val="18"/>
        </w:rPr>
        <w:t>T. </w:t>
      </w:r>
      <w:r>
        <w:rPr>
          <w:sz w:val="18"/>
        </w:rPr>
        <w:t>Dance, 2005: Mapping geological storage prospectivity</w:t>
      </w:r>
      <w:r>
        <w:rPr>
          <w:spacing w:val="-16"/>
          <w:sz w:val="18"/>
        </w:rPr>
        <w:t> </w:t>
      </w:r>
      <w:r>
        <w:rPr>
          <w:sz w:val="18"/>
        </w:rPr>
        <w:t>of</w:t>
      </w:r>
      <w:r>
        <w:rPr>
          <w:spacing w:val="-15"/>
          <w:sz w:val="18"/>
        </w:rPr>
        <w:t> </w:t>
      </w:r>
      <w:r>
        <w:rPr>
          <w:sz w:val="18"/>
        </w:rPr>
        <w:t>CO</w:t>
      </w:r>
      <w:r>
        <w:rPr>
          <w:position w:val="-5"/>
          <w:sz w:val="10"/>
        </w:rPr>
        <w:t>2</w:t>
      </w:r>
      <w:r>
        <w:rPr>
          <w:spacing w:val="5"/>
          <w:position w:val="-5"/>
          <w:sz w:val="10"/>
        </w:rPr>
        <w:t> </w:t>
      </w:r>
      <w:r>
        <w:rPr>
          <w:sz w:val="18"/>
        </w:rPr>
        <w:t>for</w:t>
      </w:r>
      <w:r>
        <w:rPr>
          <w:spacing w:val="-15"/>
          <w:sz w:val="18"/>
        </w:rPr>
        <w:t> </w:t>
      </w:r>
      <w:r>
        <w:rPr>
          <w:sz w:val="18"/>
        </w:rPr>
        <w:t>the</w:t>
      </w:r>
      <w:r>
        <w:rPr>
          <w:spacing w:val="-15"/>
          <w:sz w:val="18"/>
        </w:rPr>
        <w:t> </w:t>
      </w:r>
      <w:r>
        <w:rPr>
          <w:sz w:val="18"/>
        </w:rPr>
        <w:t>world</w:t>
      </w:r>
      <w:r>
        <w:rPr>
          <w:spacing w:val="-16"/>
          <w:sz w:val="18"/>
        </w:rPr>
        <w:t> </w:t>
      </w:r>
      <w:r>
        <w:rPr>
          <w:sz w:val="18"/>
        </w:rPr>
        <w:t>sedimentary</w:t>
      </w:r>
      <w:r>
        <w:rPr>
          <w:spacing w:val="-15"/>
          <w:sz w:val="18"/>
        </w:rPr>
        <w:t> </w:t>
      </w:r>
      <w:r>
        <w:rPr>
          <w:sz w:val="18"/>
        </w:rPr>
        <w:t>basins</w:t>
      </w:r>
      <w:r>
        <w:rPr>
          <w:spacing w:val="-15"/>
          <w:sz w:val="18"/>
        </w:rPr>
        <w:t> </w:t>
      </w:r>
      <w:r>
        <w:rPr>
          <w:sz w:val="18"/>
        </w:rPr>
        <w:t>and</w:t>
      </w:r>
      <w:r>
        <w:rPr>
          <w:spacing w:val="-15"/>
          <w:sz w:val="18"/>
        </w:rPr>
        <w:t> </w:t>
      </w:r>
      <w:r>
        <w:rPr>
          <w:sz w:val="18"/>
        </w:rPr>
        <w:t>regional source to sink matching. Proceedings of the 7</w:t>
      </w:r>
      <w:r>
        <w:rPr>
          <w:position w:val="6"/>
          <w:sz w:val="10"/>
        </w:rPr>
        <w:t>th </w:t>
      </w:r>
      <w:r>
        <w:rPr>
          <w:sz w:val="18"/>
        </w:rPr>
        <w:t>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(GHGT-7), September 5–9, 2004, </w:t>
      </w:r>
      <w:r>
        <w:rPr>
          <w:spacing w:val="-3"/>
          <w:sz w:val="18"/>
        </w:rPr>
        <w:t>Vancouver, </w:t>
      </w:r>
      <w:r>
        <w:rPr>
          <w:sz w:val="18"/>
        </w:rPr>
        <w:t>Canada, </w:t>
      </w:r>
      <w:r>
        <w:rPr>
          <w:spacing w:val="-3"/>
          <w:sz w:val="18"/>
        </w:rPr>
        <w:t>v.I,</w:t>
      </w:r>
      <w:r>
        <w:rPr>
          <w:spacing w:val="-4"/>
          <w:sz w:val="18"/>
        </w:rPr>
        <w:t> </w:t>
      </w:r>
      <w:r>
        <w:rPr>
          <w:sz w:val="18"/>
        </w:rPr>
        <w:t>583-592.</w:t>
      </w:r>
    </w:p>
    <w:p>
      <w:pPr>
        <w:spacing w:before="24"/>
        <w:ind w:left="157" w:right="0" w:firstLine="0"/>
        <w:jc w:val="both"/>
        <w:rPr>
          <w:sz w:val="18"/>
        </w:rPr>
      </w:pPr>
      <w:r>
        <w:rPr>
          <w:b/>
          <w:sz w:val="18"/>
        </w:rPr>
        <w:t>Bradshaw, </w:t>
      </w:r>
      <w:r>
        <w:rPr>
          <w:sz w:val="18"/>
        </w:rPr>
        <w:t>J.B., E. Bradshaw, G. Allinson, A.J. Rigg, V. Nguyen and</w:t>
      </w:r>
    </w:p>
    <w:p>
      <w:pPr>
        <w:spacing w:line="240" w:lineRule="exact" w:before="9"/>
        <w:ind w:left="497" w:right="531" w:firstLine="0"/>
        <w:jc w:val="both"/>
        <w:rPr>
          <w:sz w:val="18"/>
        </w:rPr>
      </w:pPr>
      <w:r>
        <w:rPr>
          <w:sz w:val="18"/>
        </w:rPr>
        <w:t>A. Spencer, 2002: The potential for geological sequestration of CO</w:t>
      </w:r>
      <w:r>
        <w:rPr>
          <w:position w:val="-5"/>
          <w:sz w:val="10"/>
        </w:rPr>
        <w:t>2 </w:t>
      </w:r>
      <w:r>
        <w:rPr>
          <w:sz w:val="18"/>
        </w:rPr>
        <w:t>in Australia: preliminary findings and implications to new gas field development. </w:t>
      </w:r>
      <w:r>
        <w:rPr>
          <w:i/>
          <w:sz w:val="18"/>
        </w:rPr>
        <w:t>Australian Petroleum Production and </w:t>
      </w:r>
      <w:r>
        <w:rPr>
          <w:i/>
          <w:sz w:val="18"/>
        </w:rPr>
        <w:t>Exploration Association Journal</w:t>
      </w:r>
      <w:r>
        <w:rPr>
          <w:sz w:val="18"/>
        </w:rPr>
        <w:t>, </w:t>
      </w:r>
      <w:r>
        <w:rPr>
          <w:b/>
          <w:sz w:val="18"/>
        </w:rPr>
        <w:t>42</w:t>
      </w:r>
      <w:r>
        <w:rPr>
          <w:sz w:val="18"/>
        </w:rPr>
        <w:t>(1), 24–46.</w:t>
      </w:r>
    </w:p>
    <w:p>
      <w:pPr>
        <w:spacing w:line="240" w:lineRule="exact" w:before="0"/>
        <w:ind w:left="497" w:right="531" w:hanging="341"/>
        <w:jc w:val="both"/>
        <w:rPr>
          <w:sz w:val="18"/>
        </w:rPr>
      </w:pPr>
      <w:r>
        <w:rPr>
          <w:b/>
          <w:sz w:val="18"/>
        </w:rPr>
        <w:t>Bradshaw, </w:t>
      </w:r>
      <w:r>
        <w:rPr>
          <w:sz w:val="18"/>
        </w:rPr>
        <w:t>J., G. Allinson, B.E. Bradshaw, </w:t>
      </w:r>
      <w:r>
        <w:rPr>
          <w:spacing w:val="-12"/>
          <w:sz w:val="18"/>
        </w:rPr>
        <w:t>V. </w:t>
      </w:r>
      <w:r>
        <w:rPr>
          <w:sz w:val="18"/>
        </w:rPr>
        <w:t>Nguyen, A.J. Rigg, L. Spencer and </w:t>
      </w:r>
      <w:r>
        <w:rPr>
          <w:spacing w:val="-10"/>
          <w:sz w:val="18"/>
        </w:rPr>
        <w:t>P. </w:t>
      </w:r>
      <w:r>
        <w:rPr>
          <w:sz w:val="18"/>
        </w:rPr>
        <w:t>Wilson, 2003: Australia’s CO</w:t>
      </w:r>
      <w:r>
        <w:rPr>
          <w:position w:val="-5"/>
          <w:sz w:val="10"/>
        </w:rPr>
        <w:t>2 </w:t>
      </w:r>
      <w:r>
        <w:rPr>
          <w:sz w:val="18"/>
        </w:rPr>
        <w:t>geological storage potential and matching of emissions sources to potential sinks. Proceedings 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w:t>
      </w:r>
      <w:r>
        <w:rPr>
          <w:spacing w:val="-3"/>
          <w:sz w:val="18"/>
        </w:rPr>
        <w:t>v.I, </w:t>
      </w:r>
      <w:r>
        <w:rPr>
          <w:sz w:val="18"/>
        </w:rPr>
        <w:t>633–638.</w:t>
      </w:r>
    </w:p>
    <w:p>
      <w:pPr>
        <w:spacing w:line="240" w:lineRule="exact" w:before="0"/>
        <w:ind w:left="497" w:right="532" w:hanging="341"/>
        <w:jc w:val="both"/>
        <w:rPr>
          <w:sz w:val="18"/>
        </w:rPr>
      </w:pPr>
      <w:r>
        <w:rPr>
          <w:b/>
          <w:sz w:val="18"/>
        </w:rPr>
        <w:t>Bradshaw, </w:t>
      </w:r>
      <w:r>
        <w:rPr>
          <w:sz w:val="18"/>
        </w:rPr>
        <w:t>J., C. Boreham and </w:t>
      </w:r>
      <w:r>
        <w:rPr>
          <w:spacing w:val="-8"/>
          <w:sz w:val="18"/>
        </w:rPr>
        <w:t>F. </w:t>
      </w:r>
      <w:r>
        <w:rPr>
          <w:sz w:val="18"/>
        </w:rPr>
        <w:t>la Pedalina, 2005: Storage retention time of CO</w:t>
      </w:r>
      <w:r>
        <w:rPr>
          <w:position w:val="-5"/>
          <w:sz w:val="10"/>
        </w:rPr>
        <w:t>2 </w:t>
      </w:r>
      <w:r>
        <w:rPr>
          <w:sz w:val="18"/>
        </w:rPr>
        <w:t>in sedimentary basins: Examples from petroleum systems. Proceedings of the 7</w:t>
      </w:r>
      <w:r>
        <w:rPr>
          <w:position w:val="6"/>
          <w:sz w:val="10"/>
        </w:rPr>
        <w:t>th </w:t>
      </w:r>
      <w:r>
        <w:rPr>
          <w:sz w:val="18"/>
        </w:rPr>
        <w:t>International Conference on Greenhouse Gas Control Technologies (GHGT-7), September 5–9, 2004, </w:t>
      </w:r>
      <w:r>
        <w:rPr>
          <w:spacing w:val="-3"/>
          <w:sz w:val="18"/>
        </w:rPr>
        <w:t>Vancouver, </w:t>
      </w:r>
      <w:r>
        <w:rPr>
          <w:sz w:val="18"/>
        </w:rPr>
        <w:t>Canada, </w:t>
      </w:r>
      <w:r>
        <w:rPr>
          <w:spacing w:val="-3"/>
          <w:sz w:val="18"/>
        </w:rPr>
        <w:t>v.I, </w:t>
      </w:r>
      <w:r>
        <w:rPr>
          <w:sz w:val="18"/>
        </w:rPr>
        <w:t>541-550.</w:t>
      </w:r>
    </w:p>
    <w:p>
      <w:pPr>
        <w:spacing w:line="240" w:lineRule="exact" w:before="0"/>
        <w:ind w:left="497" w:right="532" w:hanging="341"/>
        <w:jc w:val="both"/>
        <w:rPr>
          <w:sz w:val="18"/>
        </w:rPr>
      </w:pPr>
      <w:r>
        <w:rPr>
          <w:b/>
          <w:sz w:val="18"/>
        </w:rPr>
        <w:t>Brennan,</w:t>
      </w:r>
      <w:r>
        <w:rPr>
          <w:b/>
          <w:spacing w:val="-24"/>
          <w:sz w:val="18"/>
        </w:rPr>
        <w:t> </w:t>
      </w:r>
      <w:r>
        <w:rPr>
          <w:spacing w:val="-4"/>
          <w:sz w:val="18"/>
        </w:rPr>
        <w:t>S.T.</w:t>
      </w:r>
      <w:r>
        <w:rPr>
          <w:spacing w:val="-24"/>
          <w:sz w:val="18"/>
        </w:rPr>
        <w:t> </w:t>
      </w:r>
      <w:r>
        <w:rPr>
          <w:sz w:val="18"/>
        </w:rPr>
        <w:t>and</w:t>
      </w:r>
      <w:r>
        <w:rPr>
          <w:spacing w:val="-23"/>
          <w:sz w:val="18"/>
        </w:rPr>
        <w:t> </w:t>
      </w:r>
      <w:r>
        <w:rPr>
          <w:sz w:val="18"/>
        </w:rPr>
        <w:t>R.C.</w:t>
      </w:r>
      <w:r>
        <w:rPr>
          <w:spacing w:val="-24"/>
          <w:sz w:val="18"/>
        </w:rPr>
        <w:t> </w:t>
      </w:r>
      <w:r>
        <w:rPr>
          <w:sz w:val="18"/>
        </w:rPr>
        <w:t>Burruss,</w:t>
      </w:r>
      <w:r>
        <w:rPr>
          <w:spacing w:val="-23"/>
          <w:sz w:val="18"/>
        </w:rPr>
        <w:t> </w:t>
      </w:r>
      <w:r>
        <w:rPr>
          <w:sz w:val="18"/>
        </w:rPr>
        <w:t>2003:</w:t>
      </w:r>
      <w:r>
        <w:rPr>
          <w:spacing w:val="-24"/>
          <w:sz w:val="18"/>
        </w:rPr>
        <w:t> </w:t>
      </w:r>
      <w:r>
        <w:rPr>
          <w:sz w:val="18"/>
        </w:rPr>
        <w:t>Specific</w:t>
      </w:r>
      <w:r>
        <w:rPr>
          <w:spacing w:val="-24"/>
          <w:sz w:val="18"/>
        </w:rPr>
        <w:t> </w:t>
      </w:r>
      <w:r>
        <w:rPr>
          <w:sz w:val="18"/>
        </w:rPr>
        <w:t>Sequestration</w:t>
      </w:r>
      <w:r>
        <w:rPr>
          <w:spacing w:val="-26"/>
          <w:sz w:val="18"/>
        </w:rPr>
        <w:t> </w:t>
      </w:r>
      <w:r>
        <w:rPr>
          <w:spacing w:val="-3"/>
          <w:sz w:val="18"/>
        </w:rPr>
        <w:t>Volumes: </w:t>
      </w:r>
      <w:r>
        <w:rPr>
          <w:sz w:val="18"/>
        </w:rPr>
        <w:t>A</w:t>
      </w:r>
      <w:r>
        <w:rPr>
          <w:spacing w:val="-15"/>
          <w:sz w:val="18"/>
        </w:rPr>
        <w:t> </w:t>
      </w:r>
      <w:r>
        <w:rPr>
          <w:sz w:val="18"/>
        </w:rPr>
        <w:t>Useful</w:t>
      </w:r>
      <w:r>
        <w:rPr>
          <w:spacing w:val="-8"/>
          <w:sz w:val="18"/>
        </w:rPr>
        <w:t> </w:t>
      </w:r>
      <w:r>
        <w:rPr>
          <w:spacing w:val="-4"/>
          <w:sz w:val="18"/>
        </w:rPr>
        <w:t>Tool</w:t>
      </w:r>
      <w:r>
        <w:rPr>
          <w:spacing w:val="-6"/>
          <w:sz w:val="18"/>
        </w:rPr>
        <w:t> </w:t>
      </w:r>
      <w:r>
        <w:rPr>
          <w:sz w:val="18"/>
        </w:rPr>
        <w:t>for</w:t>
      </w:r>
      <w:r>
        <w:rPr>
          <w:spacing w:val="-5"/>
          <w:sz w:val="18"/>
        </w:rPr>
        <w:t> </w:t>
      </w:r>
      <w:r>
        <w:rPr>
          <w:sz w:val="18"/>
        </w:rPr>
        <w:t>CO</w:t>
      </w:r>
      <w:r>
        <w:rPr>
          <w:position w:val="-5"/>
          <w:sz w:val="10"/>
        </w:rPr>
        <w:t>2</w:t>
      </w:r>
      <w:r>
        <w:rPr>
          <w:spacing w:val="15"/>
          <w:position w:val="-5"/>
          <w:sz w:val="10"/>
        </w:rPr>
        <w:t> </w:t>
      </w:r>
      <w:r>
        <w:rPr>
          <w:sz w:val="18"/>
        </w:rPr>
        <w:t>Storage</w:t>
      </w:r>
      <w:r>
        <w:rPr>
          <w:spacing w:val="-6"/>
          <w:sz w:val="18"/>
        </w:rPr>
        <w:t> </w:t>
      </w:r>
      <w:r>
        <w:rPr>
          <w:sz w:val="18"/>
        </w:rPr>
        <w:t>Capacity</w:t>
      </w:r>
      <w:r>
        <w:rPr>
          <w:spacing w:val="-15"/>
          <w:sz w:val="18"/>
        </w:rPr>
        <w:t> </w:t>
      </w:r>
      <w:r>
        <w:rPr>
          <w:sz w:val="18"/>
        </w:rPr>
        <w:t>Assessment.</w:t>
      </w:r>
      <w:r>
        <w:rPr>
          <w:spacing w:val="-5"/>
          <w:sz w:val="18"/>
        </w:rPr>
        <w:t> </w:t>
      </w:r>
      <w:r>
        <w:rPr>
          <w:sz w:val="18"/>
        </w:rPr>
        <w:t>USGS</w:t>
      </w:r>
      <w:r>
        <w:rPr>
          <w:spacing w:val="-5"/>
          <w:sz w:val="18"/>
        </w:rPr>
        <w:t> </w:t>
      </w:r>
      <w:r>
        <w:rPr>
          <w:sz w:val="18"/>
        </w:rPr>
        <w:t>OFR </w:t>
      </w:r>
      <w:hyperlink r:id="rId263">
        <w:r>
          <w:rPr>
            <w:sz w:val="18"/>
          </w:rPr>
          <w:t>03-0452 available at http://pubs.usgs.gov/of/2003/of03-452/.</w:t>
        </w:r>
      </w:hyperlink>
    </w:p>
    <w:p>
      <w:pPr>
        <w:spacing w:line="240" w:lineRule="exact" w:before="0"/>
        <w:ind w:left="497" w:right="531" w:hanging="341"/>
        <w:jc w:val="both"/>
        <w:rPr>
          <w:sz w:val="18"/>
        </w:rPr>
      </w:pPr>
      <w:r>
        <w:rPr>
          <w:b/>
          <w:sz w:val="18"/>
        </w:rPr>
        <w:t>Bryant, </w:t>
      </w:r>
      <w:r>
        <w:rPr>
          <w:sz w:val="18"/>
        </w:rPr>
        <w:t>S. and L. Lake, 2005: Effect of impurities on subsurface CO</w:t>
      </w:r>
      <w:r>
        <w:rPr>
          <w:position w:val="-5"/>
          <w:sz w:val="10"/>
        </w:rPr>
        <w:t>2 </w:t>
      </w:r>
      <w:r>
        <w:rPr>
          <w:sz w:val="18"/>
        </w:rPr>
        <w:t>storage processes, Carbon Dioxide Capture for Storage in Deep Geologic</w:t>
      </w:r>
      <w:r>
        <w:rPr>
          <w:spacing w:val="31"/>
          <w:sz w:val="18"/>
        </w:rPr>
        <w:t> </w:t>
      </w:r>
      <w:r>
        <w:rPr>
          <w:sz w:val="18"/>
        </w:rPr>
        <w:t>Formations</w:t>
      </w:r>
      <w:r>
        <w:rPr>
          <w:spacing w:val="31"/>
          <w:sz w:val="18"/>
        </w:rPr>
        <w:t> </w:t>
      </w:r>
      <w:r>
        <w:rPr>
          <w:sz w:val="18"/>
        </w:rPr>
        <w:t>-</w:t>
      </w:r>
      <w:r>
        <w:rPr>
          <w:spacing w:val="32"/>
          <w:sz w:val="18"/>
        </w:rPr>
        <w:t> </w:t>
      </w:r>
      <w:r>
        <w:rPr>
          <w:sz w:val="18"/>
        </w:rPr>
        <w:t>Results</w:t>
      </w:r>
      <w:r>
        <w:rPr>
          <w:spacing w:val="31"/>
          <w:sz w:val="18"/>
        </w:rPr>
        <w:t> </w:t>
      </w:r>
      <w:r>
        <w:rPr>
          <w:sz w:val="18"/>
        </w:rPr>
        <w:t>from</w:t>
      </w:r>
      <w:r>
        <w:rPr>
          <w:spacing w:val="32"/>
          <w:sz w:val="18"/>
        </w:rPr>
        <w:t> </w:t>
      </w:r>
      <w:r>
        <w:rPr>
          <w:sz w:val="18"/>
        </w:rPr>
        <w:t>the</w:t>
      </w:r>
      <w:r>
        <w:rPr>
          <w:spacing w:val="31"/>
          <w:sz w:val="18"/>
        </w:rPr>
        <w:t> </w:t>
      </w:r>
      <w:r>
        <w:rPr>
          <w:sz w:val="18"/>
        </w:rPr>
        <w:t>CO</w:t>
      </w:r>
      <w:r>
        <w:rPr>
          <w:position w:val="-5"/>
          <w:sz w:val="10"/>
        </w:rPr>
        <w:t>2  </w:t>
      </w:r>
      <w:r>
        <w:rPr>
          <w:spacing w:val="2"/>
          <w:position w:val="-5"/>
          <w:sz w:val="10"/>
        </w:rPr>
        <w:t> </w:t>
      </w:r>
      <w:r>
        <w:rPr>
          <w:sz w:val="18"/>
        </w:rPr>
        <w:t>Capture</w:t>
      </w:r>
      <w:r>
        <w:rPr>
          <w:spacing w:val="31"/>
          <w:sz w:val="18"/>
        </w:rPr>
        <w:t> </w:t>
      </w:r>
      <w:r>
        <w:rPr>
          <w:sz w:val="18"/>
        </w:rPr>
        <w:t>Project,</w:t>
      </w:r>
    </w:p>
    <w:p>
      <w:pPr>
        <w:spacing w:before="24"/>
        <w:ind w:left="497" w:right="0" w:firstLine="0"/>
        <w:jc w:val="both"/>
        <w:rPr>
          <w:sz w:val="18"/>
        </w:rPr>
      </w:pPr>
      <w:r>
        <w:rPr>
          <w:spacing w:val="-6"/>
          <w:sz w:val="18"/>
        </w:rPr>
        <w:t>v.</w:t>
      </w:r>
      <w:r>
        <w:rPr>
          <w:spacing w:val="14"/>
          <w:sz w:val="18"/>
        </w:rPr>
        <w:t> </w:t>
      </w:r>
      <w:r>
        <w:rPr>
          <w:sz w:val="18"/>
        </w:rPr>
        <w:t>2:</w:t>
      </w:r>
      <w:r>
        <w:rPr>
          <w:spacing w:val="15"/>
          <w:sz w:val="18"/>
        </w:rPr>
        <w:t> </w:t>
      </w:r>
      <w:r>
        <w:rPr>
          <w:sz w:val="18"/>
        </w:rPr>
        <w:t>Geologic</w:t>
      </w:r>
      <w:r>
        <w:rPr>
          <w:spacing w:val="14"/>
          <w:sz w:val="18"/>
        </w:rPr>
        <w:t> </w:t>
      </w:r>
      <w:r>
        <w:rPr>
          <w:sz w:val="18"/>
        </w:rPr>
        <w:t>Storage</w:t>
      </w:r>
      <w:r>
        <w:rPr>
          <w:spacing w:val="15"/>
          <w:sz w:val="18"/>
        </w:rPr>
        <w:t> </w:t>
      </w:r>
      <w:r>
        <w:rPr>
          <w:sz w:val="18"/>
        </w:rPr>
        <w:t>of</w:t>
      </w:r>
      <w:r>
        <w:rPr>
          <w:spacing w:val="14"/>
          <w:sz w:val="18"/>
        </w:rPr>
        <w:t> </w:t>
      </w:r>
      <w:r>
        <w:rPr>
          <w:sz w:val="18"/>
        </w:rPr>
        <w:t>Carbon</w:t>
      </w:r>
      <w:r>
        <w:rPr>
          <w:spacing w:val="15"/>
          <w:sz w:val="18"/>
        </w:rPr>
        <w:t> </w:t>
      </w:r>
      <w:r>
        <w:rPr>
          <w:sz w:val="18"/>
        </w:rPr>
        <w:t>Dioxide</w:t>
      </w:r>
      <w:r>
        <w:rPr>
          <w:spacing w:val="14"/>
          <w:sz w:val="18"/>
        </w:rPr>
        <w:t> </w:t>
      </w:r>
      <w:r>
        <w:rPr>
          <w:sz w:val="18"/>
        </w:rPr>
        <w:t>with</w:t>
      </w:r>
      <w:r>
        <w:rPr>
          <w:spacing w:val="15"/>
          <w:sz w:val="18"/>
        </w:rPr>
        <w:t> </w:t>
      </w:r>
      <w:r>
        <w:rPr>
          <w:sz w:val="18"/>
        </w:rPr>
        <w:t>Monitoring</w:t>
      </w:r>
      <w:r>
        <w:rPr>
          <w:spacing w:val="15"/>
          <w:sz w:val="18"/>
        </w:rPr>
        <w:t> </w:t>
      </w:r>
      <w:r>
        <w:rPr>
          <w:sz w:val="18"/>
        </w:rPr>
        <w:t>and</w:t>
      </w:r>
    </w:p>
    <w:p>
      <w:pPr>
        <w:spacing w:before="33"/>
        <w:ind w:left="497" w:right="0" w:firstLine="0"/>
        <w:jc w:val="both"/>
        <w:rPr>
          <w:sz w:val="18"/>
        </w:rPr>
      </w:pPr>
      <w:r>
        <w:rPr>
          <w:sz w:val="18"/>
        </w:rPr>
        <w:t>Verification, S.M. Benson (ed.), Elsevier, London. pp. 983–998.</w:t>
      </w:r>
    </w:p>
    <w:p>
      <w:pPr>
        <w:spacing w:line="278" w:lineRule="auto" w:before="33"/>
        <w:ind w:left="497" w:right="532" w:hanging="341"/>
        <w:jc w:val="both"/>
        <w:rPr>
          <w:sz w:val="18"/>
        </w:rPr>
      </w:pPr>
      <w:r>
        <w:rPr>
          <w:b/>
          <w:sz w:val="18"/>
        </w:rPr>
        <w:t>Buschbach, </w:t>
      </w:r>
      <w:r>
        <w:rPr>
          <w:spacing w:val="-4"/>
          <w:sz w:val="18"/>
        </w:rPr>
        <w:t>T.C. </w:t>
      </w:r>
      <w:r>
        <w:rPr>
          <w:sz w:val="18"/>
        </w:rPr>
        <w:t>and D.C. Bond, 1974: Underground storage of natural</w:t>
      </w:r>
      <w:r>
        <w:rPr>
          <w:spacing w:val="-11"/>
          <w:sz w:val="18"/>
        </w:rPr>
        <w:t> </w:t>
      </w:r>
      <w:r>
        <w:rPr>
          <w:sz w:val="18"/>
        </w:rPr>
        <w:t>gas</w:t>
      </w:r>
      <w:r>
        <w:rPr>
          <w:spacing w:val="-10"/>
          <w:sz w:val="18"/>
        </w:rPr>
        <w:t> </w:t>
      </w:r>
      <w:r>
        <w:rPr>
          <w:sz w:val="18"/>
        </w:rPr>
        <w:t>in</w:t>
      </w:r>
      <w:r>
        <w:rPr>
          <w:spacing w:val="-10"/>
          <w:sz w:val="18"/>
        </w:rPr>
        <w:t> </w:t>
      </w:r>
      <w:r>
        <w:rPr>
          <w:sz w:val="18"/>
        </w:rPr>
        <w:t>Illinois</w:t>
      </w:r>
      <w:r>
        <w:rPr>
          <w:spacing w:val="-10"/>
          <w:sz w:val="18"/>
        </w:rPr>
        <w:t> </w:t>
      </w:r>
      <w:r>
        <w:rPr>
          <w:sz w:val="18"/>
        </w:rPr>
        <w:t>-</w:t>
      </w:r>
      <w:r>
        <w:rPr>
          <w:spacing w:val="-10"/>
          <w:sz w:val="18"/>
        </w:rPr>
        <w:t> </w:t>
      </w:r>
      <w:r>
        <w:rPr>
          <w:sz w:val="18"/>
        </w:rPr>
        <w:t>1973,</w:t>
      </w:r>
      <w:r>
        <w:rPr>
          <w:spacing w:val="-10"/>
          <w:sz w:val="18"/>
        </w:rPr>
        <w:t> </w:t>
      </w:r>
      <w:r>
        <w:rPr>
          <w:i/>
          <w:sz w:val="18"/>
        </w:rPr>
        <w:t>Illinois</w:t>
      </w:r>
      <w:r>
        <w:rPr>
          <w:i/>
          <w:spacing w:val="-11"/>
          <w:sz w:val="18"/>
        </w:rPr>
        <w:t> </w:t>
      </w:r>
      <w:r>
        <w:rPr>
          <w:i/>
          <w:sz w:val="18"/>
        </w:rPr>
        <w:t>Petroleum</w:t>
      </w:r>
      <w:r>
        <w:rPr>
          <w:sz w:val="18"/>
        </w:rPr>
        <w:t>,</w:t>
      </w:r>
      <w:r>
        <w:rPr>
          <w:spacing w:val="-10"/>
          <w:sz w:val="18"/>
        </w:rPr>
        <w:t> </w:t>
      </w:r>
      <w:r>
        <w:rPr>
          <w:sz w:val="18"/>
        </w:rPr>
        <w:t>101,</w:t>
      </w:r>
      <w:r>
        <w:rPr>
          <w:spacing w:val="-10"/>
          <w:sz w:val="18"/>
        </w:rPr>
        <w:t> </w:t>
      </w:r>
      <w:r>
        <w:rPr>
          <w:sz w:val="18"/>
        </w:rPr>
        <w:t>Illinois</w:t>
      </w:r>
      <w:r>
        <w:rPr>
          <w:spacing w:val="-10"/>
          <w:sz w:val="18"/>
        </w:rPr>
        <w:t> </w:t>
      </w:r>
      <w:r>
        <w:rPr>
          <w:sz w:val="18"/>
        </w:rPr>
        <w:t>State Geological</w:t>
      </w:r>
      <w:r>
        <w:rPr>
          <w:spacing w:val="-2"/>
          <w:sz w:val="18"/>
        </w:rPr>
        <w:t> </w:t>
      </w:r>
      <w:r>
        <w:rPr>
          <w:spacing w:val="-3"/>
          <w:sz w:val="18"/>
        </w:rPr>
        <w:t>Survey.</w:t>
      </w:r>
    </w:p>
    <w:p>
      <w:pPr>
        <w:spacing w:line="278" w:lineRule="auto" w:before="0"/>
        <w:ind w:left="497" w:right="531" w:hanging="341"/>
        <w:jc w:val="both"/>
        <w:rPr>
          <w:sz w:val="18"/>
        </w:rPr>
      </w:pPr>
      <w:r>
        <w:rPr>
          <w:b/>
          <w:sz w:val="18"/>
        </w:rPr>
        <w:t>Carapezza, </w:t>
      </w:r>
      <w:r>
        <w:rPr>
          <w:sz w:val="18"/>
        </w:rPr>
        <w:t>M. L., B. Badalamenti, L. Cavarra and A. Scalzo, 2003: Gas</w:t>
      </w:r>
      <w:r>
        <w:rPr>
          <w:spacing w:val="-5"/>
          <w:sz w:val="18"/>
        </w:rPr>
        <w:t> </w:t>
      </w:r>
      <w:r>
        <w:rPr>
          <w:sz w:val="18"/>
        </w:rPr>
        <w:t>hazard</w:t>
      </w:r>
      <w:r>
        <w:rPr>
          <w:spacing w:val="-5"/>
          <w:sz w:val="18"/>
        </w:rPr>
        <w:t> </w:t>
      </w:r>
      <w:r>
        <w:rPr>
          <w:sz w:val="18"/>
        </w:rPr>
        <w:t>assessment</w:t>
      </w:r>
      <w:r>
        <w:rPr>
          <w:spacing w:val="-5"/>
          <w:sz w:val="18"/>
        </w:rPr>
        <w:t> </w:t>
      </w:r>
      <w:r>
        <w:rPr>
          <w:sz w:val="18"/>
        </w:rPr>
        <w:t>in</w:t>
      </w:r>
      <w:r>
        <w:rPr>
          <w:spacing w:val="-5"/>
          <w:sz w:val="18"/>
        </w:rPr>
        <w:t> </w:t>
      </w:r>
      <w:r>
        <w:rPr>
          <w:sz w:val="18"/>
        </w:rPr>
        <w:t>a</w:t>
      </w:r>
      <w:r>
        <w:rPr>
          <w:spacing w:val="-4"/>
          <w:sz w:val="18"/>
        </w:rPr>
        <w:t> </w:t>
      </w:r>
      <w:r>
        <w:rPr>
          <w:sz w:val="18"/>
        </w:rPr>
        <w:t>densely</w:t>
      </w:r>
      <w:r>
        <w:rPr>
          <w:spacing w:val="-5"/>
          <w:sz w:val="18"/>
        </w:rPr>
        <w:t> </w:t>
      </w:r>
      <w:r>
        <w:rPr>
          <w:sz w:val="18"/>
        </w:rPr>
        <w:t>inhabited</w:t>
      </w:r>
      <w:r>
        <w:rPr>
          <w:spacing w:val="-5"/>
          <w:sz w:val="18"/>
        </w:rPr>
        <w:t> </w:t>
      </w:r>
      <w:r>
        <w:rPr>
          <w:sz w:val="18"/>
        </w:rPr>
        <w:t>area</w:t>
      </w:r>
      <w:r>
        <w:rPr>
          <w:spacing w:val="-5"/>
          <w:sz w:val="18"/>
        </w:rPr>
        <w:t> </w:t>
      </w:r>
      <w:r>
        <w:rPr>
          <w:sz w:val="18"/>
        </w:rPr>
        <w:t>of</w:t>
      </w:r>
      <w:r>
        <w:rPr>
          <w:spacing w:val="-5"/>
          <w:sz w:val="18"/>
        </w:rPr>
        <w:t> </w:t>
      </w:r>
      <w:r>
        <w:rPr>
          <w:sz w:val="18"/>
        </w:rPr>
        <w:t>Colli</w:t>
      </w:r>
      <w:r>
        <w:rPr>
          <w:spacing w:val="-14"/>
          <w:sz w:val="18"/>
        </w:rPr>
        <w:t> </w:t>
      </w:r>
      <w:r>
        <w:rPr>
          <w:sz w:val="18"/>
        </w:rPr>
        <w:t>Albani </w:t>
      </w:r>
      <w:r>
        <w:rPr>
          <w:spacing w:val="-4"/>
          <w:sz w:val="18"/>
        </w:rPr>
        <w:t>Volcano </w:t>
      </w:r>
      <w:r>
        <w:rPr>
          <w:sz w:val="18"/>
        </w:rPr>
        <w:t>(Cava dei Selci, Roma). </w:t>
      </w:r>
      <w:r>
        <w:rPr>
          <w:i/>
          <w:sz w:val="18"/>
        </w:rPr>
        <w:t>Journal of Volcanology and </w:t>
      </w:r>
      <w:r>
        <w:rPr>
          <w:i/>
          <w:sz w:val="18"/>
        </w:rPr>
        <w:t>Geothermal Research</w:t>
      </w:r>
      <w:r>
        <w:rPr>
          <w:sz w:val="18"/>
        </w:rPr>
        <w:t>, </w:t>
      </w:r>
      <w:r>
        <w:rPr>
          <w:b/>
          <w:sz w:val="18"/>
        </w:rPr>
        <w:t>123</w:t>
      </w:r>
      <w:r>
        <w:rPr>
          <w:sz w:val="18"/>
        </w:rPr>
        <w:t>(1–2),</w:t>
      </w:r>
      <w:r>
        <w:rPr>
          <w:spacing w:val="-3"/>
          <w:sz w:val="18"/>
        </w:rPr>
        <w:t> </w:t>
      </w:r>
      <w:r>
        <w:rPr>
          <w:sz w:val="18"/>
        </w:rPr>
        <w:t>81–94.</w:t>
      </w:r>
    </w:p>
    <w:p>
      <w:pPr>
        <w:spacing w:line="207" w:lineRule="exact" w:before="0"/>
        <w:ind w:left="157" w:right="0" w:firstLine="0"/>
        <w:jc w:val="both"/>
        <w:rPr>
          <w:sz w:val="18"/>
        </w:rPr>
      </w:pPr>
      <w:r>
        <w:rPr>
          <w:b/>
          <w:sz w:val="18"/>
        </w:rPr>
        <w:t>Cawley, </w:t>
      </w:r>
      <w:r>
        <w:rPr>
          <w:sz w:val="18"/>
        </w:rPr>
        <w:t>S., M. Saunders, Y. Le Gallo, B. Carpentier, S. Holloway,</w:t>
      </w:r>
    </w:p>
    <w:p>
      <w:pPr>
        <w:spacing w:line="240" w:lineRule="exact" w:before="9"/>
        <w:ind w:left="497" w:right="531" w:firstLine="0"/>
        <w:jc w:val="both"/>
        <w:rPr>
          <w:sz w:val="18"/>
        </w:rPr>
      </w:pPr>
      <w:r>
        <w:rPr>
          <w:sz w:val="18"/>
        </w:rPr>
        <w:t>G.A. Kirby, T.  Bennison, L. Wickens, R. Wikramaratna, T. Bidstrup, S.L.B. Arkley, M.A.E. Browne and J.M. Ketzer, 2005, The NGCAS Project - Assessing the potential for EOR and CO</w:t>
      </w:r>
      <w:r>
        <w:rPr>
          <w:position w:val="-5"/>
          <w:sz w:val="10"/>
        </w:rPr>
        <w:t>2</w:t>
      </w:r>
      <w:r>
        <w:rPr>
          <w:sz w:val="10"/>
        </w:rPr>
        <w:t> </w:t>
      </w:r>
      <w:r>
        <w:rPr>
          <w:sz w:val="18"/>
        </w:rPr>
        <w:t>storage at the Forties Oil field, Offshore UK - Results from the CO</w:t>
      </w:r>
      <w:r>
        <w:rPr>
          <w:position w:val="-5"/>
          <w:sz w:val="10"/>
        </w:rPr>
        <w:t>2 </w:t>
      </w:r>
      <w:r>
        <w:rPr>
          <w:sz w:val="18"/>
        </w:rPr>
        <w:t>Capture Project, v.2: Geologic Storage of Carbon Dioxide with Monitoring and Verification, S.M. Benson (ed.), Elsevier Science, London, pp. 1163–1188.</w:t>
      </w:r>
    </w:p>
    <w:p>
      <w:pPr>
        <w:spacing w:line="240" w:lineRule="exact" w:before="0"/>
        <w:ind w:left="497" w:right="531" w:hanging="341"/>
        <w:jc w:val="both"/>
        <w:rPr>
          <w:sz w:val="18"/>
        </w:rPr>
      </w:pPr>
      <w:r>
        <w:rPr>
          <w:b/>
          <w:sz w:val="18"/>
        </w:rPr>
        <w:t>Celia, </w:t>
      </w:r>
      <w:r>
        <w:rPr>
          <w:sz w:val="18"/>
        </w:rPr>
        <w:t>M.A. and S. Bachu, 2003: Geological sequestration of CO</w:t>
      </w:r>
      <w:r>
        <w:rPr>
          <w:position w:val="-5"/>
          <w:sz w:val="10"/>
        </w:rPr>
        <w:t>2</w:t>
      </w:r>
      <w:r>
        <w:rPr>
          <w:sz w:val="18"/>
        </w:rPr>
        <w:t>:   Is leakage avoidable and acceptable? Proceedings of the 6</w:t>
      </w:r>
      <w:r>
        <w:rPr>
          <w:position w:val="6"/>
          <w:sz w:val="10"/>
        </w:rPr>
        <w:t>th </w:t>
      </w:r>
      <w:r>
        <w:rPr>
          <w:sz w:val="18"/>
        </w:rPr>
        <w:t>International</w:t>
      </w:r>
      <w:r>
        <w:rPr>
          <w:spacing w:val="-28"/>
          <w:sz w:val="18"/>
        </w:rPr>
        <w:t> </w:t>
      </w:r>
      <w:r>
        <w:rPr>
          <w:sz w:val="18"/>
        </w:rPr>
        <w:t>Conference</w:t>
      </w:r>
      <w:r>
        <w:rPr>
          <w:spacing w:val="-28"/>
          <w:sz w:val="18"/>
        </w:rPr>
        <w:t> </w:t>
      </w:r>
      <w:r>
        <w:rPr>
          <w:sz w:val="18"/>
        </w:rPr>
        <w:t>on</w:t>
      </w:r>
      <w:r>
        <w:rPr>
          <w:spacing w:val="-27"/>
          <w:sz w:val="18"/>
        </w:rPr>
        <w:t> </w:t>
      </w:r>
      <w:r>
        <w:rPr>
          <w:sz w:val="18"/>
        </w:rPr>
        <w:t>Greenhouse</w:t>
      </w:r>
      <w:r>
        <w:rPr>
          <w:spacing w:val="-28"/>
          <w:sz w:val="18"/>
        </w:rPr>
        <w:t> </w:t>
      </w:r>
      <w:r>
        <w:rPr>
          <w:sz w:val="18"/>
        </w:rPr>
        <w:t>Gas</w:t>
      </w:r>
      <w:r>
        <w:rPr>
          <w:spacing w:val="-27"/>
          <w:sz w:val="18"/>
        </w:rPr>
        <w:t> </w:t>
      </w:r>
      <w:r>
        <w:rPr>
          <w:sz w:val="18"/>
        </w:rPr>
        <w:t>Control</w:t>
      </w:r>
      <w:r>
        <w:rPr>
          <w:spacing w:val="-30"/>
          <w:sz w:val="18"/>
        </w:rPr>
        <w:t> </w:t>
      </w:r>
      <w:r>
        <w:rPr>
          <w:sz w:val="18"/>
        </w:rPr>
        <w:t>Technologies (GHGT-6),</w:t>
      </w:r>
      <w:r>
        <w:rPr>
          <w:spacing w:val="-8"/>
          <w:sz w:val="18"/>
        </w:rPr>
        <w:t> </w:t>
      </w:r>
      <w:r>
        <w:rPr>
          <w:sz w:val="18"/>
        </w:rPr>
        <w:t>J.</w:t>
      </w:r>
      <w:r>
        <w:rPr>
          <w:spacing w:val="-8"/>
          <w:sz w:val="18"/>
        </w:rPr>
        <w:t> </w:t>
      </w:r>
      <w:r>
        <w:rPr>
          <w:sz w:val="18"/>
        </w:rPr>
        <w:t>Gale</w:t>
      </w:r>
      <w:r>
        <w:rPr>
          <w:spacing w:val="-7"/>
          <w:sz w:val="18"/>
        </w:rPr>
        <w:t> </w:t>
      </w:r>
      <w:r>
        <w:rPr>
          <w:sz w:val="18"/>
        </w:rPr>
        <w:t>and</w:t>
      </w:r>
      <w:r>
        <w:rPr>
          <w:spacing w:val="-14"/>
          <w:sz w:val="18"/>
        </w:rPr>
        <w:t> </w:t>
      </w:r>
      <w:r>
        <w:rPr>
          <w:spacing w:val="-12"/>
          <w:sz w:val="18"/>
        </w:rPr>
        <w:t>Y.</w:t>
      </w:r>
      <w:r>
        <w:rPr>
          <w:spacing w:val="-7"/>
          <w:sz w:val="18"/>
        </w:rPr>
        <w:t> </w:t>
      </w:r>
      <w:r>
        <w:rPr>
          <w:sz w:val="18"/>
        </w:rPr>
        <w:t>Kaya</w:t>
      </w:r>
      <w:r>
        <w:rPr>
          <w:spacing w:val="-8"/>
          <w:sz w:val="18"/>
        </w:rPr>
        <w:t> </w:t>
      </w:r>
      <w:r>
        <w:rPr>
          <w:sz w:val="18"/>
        </w:rPr>
        <w:t>(eds.),</w:t>
      </w:r>
      <w:r>
        <w:rPr>
          <w:spacing w:val="-7"/>
          <w:sz w:val="18"/>
        </w:rPr>
        <w:t> </w:t>
      </w:r>
      <w:r>
        <w:rPr>
          <w:sz w:val="18"/>
        </w:rPr>
        <w:t>1–4</w:t>
      </w:r>
      <w:r>
        <w:rPr>
          <w:spacing w:val="-8"/>
          <w:sz w:val="18"/>
        </w:rPr>
        <w:t> </w:t>
      </w:r>
      <w:r>
        <w:rPr>
          <w:sz w:val="18"/>
        </w:rPr>
        <w:t>October,</w:t>
      </w:r>
      <w:r>
        <w:rPr>
          <w:spacing w:val="-8"/>
          <w:sz w:val="18"/>
        </w:rPr>
        <w:t> </w:t>
      </w:r>
      <w:r>
        <w:rPr>
          <w:sz w:val="18"/>
        </w:rPr>
        <w:t>Kyoto</w:t>
      </w:r>
      <w:r>
        <w:rPr>
          <w:spacing w:val="-7"/>
          <w:sz w:val="18"/>
        </w:rPr>
        <w:t> </w:t>
      </w:r>
      <w:r>
        <w:rPr>
          <w:sz w:val="18"/>
        </w:rPr>
        <w:t>Japan, Pergamon, </w:t>
      </w:r>
      <w:r>
        <w:rPr>
          <w:spacing w:val="-6"/>
          <w:sz w:val="18"/>
        </w:rPr>
        <w:t>v. </w:t>
      </w:r>
      <w:r>
        <w:rPr>
          <w:sz w:val="18"/>
        </w:rPr>
        <w:t>1, pp.</w:t>
      </w:r>
      <w:r>
        <w:rPr>
          <w:spacing w:val="5"/>
          <w:sz w:val="18"/>
        </w:rPr>
        <w:t> </w:t>
      </w:r>
      <w:r>
        <w:rPr>
          <w:sz w:val="18"/>
        </w:rPr>
        <w:t>477–482.</w:t>
      </w:r>
    </w:p>
    <w:p>
      <w:pPr>
        <w:spacing w:line="240" w:lineRule="exact" w:before="0"/>
        <w:ind w:left="497" w:right="531" w:hanging="341"/>
        <w:jc w:val="both"/>
        <w:rPr>
          <w:sz w:val="18"/>
        </w:rPr>
      </w:pPr>
      <w:r>
        <w:rPr>
          <w:b/>
          <w:sz w:val="18"/>
        </w:rPr>
        <w:t>Celia, </w:t>
      </w:r>
      <w:r>
        <w:rPr>
          <w:sz w:val="18"/>
        </w:rPr>
        <w:t>M.A., S. Bachu, J.M. Nordbotten, S.E. Gasda and H.K. Dahle, 2005: Quantitative estimation of CO</w:t>
      </w:r>
      <w:r>
        <w:rPr>
          <w:position w:val="-5"/>
          <w:sz w:val="10"/>
        </w:rPr>
        <w:t>2 </w:t>
      </w:r>
      <w:r>
        <w:rPr>
          <w:sz w:val="18"/>
        </w:rPr>
        <w:t>leakage from geological storage: Analytical models, numerical models and data needs. Proceedings of 7</w:t>
      </w:r>
      <w:r>
        <w:rPr>
          <w:position w:val="6"/>
          <w:sz w:val="10"/>
        </w:rPr>
        <w:t>th </w:t>
      </w:r>
      <w:r>
        <w:rPr>
          <w:sz w:val="18"/>
        </w:rPr>
        <w:t>International  Conference  on  Greenhouse  Gas Control Technologies. (GHGT-7), September 5–9, 2004, </w:t>
      </w:r>
      <w:r>
        <w:rPr>
          <w:spacing w:val="-3"/>
          <w:sz w:val="18"/>
        </w:rPr>
        <w:t>Vancouver, </w:t>
      </w:r>
      <w:r>
        <w:rPr>
          <w:sz w:val="18"/>
        </w:rPr>
        <w:t>Canada, </w:t>
      </w:r>
      <w:r>
        <w:rPr>
          <w:spacing w:val="-3"/>
          <w:sz w:val="18"/>
        </w:rPr>
        <w:t>v.I,</w:t>
      </w:r>
      <w:r>
        <w:rPr>
          <w:spacing w:val="3"/>
          <w:sz w:val="18"/>
        </w:rPr>
        <w:t> </w:t>
      </w:r>
      <w:r>
        <w:rPr>
          <w:sz w:val="18"/>
        </w:rPr>
        <w:t>663-672.</w:t>
      </w:r>
    </w:p>
    <w:p>
      <w:pPr>
        <w:spacing w:after="0" w:line="240" w:lineRule="exact"/>
        <w:jc w:val="both"/>
        <w:rPr>
          <w:sz w:val="18"/>
        </w:rPr>
        <w:sectPr>
          <w:type w:val="continuous"/>
          <w:pgSz w:w="12240" w:h="15840"/>
          <w:pgMar w:top="400" w:bottom="280" w:left="580" w:right="600"/>
          <w:cols w:num="2" w:equalWidth="0">
            <w:col w:w="5241" w:space="85"/>
            <w:col w:w="5734"/>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40" w:lineRule="exact" w:before="43"/>
        <w:ind w:left="894" w:right="1" w:hanging="341"/>
        <w:jc w:val="both"/>
        <w:rPr>
          <w:sz w:val="18"/>
        </w:rPr>
      </w:pPr>
      <w:r>
        <w:rPr>
          <w:b/>
          <w:sz w:val="18"/>
        </w:rPr>
        <w:t>Chadwick, </w:t>
      </w:r>
      <w:r>
        <w:rPr>
          <w:sz w:val="18"/>
        </w:rPr>
        <w:t>R.A., </w:t>
      </w:r>
      <w:r>
        <w:rPr>
          <w:spacing w:val="-10"/>
          <w:sz w:val="18"/>
        </w:rPr>
        <w:t>P. </w:t>
      </w:r>
      <w:r>
        <w:rPr>
          <w:sz w:val="18"/>
        </w:rPr>
        <w:t>Zweigel, U. Gregersen, G.A. </w:t>
      </w:r>
      <w:r>
        <w:rPr>
          <w:spacing w:val="-3"/>
          <w:sz w:val="18"/>
        </w:rPr>
        <w:t>Kirby, </w:t>
      </w:r>
      <w:r>
        <w:rPr>
          <w:sz w:val="18"/>
        </w:rPr>
        <w:t>S. Holloway and </w:t>
      </w:r>
      <w:r>
        <w:rPr>
          <w:spacing w:val="-5"/>
          <w:sz w:val="18"/>
        </w:rPr>
        <w:t>P.N. </w:t>
      </w:r>
      <w:r>
        <w:rPr>
          <w:sz w:val="18"/>
        </w:rPr>
        <w:t>Johannesen, 2003:  Geological  characterization  of  CO</w:t>
      </w:r>
      <w:r>
        <w:rPr>
          <w:position w:val="-5"/>
          <w:sz w:val="10"/>
        </w:rPr>
        <w:t>2 </w:t>
      </w:r>
      <w:r>
        <w:rPr>
          <w:sz w:val="18"/>
        </w:rPr>
        <w:t>storage sites: Lessons from Sleipner, northern North Sea. Proceedings of the 6</w:t>
      </w:r>
      <w:r>
        <w:rPr>
          <w:position w:val="6"/>
          <w:sz w:val="10"/>
        </w:rPr>
        <w:t>th </w:t>
      </w:r>
      <w:r>
        <w:rPr>
          <w:sz w:val="18"/>
        </w:rPr>
        <w:t>International Conference on Greenhouse Gas Control Technologies (GHGT-6), J. Gale and </w:t>
      </w:r>
      <w:r>
        <w:rPr>
          <w:spacing w:val="-12"/>
          <w:sz w:val="18"/>
        </w:rPr>
        <w:t>Y. </w:t>
      </w:r>
      <w:r>
        <w:rPr>
          <w:sz w:val="18"/>
        </w:rPr>
        <w:t>Kaya</w:t>
      </w:r>
      <w:r>
        <w:rPr>
          <w:spacing w:val="-17"/>
          <w:sz w:val="18"/>
        </w:rPr>
        <w:t> </w:t>
      </w:r>
      <w:r>
        <w:rPr>
          <w:sz w:val="18"/>
        </w:rPr>
        <w:t>(eds.), 1–4 October 2002, Kyoto, Japan, Pergamon, </w:t>
      </w:r>
      <w:r>
        <w:rPr>
          <w:spacing w:val="-3"/>
          <w:sz w:val="18"/>
        </w:rPr>
        <w:t>v.I,</w:t>
      </w:r>
      <w:r>
        <w:rPr>
          <w:spacing w:val="-12"/>
          <w:sz w:val="18"/>
        </w:rPr>
        <w:t> </w:t>
      </w:r>
      <w:r>
        <w:rPr>
          <w:sz w:val="18"/>
        </w:rPr>
        <w:t>321–326.</w:t>
      </w:r>
    </w:p>
    <w:p>
      <w:pPr>
        <w:spacing w:line="240" w:lineRule="exact" w:before="0"/>
        <w:ind w:left="894" w:right="1" w:hanging="341"/>
        <w:jc w:val="both"/>
        <w:rPr>
          <w:sz w:val="18"/>
        </w:rPr>
      </w:pPr>
      <w:r>
        <w:rPr>
          <w:b/>
          <w:sz w:val="18"/>
        </w:rPr>
        <w:t>Chadwick,</w:t>
      </w:r>
      <w:r>
        <w:rPr>
          <w:b/>
          <w:spacing w:val="-17"/>
          <w:sz w:val="18"/>
        </w:rPr>
        <w:t> </w:t>
      </w:r>
      <w:r>
        <w:rPr>
          <w:sz w:val="18"/>
        </w:rPr>
        <w:t>R.A.,</w:t>
      </w:r>
      <w:r>
        <w:rPr>
          <w:spacing w:val="-18"/>
          <w:sz w:val="18"/>
        </w:rPr>
        <w:t> </w:t>
      </w:r>
      <w:r>
        <w:rPr>
          <w:sz w:val="18"/>
        </w:rPr>
        <w:t>R.</w:t>
      </w:r>
      <w:r>
        <w:rPr>
          <w:spacing w:val="-27"/>
          <w:sz w:val="18"/>
        </w:rPr>
        <w:t> </w:t>
      </w:r>
      <w:r>
        <w:rPr>
          <w:sz w:val="18"/>
        </w:rPr>
        <w:t>Arts</w:t>
      </w:r>
      <w:r>
        <w:rPr>
          <w:spacing w:val="-17"/>
          <w:sz w:val="18"/>
        </w:rPr>
        <w:t> </w:t>
      </w:r>
      <w:r>
        <w:rPr>
          <w:sz w:val="18"/>
        </w:rPr>
        <w:t>and</w:t>
      </w:r>
      <w:r>
        <w:rPr>
          <w:spacing w:val="-18"/>
          <w:sz w:val="18"/>
        </w:rPr>
        <w:t> </w:t>
      </w:r>
      <w:r>
        <w:rPr>
          <w:sz w:val="18"/>
        </w:rPr>
        <w:t>O.</w:t>
      </w:r>
      <w:r>
        <w:rPr>
          <w:spacing w:val="-18"/>
          <w:sz w:val="18"/>
        </w:rPr>
        <w:t> </w:t>
      </w:r>
      <w:r>
        <w:rPr>
          <w:sz w:val="18"/>
        </w:rPr>
        <w:t>Eiken,</w:t>
      </w:r>
      <w:r>
        <w:rPr>
          <w:spacing w:val="-17"/>
          <w:sz w:val="18"/>
        </w:rPr>
        <w:t> </w:t>
      </w:r>
      <w:r>
        <w:rPr>
          <w:sz w:val="18"/>
        </w:rPr>
        <w:t>2005:</w:t>
      </w:r>
      <w:r>
        <w:rPr>
          <w:spacing w:val="-18"/>
          <w:sz w:val="18"/>
        </w:rPr>
        <w:t> </w:t>
      </w:r>
      <w:r>
        <w:rPr>
          <w:sz w:val="18"/>
        </w:rPr>
        <w:t>4D</w:t>
      </w:r>
      <w:r>
        <w:rPr>
          <w:spacing w:val="-17"/>
          <w:sz w:val="18"/>
        </w:rPr>
        <w:t> </w:t>
      </w:r>
      <w:r>
        <w:rPr>
          <w:sz w:val="18"/>
        </w:rPr>
        <w:t>seismic</w:t>
      </w:r>
      <w:r>
        <w:rPr>
          <w:spacing w:val="-18"/>
          <w:sz w:val="18"/>
        </w:rPr>
        <w:t> </w:t>
      </w:r>
      <w:r>
        <w:rPr>
          <w:sz w:val="18"/>
        </w:rPr>
        <w:t>quantification of a growing CO</w:t>
      </w:r>
      <w:r>
        <w:rPr>
          <w:position w:val="-5"/>
          <w:sz w:val="10"/>
        </w:rPr>
        <w:t>2 </w:t>
      </w:r>
      <w:r>
        <w:rPr>
          <w:sz w:val="18"/>
        </w:rPr>
        <w:t>plume at Sleipner, North Sea. In: A.G. Dore and</w:t>
      </w:r>
      <w:r>
        <w:rPr>
          <w:spacing w:val="-7"/>
          <w:sz w:val="18"/>
        </w:rPr>
        <w:t> </w:t>
      </w:r>
      <w:r>
        <w:rPr>
          <w:sz w:val="18"/>
        </w:rPr>
        <w:t>B.</w:t>
      </w:r>
      <w:r>
        <w:rPr>
          <w:spacing w:val="-8"/>
          <w:sz w:val="18"/>
        </w:rPr>
        <w:t> </w:t>
      </w:r>
      <w:r>
        <w:rPr>
          <w:sz w:val="18"/>
        </w:rPr>
        <w:t>Vining</w:t>
      </w:r>
      <w:r>
        <w:rPr>
          <w:spacing w:val="-7"/>
          <w:sz w:val="18"/>
        </w:rPr>
        <w:t> </w:t>
      </w:r>
      <w:r>
        <w:rPr>
          <w:sz w:val="18"/>
        </w:rPr>
        <w:t>(eds.),</w:t>
      </w:r>
      <w:r>
        <w:rPr>
          <w:spacing w:val="-6"/>
          <w:sz w:val="18"/>
        </w:rPr>
        <w:t> </w:t>
      </w:r>
      <w:r>
        <w:rPr>
          <w:sz w:val="18"/>
        </w:rPr>
        <w:t>Petroleum</w:t>
      </w:r>
      <w:r>
        <w:rPr>
          <w:spacing w:val="-6"/>
          <w:sz w:val="18"/>
        </w:rPr>
        <w:t> </w:t>
      </w:r>
      <w:r>
        <w:rPr>
          <w:sz w:val="18"/>
        </w:rPr>
        <w:t>Geology:</w:t>
      </w:r>
      <w:r>
        <w:rPr>
          <w:spacing w:val="-6"/>
          <w:sz w:val="18"/>
        </w:rPr>
        <w:t> </w:t>
      </w:r>
      <w:r>
        <w:rPr>
          <w:sz w:val="18"/>
        </w:rPr>
        <w:t>North</w:t>
      </w:r>
      <w:r>
        <w:rPr>
          <w:spacing w:val="-9"/>
          <w:sz w:val="18"/>
        </w:rPr>
        <w:t> </w:t>
      </w:r>
      <w:r>
        <w:rPr>
          <w:spacing w:val="-4"/>
          <w:sz w:val="18"/>
        </w:rPr>
        <w:t>West</w:t>
      </w:r>
      <w:r>
        <w:rPr>
          <w:spacing w:val="-6"/>
          <w:sz w:val="18"/>
        </w:rPr>
        <w:t> </w:t>
      </w:r>
      <w:r>
        <w:rPr>
          <w:sz w:val="18"/>
        </w:rPr>
        <w:t>Europe</w:t>
      </w:r>
      <w:r>
        <w:rPr>
          <w:spacing w:val="-6"/>
          <w:sz w:val="18"/>
        </w:rPr>
        <w:t> </w:t>
      </w:r>
      <w:r>
        <w:rPr>
          <w:sz w:val="18"/>
        </w:rPr>
        <w:t>and Global Perspectives - Proceedings of the 6</w:t>
      </w:r>
      <w:r>
        <w:rPr>
          <w:position w:val="6"/>
          <w:sz w:val="10"/>
        </w:rPr>
        <w:t>th </w:t>
      </w:r>
      <w:r>
        <w:rPr>
          <w:sz w:val="18"/>
        </w:rPr>
        <w:t>Petroleum Geology Conference. Petroleum Geology Conferences Ltd. Published by the Geological </w:t>
      </w:r>
      <w:r>
        <w:rPr>
          <w:spacing w:val="-3"/>
          <w:sz w:val="18"/>
        </w:rPr>
        <w:t>Society, </w:t>
      </w:r>
      <w:r>
        <w:rPr>
          <w:sz w:val="18"/>
        </w:rPr>
        <w:t>London, 15pp (in</w:t>
      </w:r>
      <w:r>
        <w:rPr>
          <w:spacing w:val="1"/>
          <w:sz w:val="18"/>
        </w:rPr>
        <w:t> </w:t>
      </w:r>
      <w:r>
        <w:rPr>
          <w:sz w:val="18"/>
        </w:rPr>
        <w:t>press).</w:t>
      </w:r>
    </w:p>
    <w:p>
      <w:pPr>
        <w:spacing w:line="240" w:lineRule="exact" w:before="0"/>
        <w:ind w:left="894" w:right="0" w:hanging="341"/>
        <w:jc w:val="both"/>
        <w:rPr>
          <w:sz w:val="18"/>
        </w:rPr>
      </w:pPr>
      <w:r>
        <w:rPr>
          <w:b/>
          <w:sz w:val="18"/>
        </w:rPr>
        <w:t>Chalaturnyk, </w:t>
      </w:r>
      <w:r>
        <w:rPr>
          <w:sz w:val="18"/>
        </w:rPr>
        <w:t>R. and </w:t>
      </w:r>
      <w:r>
        <w:rPr>
          <w:spacing w:val="-5"/>
          <w:sz w:val="18"/>
        </w:rPr>
        <w:t>W.D. </w:t>
      </w:r>
      <w:r>
        <w:rPr>
          <w:sz w:val="18"/>
        </w:rPr>
        <w:t>Gunter, 2005: Geological  storage  of CO</w:t>
      </w:r>
      <w:r>
        <w:rPr>
          <w:position w:val="-5"/>
          <w:sz w:val="10"/>
        </w:rPr>
        <w:t>2</w:t>
      </w:r>
      <w:r>
        <w:rPr>
          <w:sz w:val="18"/>
        </w:rPr>
        <w:t>: Time frames, monitoring  and  verification.  Proceedings  of the 7</w:t>
      </w:r>
      <w:r>
        <w:rPr>
          <w:position w:val="6"/>
          <w:sz w:val="10"/>
        </w:rPr>
        <w:t>th </w:t>
      </w:r>
      <w:r>
        <w:rPr>
          <w:sz w:val="18"/>
        </w:rPr>
        <w:t>International Conference on Greenhouse Gas Control Technologies (GHGT-7), September 5–9, 2004,</w:t>
      </w:r>
      <w:r>
        <w:rPr>
          <w:spacing w:val="25"/>
          <w:sz w:val="18"/>
        </w:rPr>
        <w:t> </w:t>
      </w:r>
      <w:r>
        <w:rPr>
          <w:spacing w:val="-3"/>
          <w:sz w:val="18"/>
        </w:rPr>
        <w:t>Vancouver,</w:t>
      </w:r>
    </w:p>
    <w:p>
      <w:pPr>
        <w:spacing w:before="24"/>
        <w:ind w:left="894" w:right="0" w:firstLine="0"/>
        <w:jc w:val="both"/>
        <w:rPr>
          <w:sz w:val="18"/>
        </w:rPr>
      </w:pPr>
      <w:r>
        <w:rPr>
          <w:sz w:val="18"/>
        </w:rPr>
        <w:t>Canada, v.I, 623-632.</w:t>
      </w:r>
    </w:p>
    <w:p>
      <w:pPr>
        <w:spacing w:line="278" w:lineRule="auto" w:before="33"/>
        <w:ind w:left="894" w:right="0" w:hanging="341"/>
        <w:jc w:val="both"/>
        <w:rPr>
          <w:sz w:val="18"/>
        </w:rPr>
      </w:pPr>
      <w:r>
        <w:rPr>
          <w:b/>
          <w:sz w:val="18"/>
        </w:rPr>
        <w:t>Chikatamarla, </w:t>
      </w:r>
      <w:r>
        <w:rPr>
          <w:sz w:val="18"/>
        </w:rPr>
        <w:t>L. and M.R. Bustin, 2003: Sequestration potential    of acid gases in </w:t>
      </w:r>
      <w:r>
        <w:rPr>
          <w:spacing w:val="-3"/>
          <w:sz w:val="18"/>
        </w:rPr>
        <w:t>Western </w:t>
      </w:r>
      <w:r>
        <w:rPr>
          <w:sz w:val="18"/>
        </w:rPr>
        <w:t>Canadian Coals. Proceedings of the 2003 International Coalbed Methane Symposium, University of Alabama, Tuscaloosa, AL, May 5–8, 2003, 16</w:t>
      </w:r>
      <w:r>
        <w:rPr>
          <w:spacing w:val="-20"/>
          <w:sz w:val="18"/>
        </w:rPr>
        <w:t> </w:t>
      </w:r>
      <w:r>
        <w:rPr>
          <w:sz w:val="18"/>
        </w:rPr>
        <w:t>pp.</w:t>
      </w:r>
    </w:p>
    <w:p>
      <w:pPr>
        <w:spacing w:line="207" w:lineRule="exact" w:before="0"/>
        <w:ind w:left="553" w:right="0" w:firstLine="0"/>
        <w:jc w:val="both"/>
        <w:rPr>
          <w:sz w:val="18"/>
        </w:rPr>
      </w:pPr>
      <w:r>
        <w:rPr>
          <w:b/>
          <w:sz w:val="18"/>
        </w:rPr>
        <w:t>Chiodini, </w:t>
      </w:r>
      <w:r>
        <w:rPr>
          <w:sz w:val="18"/>
        </w:rPr>
        <w:t>G., F. Frondini, C. Cardellini, D. Granieri, L. Marini and</w:t>
      </w:r>
    </w:p>
    <w:p>
      <w:pPr>
        <w:spacing w:line="240" w:lineRule="exact" w:before="9"/>
        <w:ind w:left="894" w:right="0" w:firstLine="0"/>
        <w:jc w:val="both"/>
        <w:rPr>
          <w:sz w:val="18"/>
        </w:rPr>
      </w:pPr>
      <w:r>
        <w:rPr>
          <w:sz w:val="18"/>
        </w:rPr>
        <w:t>G. Ventura, 2001: CO</w:t>
      </w:r>
      <w:r>
        <w:rPr>
          <w:position w:val="-5"/>
          <w:sz w:val="10"/>
        </w:rPr>
        <w:t>2 </w:t>
      </w:r>
      <w:r>
        <w:rPr>
          <w:sz w:val="18"/>
        </w:rPr>
        <w:t>degassing and energy release at Solfatara volcano, Campi Flegrei, Italy. </w:t>
      </w:r>
      <w:r>
        <w:rPr>
          <w:i/>
          <w:sz w:val="18"/>
        </w:rPr>
        <w:t>Journal of Geophysical Research</w:t>
      </w:r>
      <w:r>
        <w:rPr>
          <w:sz w:val="18"/>
        </w:rPr>
        <w:t>, </w:t>
      </w:r>
      <w:r>
        <w:rPr>
          <w:b/>
          <w:sz w:val="18"/>
        </w:rPr>
        <w:t>106</w:t>
      </w:r>
      <w:r>
        <w:rPr>
          <w:sz w:val="18"/>
        </w:rPr>
        <w:t>(B8), 16213–16221.</w:t>
      </w:r>
    </w:p>
    <w:p>
      <w:pPr>
        <w:spacing w:line="240" w:lineRule="exact" w:before="0"/>
        <w:ind w:left="894" w:right="0" w:hanging="341"/>
        <w:jc w:val="both"/>
        <w:rPr>
          <w:sz w:val="18"/>
        </w:rPr>
      </w:pPr>
      <w:r>
        <w:rPr>
          <w:b/>
          <w:sz w:val="18"/>
        </w:rPr>
        <w:t>Christman, </w:t>
      </w:r>
      <w:r>
        <w:rPr>
          <w:spacing w:val="-5"/>
          <w:sz w:val="18"/>
        </w:rPr>
        <w:t>P.G. </w:t>
      </w:r>
      <w:r>
        <w:rPr>
          <w:sz w:val="18"/>
        </w:rPr>
        <w:t>and S.B. Gorell, 1990: Comparison of laboratory and field-observed CO</w:t>
      </w:r>
      <w:r>
        <w:rPr>
          <w:position w:val="-5"/>
          <w:sz w:val="10"/>
        </w:rPr>
        <w:t>2 </w:t>
      </w:r>
      <w:r>
        <w:rPr>
          <w:sz w:val="18"/>
        </w:rPr>
        <w:t>tertiary injectivity. </w:t>
      </w:r>
      <w:r>
        <w:rPr>
          <w:i/>
          <w:sz w:val="18"/>
        </w:rPr>
        <w:t>Journal of Petroleum </w:t>
      </w:r>
      <w:r>
        <w:rPr>
          <w:i/>
          <w:sz w:val="18"/>
        </w:rPr>
        <w:t>Technology</w:t>
      </w:r>
      <w:r>
        <w:rPr>
          <w:sz w:val="18"/>
        </w:rPr>
        <w:t>, February</w:t>
      </w:r>
      <w:r>
        <w:rPr>
          <w:spacing w:val="-2"/>
          <w:sz w:val="18"/>
        </w:rPr>
        <w:t> </w:t>
      </w:r>
      <w:r>
        <w:rPr>
          <w:sz w:val="18"/>
        </w:rPr>
        <w:t>1990.</w:t>
      </w:r>
    </w:p>
    <w:p>
      <w:pPr>
        <w:spacing w:line="240" w:lineRule="exact" w:before="0"/>
        <w:ind w:left="894" w:right="1" w:hanging="341"/>
        <w:jc w:val="both"/>
        <w:rPr>
          <w:sz w:val="18"/>
        </w:rPr>
      </w:pPr>
      <w:r>
        <w:rPr>
          <w:b/>
          <w:spacing w:val="-3"/>
          <w:sz w:val="18"/>
        </w:rPr>
        <w:t>Chow, </w:t>
      </w:r>
      <w:r>
        <w:rPr>
          <w:sz w:val="18"/>
        </w:rPr>
        <w:t>J.C., J.G. </w:t>
      </w:r>
      <w:r>
        <w:rPr>
          <w:spacing w:val="-3"/>
          <w:sz w:val="18"/>
        </w:rPr>
        <w:t>Watson, </w:t>
      </w:r>
      <w:r>
        <w:rPr>
          <w:sz w:val="18"/>
        </w:rPr>
        <w:t>A. Herzog, S.M. Benson, G.M. </w:t>
      </w:r>
      <w:r>
        <w:rPr>
          <w:spacing w:val="-3"/>
          <w:sz w:val="18"/>
        </w:rPr>
        <w:t>Hidy, </w:t>
      </w:r>
      <w:r>
        <w:rPr>
          <w:spacing w:val="-5"/>
          <w:sz w:val="18"/>
        </w:rPr>
        <w:t>W.D. </w:t>
      </w:r>
      <w:r>
        <w:rPr>
          <w:sz w:val="18"/>
        </w:rPr>
        <w:t>Gunter, S.J. Penkala and C.M. White, 2003: Separation and capture of CO</w:t>
      </w:r>
      <w:r>
        <w:rPr>
          <w:position w:val="-5"/>
          <w:sz w:val="10"/>
        </w:rPr>
        <w:t>2 </w:t>
      </w:r>
      <w:r>
        <w:rPr>
          <w:sz w:val="18"/>
        </w:rPr>
        <w:t>from large stationary sources and sequestration  in</w:t>
      </w:r>
      <w:r>
        <w:rPr>
          <w:spacing w:val="-9"/>
          <w:sz w:val="18"/>
        </w:rPr>
        <w:t> </w:t>
      </w:r>
      <w:r>
        <w:rPr>
          <w:sz w:val="18"/>
        </w:rPr>
        <w:t>geological</w:t>
      </w:r>
      <w:r>
        <w:rPr>
          <w:spacing w:val="-8"/>
          <w:sz w:val="18"/>
        </w:rPr>
        <w:t> </w:t>
      </w:r>
      <w:r>
        <w:rPr>
          <w:sz w:val="18"/>
        </w:rPr>
        <w:t>formations.</w:t>
      </w:r>
      <w:r>
        <w:rPr>
          <w:spacing w:val="-17"/>
          <w:sz w:val="18"/>
        </w:rPr>
        <w:t> </w:t>
      </w:r>
      <w:r>
        <w:rPr>
          <w:sz w:val="18"/>
        </w:rPr>
        <w:t>Air</w:t>
      </w:r>
      <w:r>
        <w:rPr>
          <w:spacing w:val="-8"/>
          <w:sz w:val="18"/>
        </w:rPr>
        <w:t> </w:t>
      </w:r>
      <w:r>
        <w:rPr>
          <w:sz w:val="18"/>
        </w:rPr>
        <w:t>and</w:t>
      </w:r>
      <w:r>
        <w:rPr>
          <w:spacing w:val="-11"/>
          <w:sz w:val="18"/>
        </w:rPr>
        <w:t> </w:t>
      </w:r>
      <w:r>
        <w:rPr>
          <w:spacing w:val="-3"/>
          <w:sz w:val="18"/>
        </w:rPr>
        <w:t>Waste</w:t>
      </w:r>
      <w:r>
        <w:rPr>
          <w:spacing w:val="-8"/>
          <w:sz w:val="18"/>
        </w:rPr>
        <w:t> </w:t>
      </w:r>
      <w:r>
        <w:rPr>
          <w:sz w:val="18"/>
        </w:rPr>
        <w:t>Management</w:t>
      </w:r>
      <w:r>
        <w:rPr>
          <w:spacing w:val="-17"/>
          <w:sz w:val="18"/>
        </w:rPr>
        <w:t> </w:t>
      </w:r>
      <w:r>
        <w:rPr>
          <w:sz w:val="18"/>
        </w:rPr>
        <w:t>Association </w:t>
      </w:r>
      <w:r>
        <w:rPr>
          <w:spacing w:val="-3"/>
          <w:sz w:val="18"/>
        </w:rPr>
        <w:t>(AWMA) </w:t>
      </w:r>
      <w:r>
        <w:rPr>
          <w:i/>
          <w:sz w:val="18"/>
        </w:rPr>
        <w:t>Critical Review Papers, </w:t>
      </w:r>
      <w:r>
        <w:rPr>
          <w:b/>
          <w:sz w:val="18"/>
        </w:rPr>
        <w:t>53</w:t>
      </w:r>
      <w:r>
        <w:rPr>
          <w:sz w:val="18"/>
        </w:rPr>
        <w:t>(10), October 2003.http:// </w:t>
      </w:r>
      <w:hyperlink r:id="rId264">
        <w:r>
          <w:rPr>
            <w:sz w:val="18"/>
          </w:rPr>
          <w:t>www.awma.org/journal/past-issue.asp?month=10&amp;year=2003.</w:t>
        </w:r>
      </w:hyperlink>
    </w:p>
    <w:p>
      <w:pPr>
        <w:spacing w:line="278" w:lineRule="auto" w:before="24"/>
        <w:ind w:left="894" w:right="0" w:hanging="341"/>
        <w:jc w:val="both"/>
        <w:rPr>
          <w:sz w:val="18"/>
        </w:rPr>
      </w:pPr>
      <w:r>
        <w:rPr>
          <w:b/>
          <w:sz w:val="18"/>
        </w:rPr>
        <w:t>Clarkson, </w:t>
      </w:r>
      <w:r>
        <w:rPr>
          <w:sz w:val="18"/>
        </w:rPr>
        <w:t>C.R. and R.M. Bustin,  1997:  The  effect  of  methane  gas concentration, coal composition and pore  structure  upon gas transport in Canadian coals: Implications for reservoir characterization. Proceedings of International Coalbed Methane Symposium,</w:t>
      </w:r>
      <w:r>
        <w:rPr>
          <w:spacing w:val="-26"/>
          <w:sz w:val="18"/>
        </w:rPr>
        <w:t> </w:t>
      </w:r>
      <w:r>
        <w:rPr>
          <w:sz w:val="18"/>
        </w:rPr>
        <w:t>12–17</w:t>
      </w:r>
      <w:r>
        <w:rPr>
          <w:spacing w:val="-25"/>
          <w:sz w:val="18"/>
        </w:rPr>
        <w:t> </w:t>
      </w:r>
      <w:r>
        <w:rPr>
          <w:sz w:val="18"/>
        </w:rPr>
        <w:t>May</w:t>
      </w:r>
      <w:r>
        <w:rPr>
          <w:spacing w:val="-25"/>
          <w:sz w:val="18"/>
        </w:rPr>
        <w:t> </w:t>
      </w:r>
      <w:r>
        <w:rPr>
          <w:sz w:val="18"/>
        </w:rPr>
        <w:t>1997,</w:t>
      </w:r>
      <w:r>
        <w:rPr>
          <w:spacing w:val="-26"/>
          <w:sz w:val="18"/>
        </w:rPr>
        <w:t> </w:t>
      </w:r>
      <w:r>
        <w:rPr>
          <w:sz w:val="18"/>
        </w:rPr>
        <w:t>University</w:t>
      </w:r>
      <w:r>
        <w:rPr>
          <w:spacing w:val="-25"/>
          <w:sz w:val="18"/>
        </w:rPr>
        <w:t> </w:t>
      </w:r>
      <w:r>
        <w:rPr>
          <w:sz w:val="18"/>
        </w:rPr>
        <w:t>of</w:t>
      </w:r>
      <w:r>
        <w:rPr>
          <w:spacing w:val="-34"/>
          <w:sz w:val="18"/>
        </w:rPr>
        <w:t> </w:t>
      </w:r>
      <w:r>
        <w:rPr>
          <w:sz w:val="18"/>
        </w:rPr>
        <w:t>Alabama,</w:t>
      </w:r>
      <w:r>
        <w:rPr>
          <w:spacing w:val="-27"/>
          <w:sz w:val="18"/>
        </w:rPr>
        <w:t> </w:t>
      </w:r>
      <w:r>
        <w:rPr>
          <w:sz w:val="18"/>
        </w:rPr>
        <w:t>Tuscaloosa, AL, pp.</w:t>
      </w:r>
      <w:r>
        <w:rPr>
          <w:spacing w:val="-2"/>
          <w:sz w:val="18"/>
        </w:rPr>
        <w:t> </w:t>
      </w:r>
      <w:r>
        <w:rPr>
          <w:sz w:val="18"/>
        </w:rPr>
        <w:t>1–11.</w:t>
      </w:r>
    </w:p>
    <w:p>
      <w:pPr>
        <w:spacing w:line="230" w:lineRule="auto" w:before="4"/>
        <w:ind w:left="894" w:right="0" w:hanging="341"/>
        <w:jc w:val="both"/>
        <w:rPr>
          <w:sz w:val="18"/>
        </w:rPr>
      </w:pPr>
      <w:r>
        <w:rPr>
          <w:b/>
          <w:sz w:val="18"/>
        </w:rPr>
        <w:t>Clemens, </w:t>
      </w:r>
      <w:r>
        <w:rPr>
          <w:spacing w:val="-7"/>
          <w:sz w:val="18"/>
        </w:rPr>
        <w:t>T. </w:t>
      </w:r>
      <w:r>
        <w:rPr>
          <w:sz w:val="18"/>
        </w:rPr>
        <w:t>and K. Wit, 2002: CO</w:t>
      </w:r>
      <w:r>
        <w:rPr>
          <w:position w:val="-5"/>
          <w:sz w:val="10"/>
        </w:rPr>
        <w:t>2 </w:t>
      </w:r>
      <w:r>
        <w:rPr>
          <w:sz w:val="18"/>
        </w:rPr>
        <w:t>enhanced gas recovery studied for</w:t>
      </w:r>
      <w:r>
        <w:rPr>
          <w:spacing w:val="18"/>
          <w:sz w:val="18"/>
        </w:rPr>
        <w:t> </w:t>
      </w:r>
      <w:r>
        <w:rPr>
          <w:sz w:val="18"/>
        </w:rPr>
        <w:t>an</w:t>
      </w:r>
      <w:r>
        <w:rPr>
          <w:spacing w:val="18"/>
          <w:sz w:val="18"/>
        </w:rPr>
        <w:t> </w:t>
      </w:r>
      <w:r>
        <w:rPr>
          <w:sz w:val="18"/>
        </w:rPr>
        <w:t>example</w:t>
      </w:r>
      <w:r>
        <w:rPr>
          <w:spacing w:val="17"/>
          <w:sz w:val="18"/>
        </w:rPr>
        <w:t> </w:t>
      </w:r>
      <w:r>
        <w:rPr>
          <w:sz w:val="18"/>
        </w:rPr>
        <w:t>gas</w:t>
      </w:r>
      <w:r>
        <w:rPr>
          <w:spacing w:val="18"/>
          <w:sz w:val="18"/>
        </w:rPr>
        <w:t> </w:t>
      </w:r>
      <w:r>
        <w:rPr>
          <w:sz w:val="18"/>
        </w:rPr>
        <w:t>reservoir,</w:t>
      </w:r>
      <w:r>
        <w:rPr>
          <w:spacing w:val="18"/>
          <w:sz w:val="18"/>
        </w:rPr>
        <w:t> </w:t>
      </w:r>
      <w:r>
        <w:rPr>
          <w:sz w:val="18"/>
        </w:rPr>
        <w:t>SPE</w:t>
      </w:r>
      <w:r>
        <w:rPr>
          <w:spacing w:val="18"/>
          <w:sz w:val="18"/>
        </w:rPr>
        <w:t> </w:t>
      </w:r>
      <w:r>
        <w:rPr>
          <w:sz w:val="18"/>
        </w:rPr>
        <w:t>77348,</w:t>
      </w:r>
      <w:r>
        <w:rPr>
          <w:spacing w:val="18"/>
          <w:sz w:val="18"/>
        </w:rPr>
        <w:t> </w:t>
      </w:r>
      <w:r>
        <w:rPr>
          <w:sz w:val="18"/>
        </w:rPr>
        <w:t>presented</w:t>
      </w:r>
      <w:r>
        <w:rPr>
          <w:spacing w:val="18"/>
          <w:sz w:val="18"/>
        </w:rPr>
        <w:t> </w:t>
      </w:r>
      <w:r>
        <w:rPr>
          <w:sz w:val="18"/>
        </w:rPr>
        <w:t>at</w:t>
      </w:r>
      <w:r>
        <w:rPr>
          <w:spacing w:val="18"/>
          <w:sz w:val="18"/>
        </w:rPr>
        <w:t> </w:t>
      </w:r>
      <w:r>
        <w:rPr>
          <w:sz w:val="18"/>
        </w:rPr>
        <w:t>the</w:t>
      </w:r>
      <w:r>
        <w:rPr>
          <w:spacing w:val="18"/>
          <w:sz w:val="18"/>
        </w:rPr>
        <w:t> </w:t>
      </w:r>
      <w:r>
        <w:rPr>
          <w:spacing w:val="-5"/>
          <w:sz w:val="18"/>
        </w:rPr>
        <w:t>SPE</w:t>
      </w:r>
    </w:p>
    <w:p>
      <w:pPr>
        <w:spacing w:line="278" w:lineRule="auto" w:before="35"/>
        <w:ind w:left="894" w:right="1" w:firstLine="0"/>
        <w:jc w:val="both"/>
        <w:rPr>
          <w:sz w:val="18"/>
        </w:rPr>
      </w:pPr>
      <w:r>
        <w:rPr>
          <w:sz w:val="18"/>
        </w:rPr>
        <w:t>Annual Technical Meeting and Conference, San Antonio, Texas, 29 September - 2 October 2002.</w:t>
      </w:r>
    </w:p>
    <w:p>
      <w:pPr>
        <w:spacing w:line="278" w:lineRule="auto" w:before="0"/>
        <w:ind w:left="894" w:right="0" w:hanging="341"/>
        <w:jc w:val="both"/>
        <w:rPr>
          <w:sz w:val="18"/>
        </w:rPr>
      </w:pPr>
      <w:r>
        <w:rPr>
          <w:b/>
          <w:sz w:val="18"/>
        </w:rPr>
        <w:t>Clesceri, </w:t>
      </w:r>
      <w:r>
        <w:rPr>
          <w:sz w:val="18"/>
        </w:rPr>
        <w:t>L.S., A.E. Greenberg and A.D. Eaton (eds.), 1998: Standard Methods for the Examination of Water and Wastewater, 20</w:t>
      </w:r>
      <w:r>
        <w:rPr>
          <w:position w:val="6"/>
          <w:sz w:val="10"/>
        </w:rPr>
        <w:t>th </w:t>
      </w:r>
      <w:r>
        <w:rPr>
          <w:sz w:val="18"/>
        </w:rPr>
        <w:t>Edition. American Public Health Association, Washington, DC, January 1998.</w:t>
      </w:r>
    </w:p>
    <w:p>
      <w:pPr>
        <w:spacing w:line="207" w:lineRule="exact" w:before="0"/>
        <w:ind w:left="553" w:right="0" w:firstLine="0"/>
        <w:jc w:val="both"/>
        <w:rPr>
          <w:sz w:val="18"/>
        </w:rPr>
      </w:pPr>
      <w:r>
        <w:rPr>
          <w:b/>
          <w:sz w:val="18"/>
        </w:rPr>
        <w:t>Cook, </w:t>
      </w:r>
      <w:r>
        <w:rPr>
          <w:sz w:val="18"/>
        </w:rPr>
        <w:t>P.J., 1999: Sustainability and nonrenewable resources.</w:t>
      </w:r>
    </w:p>
    <w:p>
      <w:pPr>
        <w:spacing w:before="33"/>
        <w:ind w:left="894" w:right="0" w:firstLine="0"/>
        <w:jc w:val="both"/>
        <w:rPr>
          <w:sz w:val="18"/>
        </w:rPr>
      </w:pPr>
      <w:r>
        <w:rPr>
          <w:i/>
          <w:sz w:val="18"/>
        </w:rPr>
        <w:t>Environmental Geosciences</w:t>
      </w:r>
      <w:r>
        <w:rPr>
          <w:sz w:val="18"/>
        </w:rPr>
        <w:t>, </w:t>
      </w:r>
      <w:r>
        <w:rPr>
          <w:b/>
          <w:sz w:val="18"/>
        </w:rPr>
        <w:t>6</w:t>
      </w:r>
      <w:r>
        <w:rPr>
          <w:sz w:val="18"/>
        </w:rPr>
        <w:t>(4), 185–190.</w:t>
      </w:r>
    </w:p>
    <w:p>
      <w:pPr>
        <w:spacing w:line="278" w:lineRule="auto" w:before="33"/>
        <w:ind w:left="894" w:right="1" w:hanging="341"/>
        <w:jc w:val="both"/>
        <w:rPr>
          <w:sz w:val="18"/>
        </w:rPr>
      </w:pPr>
      <w:r>
        <w:rPr>
          <w:b/>
          <w:sz w:val="18"/>
        </w:rPr>
        <w:t>Cook, </w:t>
      </w:r>
      <w:r>
        <w:rPr>
          <w:spacing w:val="-5"/>
          <w:sz w:val="18"/>
        </w:rPr>
        <w:t>P.J. </w:t>
      </w:r>
      <w:r>
        <w:rPr>
          <w:sz w:val="18"/>
        </w:rPr>
        <w:t>and C.M. Carleton (eds.), 2000: Continental Shelf Limits: The</w:t>
      </w:r>
      <w:r>
        <w:rPr>
          <w:spacing w:val="-7"/>
          <w:sz w:val="18"/>
        </w:rPr>
        <w:t> </w:t>
      </w:r>
      <w:r>
        <w:rPr>
          <w:sz w:val="18"/>
        </w:rPr>
        <w:t>Scientific</w:t>
      </w:r>
      <w:r>
        <w:rPr>
          <w:spacing w:val="-8"/>
          <w:sz w:val="18"/>
        </w:rPr>
        <w:t> </w:t>
      </w:r>
      <w:r>
        <w:rPr>
          <w:sz w:val="18"/>
        </w:rPr>
        <w:t>and</w:t>
      </w:r>
      <w:r>
        <w:rPr>
          <w:spacing w:val="-6"/>
          <w:sz w:val="18"/>
        </w:rPr>
        <w:t> </w:t>
      </w:r>
      <w:r>
        <w:rPr>
          <w:sz w:val="18"/>
        </w:rPr>
        <w:t>Legal</w:t>
      </w:r>
      <w:r>
        <w:rPr>
          <w:spacing w:val="-8"/>
          <w:sz w:val="18"/>
        </w:rPr>
        <w:t> </w:t>
      </w:r>
      <w:r>
        <w:rPr>
          <w:sz w:val="18"/>
        </w:rPr>
        <w:t>Interface.</w:t>
      </w:r>
      <w:r>
        <w:rPr>
          <w:spacing w:val="-8"/>
          <w:sz w:val="18"/>
        </w:rPr>
        <w:t> </w:t>
      </w:r>
      <w:r>
        <w:rPr>
          <w:sz w:val="18"/>
        </w:rPr>
        <w:t>Oxford</w:t>
      </w:r>
      <w:r>
        <w:rPr>
          <w:spacing w:val="-7"/>
          <w:sz w:val="18"/>
        </w:rPr>
        <w:t> </w:t>
      </w:r>
      <w:r>
        <w:rPr>
          <w:sz w:val="18"/>
        </w:rPr>
        <w:t>University</w:t>
      </w:r>
      <w:r>
        <w:rPr>
          <w:spacing w:val="-8"/>
          <w:sz w:val="18"/>
        </w:rPr>
        <w:t> </w:t>
      </w:r>
      <w:r>
        <w:rPr>
          <w:sz w:val="18"/>
        </w:rPr>
        <w:t>Press,</w:t>
      </w:r>
      <w:r>
        <w:rPr>
          <w:spacing w:val="-7"/>
          <w:sz w:val="18"/>
        </w:rPr>
        <w:t> </w:t>
      </w:r>
      <w:r>
        <w:rPr>
          <w:sz w:val="18"/>
        </w:rPr>
        <w:t>New </w:t>
      </w:r>
      <w:r>
        <w:rPr>
          <w:spacing w:val="-4"/>
          <w:sz w:val="18"/>
        </w:rPr>
        <w:t>York, </w:t>
      </w:r>
      <w:r>
        <w:rPr>
          <w:sz w:val="18"/>
        </w:rPr>
        <w:t>360</w:t>
      </w:r>
      <w:r>
        <w:rPr>
          <w:spacing w:val="4"/>
          <w:sz w:val="18"/>
        </w:rPr>
        <w:t> </w:t>
      </w:r>
      <w:r>
        <w:rPr>
          <w:sz w:val="18"/>
        </w:rPr>
        <w:t>pp.</w:t>
      </w:r>
    </w:p>
    <w:p>
      <w:pPr>
        <w:spacing w:line="278" w:lineRule="auto" w:before="67"/>
        <w:ind w:left="582" w:right="135" w:hanging="341"/>
        <w:jc w:val="both"/>
        <w:rPr>
          <w:sz w:val="18"/>
        </w:rPr>
      </w:pPr>
      <w:r>
        <w:rPr/>
        <w:br w:type="column"/>
      </w:r>
      <w:r>
        <w:rPr>
          <w:b/>
          <w:sz w:val="18"/>
        </w:rPr>
        <w:t>Cook, </w:t>
      </w:r>
      <w:r>
        <w:rPr>
          <w:sz w:val="18"/>
        </w:rPr>
        <w:t>A.C., L. J. Hainsworth, M.L. </w:t>
      </w:r>
      <w:r>
        <w:rPr>
          <w:spacing w:val="-3"/>
          <w:sz w:val="18"/>
        </w:rPr>
        <w:t>Sorey, </w:t>
      </w:r>
      <w:r>
        <w:rPr>
          <w:spacing w:val="-5"/>
          <w:sz w:val="18"/>
        </w:rPr>
        <w:t>W.C. </w:t>
      </w:r>
      <w:r>
        <w:rPr>
          <w:sz w:val="18"/>
        </w:rPr>
        <w:t>Evans and J.R. Southon,</w:t>
      </w:r>
      <w:r>
        <w:rPr>
          <w:spacing w:val="-5"/>
          <w:sz w:val="18"/>
        </w:rPr>
        <w:t> </w:t>
      </w:r>
      <w:r>
        <w:rPr>
          <w:sz w:val="18"/>
        </w:rPr>
        <w:t>2001:</w:t>
      </w:r>
      <w:r>
        <w:rPr>
          <w:spacing w:val="-4"/>
          <w:sz w:val="18"/>
        </w:rPr>
        <w:t> </w:t>
      </w:r>
      <w:r>
        <w:rPr>
          <w:sz w:val="18"/>
        </w:rPr>
        <w:t>Radiocarbon</w:t>
      </w:r>
      <w:r>
        <w:rPr>
          <w:spacing w:val="-6"/>
          <w:sz w:val="18"/>
        </w:rPr>
        <w:t> </w:t>
      </w:r>
      <w:r>
        <w:rPr>
          <w:sz w:val="18"/>
        </w:rPr>
        <w:t>studies</w:t>
      </w:r>
      <w:r>
        <w:rPr>
          <w:spacing w:val="-5"/>
          <w:sz w:val="18"/>
        </w:rPr>
        <w:t> </w:t>
      </w:r>
      <w:r>
        <w:rPr>
          <w:sz w:val="18"/>
        </w:rPr>
        <w:t>of</w:t>
      </w:r>
      <w:r>
        <w:rPr>
          <w:spacing w:val="-4"/>
          <w:sz w:val="18"/>
        </w:rPr>
        <w:t> </w:t>
      </w:r>
      <w:r>
        <w:rPr>
          <w:sz w:val="18"/>
        </w:rPr>
        <w:t>plant</w:t>
      </w:r>
      <w:r>
        <w:rPr>
          <w:spacing w:val="-6"/>
          <w:sz w:val="18"/>
        </w:rPr>
        <w:t> </w:t>
      </w:r>
      <w:r>
        <w:rPr>
          <w:sz w:val="18"/>
        </w:rPr>
        <w:t>leaves</w:t>
      </w:r>
      <w:r>
        <w:rPr>
          <w:spacing w:val="-4"/>
          <w:sz w:val="18"/>
        </w:rPr>
        <w:t> </w:t>
      </w:r>
      <w:r>
        <w:rPr>
          <w:sz w:val="18"/>
        </w:rPr>
        <w:t>and</w:t>
      </w:r>
      <w:r>
        <w:rPr>
          <w:spacing w:val="-4"/>
          <w:sz w:val="18"/>
        </w:rPr>
        <w:t> </w:t>
      </w:r>
      <w:r>
        <w:rPr>
          <w:sz w:val="18"/>
        </w:rPr>
        <w:t>tree</w:t>
      </w:r>
      <w:r>
        <w:rPr>
          <w:spacing w:val="-5"/>
          <w:sz w:val="18"/>
        </w:rPr>
        <w:t> </w:t>
      </w:r>
      <w:r>
        <w:rPr>
          <w:sz w:val="18"/>
        </w:rPr>
        <w:t>rings from Mammoth Mountain, California: a long-term record of magmatic CO</w:t>
      </w:r>
      <w:r>
        <w:rPr>
          <w:position w:val="-5"/>
          <w:sz w:val="10"/>
        </w:rPr>
        <w:t>2 </w:t>
      </w:r>
      <w:r>
        <w:rPr>
          <w:sz w:val="18"/>
        </w:rPr>
        <w:t>release. </w:t>
      </w:r>
      <w:r>
        <w:rPr>
          <w:i/>
          <w:sz w:val="18"/>
        </w:rPr>
        <w:t>Chemical Geology</w:t>
      </w:r>
      <w:r>
        <w:rPr>
          <w:sz w:val="18"/>
        </w:rPr>
        <w:t>,</w:t>
      </w:r>
      <w:r>
        <w:rPr>
          <w:spacing w:val="-11"/>
          <w:sz w:val="18"/>
        </w:rPr>
        <w:t> </w:t>
      </w:r>
      <w:r>
        <w:rPr>
          <w:b/>
          <w:sz w:val="18"/>
        </w:rPr>
        <w:t>177</w:t>
      </w:r>
      <w:r>
        <w:rPr>
          <w:sz w:val="18"/>
        </w:rPr>
        <w:t>(1–2),117–131.</w:t>
      </w:r>
    </w:p>
    <w:p>
      <w:pPr>
        <w:spacing w:line="177" w:lineRule="auto" w:before="0"/>
        <w:ind w:left="242" w:right="0" w:firstLine="0"/>
        <w:jc w:val="both"/>
        <w:rPr>
          <w:sz w:val="18"/>
        </w:rPr>
      </w:pPr>
      <w:r>
        <w:rPr>
          <w:b/>
          <w:sz w:val="18"/>
        </w:rPr>
        <w:t>Crolet, </w:t>
      </w:r>
      <w:r>
        <w:rPr>
          <w:sz w:val="18"/>
        </w:rPr>
        <w:t>J.-L., 1983: Acid corrosion in wells (CO</w:t>
      </w:r>
      <w:r>
        <w:rPr>
          <w:position w:val="-5"/>
          <w:sz w:val="10"/>
        </w:rPr>
        <w:t>2</w:t>
      </w:r>
      <w:r>
        <w:rPr>
          <w:sz w:val="18"/>
        </w:rPr>
        <w:t>, H</w:t>
      </w:r>
      <w:r>
        <w:rPr>
          <w:position w:val="-5"/>
          <w:sz w:val="10"/>
        </w:rPr>
        <w:t>2</w:t>
      </w:r>
      <w:r>
        <w:rPr>
          <w:sz w:val="18"/>
        </w:rPr>
        <w:t>S): Metallurgical</w:t>
      </w:r>
    </w:p>
    <w:p>
      <w:pPr>
        <w:spacing w:line="278" w:lineRule="auto" w:before="1"/>
        <w:ind w:left="582" w:right="0" w:firstLine="0"/>
        <w:jc w:val="left"/>
        <w:rPr>
          <w:sz w:val="18"/>
        </w:rPr>
      </w:pPr>
      <w:r>
        <w:rPr>
          <w:sz w:val="18"/>
        </w:rPr>
        <w:t>aspects. </w:t>
      </w:r>
      <w:r>
        <w:rPr>
          <w:i/>
          <w:sz w:val="18"/>
        </w:rPr>
        <w:t>Journal of Petroleum Technology</w:t>
      </w:r>
      <w:r>
        <w:rPr>
          <w:sz w:val="18"/>
        </w:rPr>
        <w:t>, August 1983, 1553–1558.</w:t>
      </w:r>
    </w:p>
    <w:p>
      <w:pPr>
        <w:spacing w:line="245" w:lineRule="exact" w:before="0"/>
        <w:ind w:left="582" w:right="0" w:hanging="341"/>
        <w:jc w:val="left"/>
        <w:rPr>
          <w:sz w:val="10"/>
        </w:rPr>
      </w:pPr>
      <w:r>
        <w:rPr>
          <w:b/>
          <w:spacing w:val="-1"/>
          <w:sz w:val="18"/>
        </w:rPr>
        <w:t>CRUS</w:t>
      </w:r>
      <w:r>
        <w:rPr>
          <w:b/>
          <w:w w:val="200"/>
          <w:sz w:val="18"/>
        </w:rPr>
        <w:t>t</w:t>
      </w:r>
      <w:r>
        <w:rPr>
          <w:b/>
          <w:spacing w:val="2"/>
          <w:sz w:val="18"/>
        </w:rPr>
        <w:t> </w:t>
      </w:r>
      <w:r>
        <w:rPr>
          <w:b/>
          <w:sz w:val="18"/>
        </w:rPr>
        <w:t>Legal</w:t>
      </w:r>
      <w:r>
        <w:rPr>
          <w:b/>
          <w:spacing w:val="2"/>
          <w:sz w:val="18"/>
        </w:rPr>
        <w:t> </w:t>
      </w:r>
      <w:r>
        <w:rPr>
          <w:b/>
          <w:spacing w:val="-17"/>
          <w:w w:val="200"/>
          <w:sz w:val="18"/>
        </w:rPr>
        <w:t>t</w:t>
      </w:r>
      <w:r>
        <w:rPr>
          <w:b/>
          <w:sz w:val="18"/>
        </w:rPr>
        <w:t>ask</w:t>
      </w:r>
      <w:r>
        <w:rPr>
          <w:b/>
          <w:spacing w:val="5"/>
          <w:sz w:val="18"/>
        </w:rPr>
        <w:t> </w:t>
      </w:r>
      <w:r>
        <w:rPr>
          <w:b/>
          <w:sz w:val="18"/>
        </w:rPr>
        <w:t>Fo</w:t>
      </w:r>
      <w:r>
        <w:rPr>
          <w:b/>
          <w:spacing w:val="-4"/>
          <w:sz w:val="18"/>
        </w:rPr>
        <w:t>r</w:t>
      </w:r>
      <w:r>
        <w:rPr>
          <w:b/>
          <w:sz w:val="18"/>
        </w:rPr>
        <w:t>ce,</w:t>
      </w:r>
      <w:r>
        <w:rPr>
          <w:b/>
          <w:spacing w:val="5"/>
          <w:sz w:val="18"/>
        </w:rPr>
        <w:t> </w:t>
      </w:r>
      <w:r>
        <w:rPr>
          <w:sz w:val="18"/>
        </w:rPr>
        <w:t>2001:</w:t>
      </w:r>
      <w:r>
        <w:rPr>
          <w:spacing w:val="5"/>
          <w:sz w:val="18"/>
        </w:rPr>
        <w:t> </w:t>
      </w:r>
      <w:r>
        <w:rPr>
          <w:sz w:val="18"/>
        </w:rPr>
        <w:t>Legal</w:t>
      </w:r>
      <w:r>
        <w:rPr>
          <w:spacing w:val="5"/>
          <w:sz w:val="18"/>
        </w:rPr>
        <w:t> </w:t>
      </w:r>
      <w:r>
        <w:rPr>
          <w:sz w:val="18"/>
        </w:rPr>
        <w:t>aspects</w:t>
      </w:r>
      <w:r>
        <w:rPr>
          <w:spacing w:val="5"/>
          <w:sz w:val="18"/>
        </w:rPr>
        <w:t> </w:t>
      </w:r>
      <w:r>
        <w:rPr>
          <w:sz w:val="18"/>
        </w:rPr>
        <w:t>of</w:t>
      </w:r>
      <w:r>
        <w:rPr>
          <w:spacing w:val="5"/>
          <w:sz w:val="18"/>
        </w:rPr>
        <w:t> </w:t>
      </w:r>
      <w:r>
        <w:rPr>
          <w:sz w:val="18"/>
        </w:rPr>
        <w:t>unde</w:t>
      </w:r>
      <w:r>
        <w:rPr>
          <w:spacing w:val="-4"/>
          <w:sz w:val="18"/>
        </w:rPr>
        <w:t>r</w:t>
      </w:r>
      <w:r>
        <w:rPr>
          <w:sz w:val="18"/>
        </w:rPr>
        <w:t>ground</w:t>
      </w:r>
      <w:r>
        <w:rPr>
          <w:spacing w:val="5"/>
          <w:sz w:val="18"/>
        </w:rPr>
        <w:t> </w:t>
      </w:r>
      <w:r>
        <w:rPr>
          <w:sz w:val="18"/>
        </w:rPr>
        <w:t>C</w:t>
      </w:r>
      <w:r>
        <w:rPr>
          <w:spacing w:val="-1"/>
          <w:sz w:val="18"/>
        </w:rPr>
        <w:t>O</w:t>
      </w:r>
      <w:r>
        <w:rPr>
          <w:w w:val="104"/>
          <w:position w:val="-5"/>
          <w:sz w:val="10"/>
        </w:rPr>
        <w:t>2</w:t>
      </w:r>
    </w:p>
    <w:p>
      <w:pPr>
        <w:spacing w:line="278" w:lineRule="auto" w:before="0"/>
        <w:ind w:left="582" w:right="51" w:firstLine="0"/>
        <w:jc w:val="left"/>
        <w:rPr>
          <w:sz w:val="18"/>
        </w:rPr>
      </w:pPr>
      <w:r>
        <w:rPr>
          <w:sz w:val="18"/>
        </w:rPr>
        <w:t>storage. Ministry of Economic Affairs, the Netherlands. Retrieved from </w:t>
      </w:r>
      <w:hyperlink r:id="rId265">
        <w:r>
          <w:rPr>
            <w:sz w:val="18"/>
          </w:rPr>
          <w:t>www.CO</w:t>
        </w:r>
        <w:r>
          <w:rPr>
            <w:position w:val="-5"/>
            <w:sz w:val="10"/>
          </w:rPr>
          <w:t>2</w:t>
        </w:r>
        <w:r>
          <w:rPr>
            <w:sz w:val="18"/>
          </w:rPr>
          <w:t>-reductie.nl.</w:t>
        </w:r>
      </w:hyperlink>
      <w:r>
        <w:rPr>
          <w:sz w:val="18"/>
        </w:rPr>
        <w:t> on August 19, 2003.</w:t>
      </w:r>
    </w:p>
    <w:p>
      <w:pPr>
        <w:spacing w:line="164" w:lineRule="exact" w:before="0"/>
        <w:ind w:left="242" w:right="0" w:firstLine="0"/>
        <w:jc w:val="left"/>
        <w:rPr>
          <w:sz w:val="18"/>
        </w:rPr>
      </w:pPr>
      <w:r>
        <w:rPr>
          <w:b/>
          <w:spacing w:val="-3"/>
          <w:sz w:val="18"/>
        </w:rPr>
        <w:t>Curry,</w:t>
      </w:r>
      <w:r>
        <w:rPr>
          <w:b/>
          <w:spacing w:val="27"/>
          <w:sz w:val="18"/>
        </w:rPr>
        <w:t> </w:t>
      </w:r>
      <w:r>
        <w:rPr>
          <w:spacing w:val="-5"/>
          <w:sz w:val="18"/>
        </w:rPr>
        <w:t>T.,</w:t>
      </w:r>
      <w:r>
        <w:rPr>
          <w:spacing w:val="27"/>
          <w:sz w:val="18"/>
        </w:rPr>
        <w:t> </w:t>
      </w:r>
      <w:r>
        <w:rPr>
          <w:sz w:val="18"/>
        </w:rPr>
        <w:t>D.</w:t>
      </w:r>
      <w:r>
        <w:rPr>
          <w:spacing w:val="28"/>
          <w:sz w:val="18"/>
        </w:rPr>
        <w:t> </w:t>
      </w:r>
      <w:r>
        <w:rPr>
          <w:sz w:val="18"/>
        </w:rPr>
        <w:t>Reiner,</w:t>
      </w:r>
      <w:r>
        <w:rPr>
          <w:spacing w:val="27"/>
          <w:sz w:val="18"/>
        </w:rPr>
        <w:t> </w:t>
      </w:r>
      <w:r>
        <w:rPr>
          <w:sz w:val="18"/>
        </w:rPr>
        <w:t>S.</w:t>
      </w:r>
      <w:r>
        <w:rPr>
          <w:spacing w:val="18"/>
          <w:sz w:val="18"/>
        </w:rPr>
        <w:t> </w:t>
      </w:r>
      <w:r>
        <w:rPr>
          <w:sz w:val="18"/>
        </w:rPr>
        <w:t>Ansolabehere</w:t>
      </w:r>
      <w:r>
        <w:rPr>
          <w:spacing w:val="27"/>
          <w:sz w:val="18"/>
        </w:rPr>
        <w:t> </w:t>
      </w:r>
      <w:r>
        <w:rPr>
          <w:sz w:val="18"/>
        </w:rPr>
        <w:t>and</w:t>
      </w:r>
      <w:r>
        <w:rPr>
          <w:spacing w:val="27"/>
          <w:sz w:val="18"/>
        </w:rPr>
        <w:t> </w:t>
      </w:r>
      <w:r>
        <w:rPr>
          <w:sz w:val="18"/>
        </w:rPr>
        <w:t>H.</w:t>
      </w:r>
      <w:r>
        <w:rPr>
          <w:spacing w:val="28"/>
          <w:sz w:val="18"/>
        </w:rPr>
        <w:t> </w:t>
      </w:r>
      <w:r>
        <w:rPr>
          <w:sz w:val="18"/>
        </w:rPr>
        <w:t>Herzog,</w:t>
      </w:r>
      <w:r>
        <w:rPr>
          <w:spacing w:val="27"/>
          <w:sz w:val="18"/>
        </w:rPr>
        <w:t> </w:t>
      </w:r>
      <w:r>
        <w:rPr>
          <w:sz w:val="18"/>
        </w:rPr>
        <w:t>2005:</w:t>
      </w:r>
      <w:r>
        <w:rPr>
          <w:spacing w:val="28"/>
          <w:sz w:val="18"/>
        </w:rPr>
        <w:t> </w:t>
      </w:r>
      <w:r>
        <w:rPr>
          <w:sz w:val="18"/>
        </w:rPr>
        <w:t>How</w:t>
      </w:r>
    </w:p>
    <w:p>
      <w:pPr>
        <w:spacing w:before="28"/>
        <w:ind w:left="582" w:right="0" w:firstLine="0"/>
        <w:jc w:val="both"/>
        <w:rPr>
          <w:sz w:val="18"/>
        </w:rPr>
      </w:pPr>
      <w:r>
        <w:rPr>
          <w:sz w:val="18"/>
        </w:rPr>
        <w:t>aware is the public of carbon capture and storage? In E.S.</w:t>
      </w:r>
      <w:r>
        <w:rPr>
          <w:spacing w:val="15"/>
          <w:sz w:val="18"/>
        </w:rPr>
        <w:t> </w:t>
      </w:r>
      <w:r>
        <w:rPr>
          <w:sz w:val="18"/>
        </w:rPr>
        <w:t>Rubin,</w:t>
      </w:r>
    </w:p>
    <w:p>
      <w:pPr>
        <w:spacing w:line="278" w:lineRule="auto" w:before="33"/>
        <w:ind w:left="582" w:right="135" w:firstLine="0"/>
        <w:jc w:val="both"/>
        <w:rPr>
          <w:sz w:val="18"/>
        </w:rPr>
      </w:pPr>
      <w:r>
        <w:rPr>
          <w:spacing w:val="-5"/>
          <w:sz w:val="18"/>
        </w:rPr>
        <w:t>D.W.</w:t>
      </w:r>
      <w:r>
        <w:rPr>
          <w:spacing w:val="-17"/>
          <w:sz w:val="18"/>
        </w:rPr>
        <w:t> </w:t>
      </w:r>
      <w:r>
        <w:rPr>
          <w:sz w:val="18"/>
        </w:rPr>
        <w:t>Keith</w:t>
      </w:r>
      <w:r>
        <w:rPr>
          <w:spacing w:val="-16"/>
          <w:sz w:val="18"/>
        </w:rPr>
        <w:t> </w:t>
      </w:r>
      <w:r>
        <w:rPr>
          <w:sz w:val="18"/>
        </w:rPr>
        <w:t>and</w:t>
      </w:r>
      <w:r>
        <w:rPr>
          <w:spacing w:val="-16"/>
          <w:sz w:val="18"/>
        </w:rPr>
        <w:t> </w:t>
      </w:r>
      <w:r>
        <w:rPr>
          <w:spacing w:val="-4"/>
          <w:sz w:val="18"/>
        </w:rPr>
        <w:t>C.F.</w:t>
      </w:r>
      <w:r>
        <w:rPr>
          <w:spacing w:val="-16"/>
          <w:sz w:val="18"/>
        </w:rPr>
        <w:t> </w:t>
      </w:r>
      <w:r>
        <w:rPr>
          <w:sz w:val="18"/>
        </w:rPr>
        <w:t>Gilboy</w:t>
      </w:r>
      <w:r>
        <w:rPr>
          <w:spacing w:val="-17"/>
          <w:sz w:val="18"/>
        </w:rPr>
        <w:t> </w:t>
      </w:r>
      <w:r>
        <w:rPr>
          <w:sz w:val="18"/>
        </w:rPr>
        <w:t>(Eds.),</w:t>
      </w:r>
      <w:r>
        <w:rPr>
          <w:spacing w:val="-16"/>
          <w:sz w:val="18"/>
        </w:rPr>
        <w:t> </w:t>
      </w:r>
      <w:r>
        <w:rPr>
          <w:sz w:val="18"/>
        </w:rPr>
        <w:t>Proceedings</w:t>
      </w:r>
      <w:r>
        <w:rPr>
          <w:spacing w:val="-16"/>
          <w:sz w:val="18"/>
        </w:rPr>
        <w:t> </w:t>
      </w:r>
      <w:r>
        <w:rPr>
          <w:sz w:val="18"/>
        </w:rPr>
        <w:t>of</w:t>
      </w:r>
      <w:r>
        <w:rPr>
          <w:spacing w:val="-16"/>
          <w:sz w:val="18"/>
        </w:rPr>
        <w:t> </w:t>
      </w:r>
      <w:r>
        <w:rPr>
          <w:sz w:val="18"/>
        </w:rPr>
        <w:t>7</w:t>
      </w:r>
      <w:r>
        <w:rPr>
          <w:position w:val="6"/>
          <w:sz w:val="10"/>
        </w:rPr>
        <w:t>th</w:t>
      </w:r>
      <w:r>
        <w:rPr>
          <w:spacing w:val="3"/>
          <w:position w:val="6"/>
          <w:sz w:val="10"/>
        </w:rPr>
        <w:t> </w:t>
      </w:r>
      <w:r>
        <w:rPr>
          <w:sz w:val="18"/>
        </w:rPr>
        <w:t>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(GHGT-7), September 5–9, 2004, </w:t>
      </w:r>
      <w:r>
        <w:rPr>
          <w:spacing w:val="-3"/>
          <w:sz w:val="18"/>
        </w:rPr>
        <w:t>Vancouver, </w:t>
      </w:r>
      <w:r>
        <w:rPr>
          <w:sz w:val="18"/>
        </w:rPr>
        <w:t>Canada, </w:t>
      </w:r>
      <w:r>
        <w:rPr>
          <w:spacing w:val="-3"/>
          <w:sz w:val="18"/>
        </w:rPr>
        <w:t>v.I,</w:t>
      </w:r>
      <w:r>
        <w:rPr>
          <w:spacing w:val="-5"/>
          <w:sz w:val="18"/>
        </w:rPr>
        <w:t> </w:t>
      </w:r>
      <w:r>
        <w:rPr>
          <w:sz w:val="18"/>
        </w:rPr>
        <w:t>1001-1010.</w:t>
      </w:r>
    </w:p>
    <w:p>
      <w:pPr>
        <w:spacing w:line="207" w:lineRule="exact" w:before="0"/>
        <w:ind w:left="242" w:right="0" w:firstLine="0"/>
        <w:jc w:val="both"/>
        <w:rPr>
          <w:sz w:val="18"/>
        </w:rPr>
      </w:pPr>
      <w:r>
        <w:rPr>
          <w:b/>
          <w:sz w:val="18"/>
        </w:rPr>
        <w:t>Czernichowski-Lauriol, </w:t>
      </w:r>
      <w:r>
        <w:rPr>
          <w:sz w:val="18"/>
        </w:rPr>
        <w:t>I., B. Sanjuan, C. Rochelle, K. Bateman,</w:t>
      </w:r>
    </w:p>
    <w:p>
      <w:pPr>
        <w:spacing w:line="240" w:lineRule="exact" w:before="9"/>
        <w:ind w:left="582" w:right="135" w:firstLine="0"/>
        <w:jc w:val="both"/>
        <w:rPr>
          <w:sz w:val="18"/>
        </w:rPr>
      </w:pPr>
      <w:r>
        <w:rPr>
          <w:sz w:val="18"/>
        </w:rPr>
        <w:t>J. Pearce and </w:t>
      </w:r>
      <w:r>
        <w:rPr>
          <w:spacing w:val="-10"/>
          <w:sz w:val="18"/>
        </w:rPr>
        <w:t>P. </w:t>
      </w:r>
      <w:r>
        <w:rPr>
          <w:sz w:val="18"/>
        </w:rPr>
        <w:t>Blackwell, 1996: Analysis of the geochemical aspects of the underground disposal of CO</w:t>
      </w:r>
      <w:r>
        <w:rPr>
          <w:position w:val="-5"/>
          <w:sz w:val="10"/>
        </w:rPr>
        <w:t>2</w:t>
      </w:r>
      <w:r>
        <w:rPr>
          <w:sz w:val="18"/>
        </w:rPr>
        <w:t>. In: Deep Injection Disposal of Hazardous and Industrial </w:t>
      </w:r>
      <w:r>
        <w:rPr>
          <w:spacing w:val="-3"/>
          <w:sz w:val="18"/>
        </w:rPr>
        <w:t>Wastes, </w:t>
      </w:r>
      <w:r>
        <w:rPr>
          <w:sz w:val="18"/>
        </w:rPr>
        <w:t>Scientific and Engineering</w:t>
      </w:r>
      <w:r>
        <w:rPr>
          <w:spacing w:val="-14"/>
          <w:sz w:val="18"/>
        </w:rPr>
        <w:t> </w:t>
      </w:r>
      <w:r>
        <w:rPr>
          <w:sz w:val="18"/>
        </w:rPr>
        <w:t>Aspects,</w:t>
      </w:r>
      <w:r>
        <w:rPr>
          <w:spacing w:val="-4"/>
          <w:sz w:val="18"/>
        </w:rPr>
        <w:t> </w:t>
      </w:r>
      <w:r>
        <w:rPr>
          <w:sz w:val="18"/>
        </w:rPr>
        <w:t>J.A.</w:t>
      </w:r>
      <w:r>
        <w:rPr>
          <w:spacing w:val="-14"/>
          <w:sz w:val="18"/>
        </w:rPr>
        <w:t> </w:t>
      </w:r>
      <w:r>
        <w:rPr>
          <w:sz w:val="18"/>
        </w:rPr>
        <w:t>Apps</w:t>
      </w:r>
      <w:r>
        <w:rPr>
          <w:spacing w:val="-4"/>
          <w:sz w:val="18"/>
        </w:rPr>
        <w:t> </w:t>
      </w:r>
      <w:r>
        <w:rPr>
          <w:sz w:val="18"/>
        </w:rPr>
        <w:t>and</w:t>
      </w:r>
      <w:r>
        <w:rPr>
          <w:spacing w:val="-4"/>
          <w:sz w:val="18"/>
        </w:rPr>
        <w:t> </w:t>
      </w:r>
      <w:r>
        <w:rPr>
          <w:spacing w:val="-3"/>
          <w:sz w:val="18"/>
        </w:rPr>
        <w:t>C.-F.</w:t>
      </w:r>
      <w:r>
        <w:rPr>
          <w:spacing w:val="-7"/>
          <w:sz w:val="18"/>
        </w:rPr>
        <w:t> </w:t>
      </w:r>
      <w:r>
        <w:rPr>
          <w:spacing w:val="-4"/>
          <w:sz w:val="18"/>
        </w:rPr>
        <w:t>Tsang </w:t>
      </w:r>
      <w:r>
        <w:rPr>
          <w:sz w:val="18"/>
        </w:rPr>
        <w:t>(eds.),</w:t>
      </w:r>
      <w:r>
        <w:rPr>
          <w:spacing w:val="-14"/>
          <w:sz w:val="18"/>
        </w:rPr>
        <w:t> </w:t>
      </w:r>
      <w:r>
        <w:rPr>
          <w:sz w:val="18"/>
        </w:rPr>
        <w:t>Academic Press, ISBN 0-12-060060-9, pp.</w:t>
      </w:r>
      <w:r>
        <w:rPr>
          <w:spacing w:val="-2"/>
          <w:sz w:val="18"/>
        </w:rPr>
        <w:t> </w:t>
      </w:r>
      <w:r>
        <w:rPr>
          <w:sz w:val="18"/>
        </w:rPr>
        <w:t>565–583.</w:t>
      </w:r>
    </w:p>
    <w:p>
      <w:pPr>
        <w:spacing w:line="278" w:lineRule="auto" w:before="24"/>
        <w:ind w:left="582" w:right="135" w:hanging="341"/>
        <w:jc w:val="both"/>
        <w:rPr>
          <w:sz w:val="18"/>
        </w:rPr>
      </w:pPr>
      <w:r>
        <w:rPr>
          <w:b/>
          <w:sz w:val="18"/>
        </w:rPr>
        <w:t>D’Hondt, </w:t>
      </w:r>
      <w:r>
        <w:rPr>
          <w:sz w:val="18"/>
        </w:rPr>
        <w:t>S., S. Rutherford and A.J. Spivack, 2002: Metabolic activity of subsurface life in deep-sea sediments. </w:t>
      </w:r>
      <w:r>
        <w:rPr>
          <w:i/>
          <w:sz w:val="18"/>
        </w:rPr>
        <w:t>Science</w:t>
      </w:r>
      <w:r>
        <w:rPr>
          <w:sz w:val="18"/>
        </w:rPr>
        <w:t>, </w:t>
      </w:r>
      <w:r>
        <w:rPr>
          <w:b/>
          <w:sz w:val="18"/>
        </w:rPr>
        <w:t>295</w:t>
      </w:r>
      <w:r>
        <w:rPr>
          <w:sz w:val="18"/>
        </w:rPr>
        <w:t>, 2067–2070.</w:t>
      </w:r>
    </w:p>
    <w:p>
      <w:pPr>
        <w:spacing w:line="278" w:lineRule="auto" w:before="0"/>
        <w:ind w:left="582" w:right="136" w:hanging="341"/>
        <w:jc w:val="both"/>
        <w:rPr>
          <w:sz w:val="18"/>
        </w:rPr>
      </w:pPr>
      <w:r>
        <w:rPr>
          <w:b/>
          <w:sz w:val="18"/>
        </w:rPr>
        <w:t>DOGGR </w:t>
      </w:r>
      <w:r>
        <w:rPr>
          <w:sz w:val="18"/>
        </w:rPr>
        <w:t>(California Department of Oil, Gas and Geothermal Resources),</w:t>
      </w:r>
      <w:r>
        <w:rPr>
          <w:spacing w:val="-10"/>
          <w:sz w:val="18"/>
        </w:rPr>
        <w:t> </w:t>
      </w:r>
      <w:r>
        <w:rPr>
          <w:sz w:val="18"/>
        </w:rPr>
        <w:t>1974:</w:t>
      </w:r>
      <w:r>
        <w:rPr>
          <w:spacing w:val="-10"/>
          <w:sz w:val="18"/>
        </w:rPr>
        <w:t> </w:t>
      </w:r>
      <w:r>
        <w:rPr>
          <w:sz w:val="18"/>
        </w:rPr>
        <w:t>Sixtieth</w:t>
      </w:r>
      <w:r>
        <w:rPr>
          <w:spacing w:val="-20"/>
          <w:sz w:val="18"/>
        </w:rPr>
        <w:t> </w:t>
      </w:r>
      <w:r>
        <w:rPr>
          <w:sz w:val="18"/>
        </w:rPr>
        <w:t>Annual</w:t>
      </w:r>
      <w:r>
        <w:rPr>
          <w:spacing w:val="-10"/>
          <w:sz w:val="18"/>
        </w:rPr>
        <w:t> </w:t>
      </w:r>
      <w:r>
        <w:rPr>
          <w:sz w:val="18"/>
        </w:rPr>
        <w:t>Report</w:t>
      </w:r>
      <w:r>
        <w:rPr>
          <w:spacing w:val="-10"/>
          <w:sz w:val="18"/>
        </w:rPr>
        <w:t> </w:t>
      </w:r>
      <w:r>
        <w:rPr>
          <w:sz w:val="18"/>
        </w:rPr>
        <w:t>of</w:t>
      </w:r>
      <w:r>
        <w:rPr>
          <w:spacing w:val="-10"/>
          <w:sz w:val="18"/>
        </w:rPr>
        <w:t> </w:t>
      </w:r>
      <w:r>
        <w:rPr>
          <w:sz w:val="18"/>
        </w:rPr>
        <w:t>the</w:t>
      </w:r>
      <w:r>
        <w:rPr>
          <w:spacing w:val="-10"/>
          <w:sz w:val="18"/>
        </w:rPr>
        <w:t> </w:t>
      </w:r>
      <w:r>
        <w:rPr>
          <w:sz w:val="18"/>
        </w:rPr>
        <w:t>State</w:t>
      </w:r>
      <w:r>
        <w:rPr>
          <w:spacing w:val="-10"/>
          <w:sz w:val="18"/>
        </w:rPr>
        <w:t> </w:t>
      </w:r>
      <w:r>
        <w:rPr>
          <w:sz w:val="18"/>
        </w:rPr>
        <w:t>Oil</w:t>
      </w:r>
      <w:r>
        <w:rPr>
          <w:spacing w:val="-10"/>
          <w:sz w:val="18"/>
        </w:rPr>
        <w:t> </w:t>
      </w:r>
      <w:r>
        <w:rPr>
          <w:sz w:val="18"/>
        </w:rPr>
        <w:t>and</w:t>
      </w:r>
      <w:r>
        <w:rPr>
          <w:spacing w:val="-10"/>
          <w:sz w:val="18"/>
        </w:rPr>
        <w:t> </w:t>
      </w:r>
      <w:r>
        <w:rPr>
          <w:sz w:val="18"/>
        </w:rPr>
        <w:t>Gas Supervisor. Report No. PR06, pp.</w:t>
      </w:r>
      <w:r>
        <w:rPr>
          <w:spacing w:val="-5"/>
          <w:sz w:val="18"/>
        </w:rPr>
        <w:t> </w:t>
      </w:r>
      <w:r>
        <w:rPr>
          <w:sz w:val="18"/>
        </w:rPr>
        <w:t>51–55.</w:t>
      </w:r>
    </w:p>
    <w:p>
      <w:pPr>
        <w:spacing w:line="207" w:lineRule="exact" w:before="0"/>
        <w:ind w:left="242" w:right="0" w:firstLine="0"/>
        <w:jc w:val="both"/>
        <w:rPr>
          <w:sz w:val="18"/>
        </w:rPr>
      </w:pPr>
      <w:r>
        <w:rPr>
          <w:b/>
          <w:sz w:val="18"/>
        </w:rPr>
        <w:t>Dooley, </w:t>
      </w:r>
      <w:r>
        <w:rPr>
          <w:sz w:val="18"/>
        </w:rPr>
        <w:t>J.J., R.T. Dahowski, C.L. Davidson, S. Bachu, N. Gupta and</w:t>
      </w:r>
    </w:p>
    <w:p>
      <w:pPr>
        <w:spacing w:line="240" w:lineRule="exact" w:before="9"/>
        <w:ind w:left="582" w:right="133" w:firstLine="0"/>
        <w:jc w:val="both"/>
        <w:rPr>
          <w:sz w:val="18"/>
        </w:rPr>
      </w:pPr>
      <w:r>
        <w:rPr>
          <w:sz w:val="18"/>
        </w:rPr>
        <w:t>J.</w:t>
      </w:r>
      <w:r>
        <w:rPr>
          <w:spacing w:val="-5"/>
          <w:sz w:val="18"/>
        </w:rPr>
        <w:t> </w:t>
      </w:r>
      <w:r>
        <w:rPr>
          <w:sz w:val="18"/>
        </w:rPr>
        <w:t>Gale,</w:t>
      </w:r>
      <w:r>
        <w:rPr>
          <w:spacing w:val="-4"/>
          <w:sz w:val="18"/>
        </w:rPr>
        <w:t> </w:t>
      </w:r>
      <w:r>
        <w:rPr>
          <w:sz w:val="18"/>
        </w:rPr>
        <w:t>2005:</w:t>
      </w:r>
      <w:r>
        <w:rPr>
          <w:spacing w:val="-13"/>
          <w:sz w:val="18"/>
        </w:rPr>
        <w:t> </w:t>
      </w:r>
      <w:r>
        <w:rPr>
          <w:sz w:val="18"/>
        </w:rPr>
        <w:t>A</w:t>
      </w:r>
      <w:r>
        <w:rPr>
          <w:spacing w:val="-14"/>
          <w:sz w:val="18"/>
        </w:rPr>
        <w:t> </w:t>
      </w:r>
      <w:r>
        <w:rPr>
          <w:sz w:val="18"/>
        </w:rPr>
        <w:t>CO</w:t>
      </w:r>
      <w:r>
        <w:rPr>
          <w:position w:val="-5"/>
          <w:sz w:val="10"/>
        </w:rPr>
        <w:t>2</w:t>
      </w:r>
      <w:r>
        <w:rPr>
          <w:spacing w:val="16"/>
          <w:position w:val="-5"/>
          <w:sz w:val="10"/>
        </w:rPr>
        <w:t> </w:t>
      </w:r>
      <w:r>
        <w:rPr>
          <w:sz w:val="18"/>
        </w:rPr>
        <w:t>storage</w:t>
      </w:r>
      <w:r>
        <w:rPr>
          <w:spacing w:val="-4"/>
          <w:sz w:val="18"/>
        </w:rPr>
        <w:t> </w:t>
      </w:r>
      <w:r>
        <w:rPr>
          <w:sz w:val="18"/>
        </w:rPr>
        <w:t>supply</w:t>
      </w:r>
      <w:r>
        <w:rPr>
          <w:spacing w:val="-4"/>
          <w:sz w:val="18"/>
        </w:rPr>
        <w:t> </w:t>
      </w:r>
      <w:r>
        <w:rPr>
          <w:sz w:val="18"/>
        </w:rPr>
        <w:t>curve</w:t>
      </w:r>
      <w:r>
        <w:rPr>
          <w:spacing w:val="-4"/>
          <w:sz w:val="18"/>
        </w:rPr>
        <w:t> </w:t>
      </w:r>
      <w:r>
        <w:rPr>
          <w:sz w:val="18"/>
        </w:rPr>
        <w:t>for</w:t>
      </w:r>
      <w:r>
        <w:rPr>
          <w:spacing w:val="-4"/>
          <w:sz w:val="18"/>
        </w:rPr>
        <w:t> </w:t>
      </w:r>
      <w:r>
        <w:rPr>
          <w:sz w:val="18"/>
        </w:rPr>
        <w:t>North</w:t>
      </w:r>
      <w:r>
        <w:rPr>
          <w:spacing w:val="-14"/>
          <w:sz w:val="18"/>
        </w:rPr>
        <w:t> </w:t>
      </w:r>
      <w:r>
        <w:rPr>
          <w:sz w:val="18"/>
        </w:rPr>
        <w:t>America</w:t>
      </w:r>
      <w:r>
        <w:rPr>
          <w:spacing w:val="-4"/>
          <w:sz w:val="18"/>
        </w:rPr>
        <w:t> </w:t>
      </w:r>
      <w:r>
        <w:rPr>
          <w:sz w:val="18"/>
        </w:rPr>
        <w:t>and its implications for the deployment of carbon dioxide capture</w:t>
      </w:r>
      <w:r>
        <w:rPr>
          <w:spacing w:val="-18"/>
          <w:sz w:val="18"/>
        </w:rPr>
        <w:t> </w:t>
      </w:r>
      <w:r>
        <w:rPr>
          <w:sz w:val="18"/>
        </w:rPr>
        <w:t>and storage systems. Proceedings of the 7</w:t>
      </w:r>
      <w:r>
        <w:rPr>
          <w:position w:val="6"/>
          <w:sz w:val="10"/>
        </w:rPr>
        <w:t>th </w:t>
      </w:r>
      <w:r>
        <w:rPr>
          <w:sz w:val="18"/>
        </w:rPr>
        <w:t>International Conference on Greenhouse Gas Control Technologies (GHGT-7), September 5–9, 2004, </w:t>
      </w:r>
      <w:r>
        <w:rPr>
          <w:spacing w:val="-3"/>
          <w:sz w:val="18"/>
        </w:rPr>
        <w:t>Vancouver, </w:t>
      </w:r>
      <w:r>
        <w:rPr>
          <w:sz w:val="18"/>
        </w:rPr>
        <w:t>Canada, </w:t>
      </w:r>
      <w:r>
        <w:rPr>
          <w:spacing w:val="-3"/>
          <w:sz w:val="18"/>
        </w:rPr>
        <w:t>v.I,</w:t>
      </w:r>
      <w:r>
        <w:rPr>
          <w:spacing w:val="-1"/>
          <w:sz w:val="18"/>
        </w:rPr>
        <w:t> </w:t>
      </w:r>
      <w:r>
        <w:rPr>
          <w:sz w:val="18"/>
        </w:rPr>
        <w:t>593-602.</w:t>
      </w:r>
    </w:p>
    <w:p>
      <w:pPr>
        <w:spacing w:line="278" w:lineRule="auto" w:before="24"/>
        <w:ind w:left="582" w:right="135" w:hanging="341"/>
        <w:jc w:val="both"/>
        <w:rPr>
          <w:sz w:val="18"/>
        </w:rPr>
      </w:pPr>
      <w:r>
        <w:rPr>
          <w:b/>
          <w:sz w:val="18"/>
        </w:rPr>
        <w:t>Doughty, </w:t>
      </w:r>
      <w:r>
        <w:rPr>
          <w:sz w:val="18"/>
        </w:rPr>
        <w:t>C. and K. Pruess, 2004: Modeling Supercritical Carbon Dioxide Injection in Heterogeneous Porous Media, </w:t>
      </w:r>
      <w:r>
        <w:rPr>
          <w:i/>
          <w:sz w:val="18"/>
        </w:rPr>
        <w:t>Vadose Zone </w:t>
      </w:r>
      <w:r>
        <w:rPr>
          <w:i/>
          <w:sz w:val="18"/>
        </w:rPr>
        <w:t>Journal, </w:t>
      </w:r>
      <w:r>
        <w:rPr>
          <w:b/>
          <w:sz w:val="18"/>
        </w:rPr>
        <w:t>3</w:t>
      </w:r>
      <w:r>
        <w:rPr>
          <w:sz w:val="18"/>
        </w:rPr>
        <w:t>(3), 837–847.</w:t>
      </w:r>
    </w:p>
    <w:p>
      <w:pPr>
        <w:spacing w:line="207" w:lineRule="exact" w:before="0"/>
        <w:ind w:left="242" w:right="0" w:firstLine="0"/>
        <w:jc w:val="both"/>
        <w:rPr>
          <w:sz w:val="18"/>
        </w:rPr>
      </w:pPr>
      <w:r>
        <w:rPr>
          <w:b/>
          <w:sz w:val="18"/>
        </w:rPr>
        <w:t>Doughty, </w:t>
      </w:r>
      <w:r>
        <w:rPr>
          <w:sz w:val="18"/>
        </w:rPr>
        <w:t>C., K. Pruess, S.M. Benson, S.D. Hovorka, P.R. Knox and</w:t>
      </w:r>
    </w:p>
    <w:p>
      <w:pPr>
        <w:spacing w:line="240" w:lineRule="exact" w:before="9"/>
        <w:ind w:left="582" w:right="135" w:firstLine="0"/>
        <w:jc w:val="both"/>
        <w:rPr>
          <w:sz w:val="18"/>
        </w:rPr>
      </w:pPr>
      <w:r>
        <w:rPr>
          <w:spacing w:val="-4"/>
          <w:sz w:val="18"/>
        </w:rPr>
        <w:t>C.T.</w:t>
      </w:r>
      <w:r>
        <w:rPr>
          <w:spacing w:val="-14"/>
          <w:sz w:val="18"/>
        </w:rPr>
        <w:t> </w:t>
      </w:r>
      <w:r>
        <w:rPr>
          <w:sz w:val="18"/>
        </w:rPr>
        <w:t>Green,</w:t>
      </w:r>
      <w:r>
        <w:rPr>
          <w:spacing w:val="-14"/>
          <w:sz w:val="18"/>
        </w:rPr>
        <w:t> </w:t>
      </w:r>
      <w:r>
        <w:rPr>
          <w:sz w:val="18"/>
        </w:rPr>
        <w:t>2001:</w:t>
      </w:r>
      <w:r>
        <w:rPr>
          <w:spacing w:val="-14"/>
          <w:sz w:val="18"/>
        </w:rPr>
        <w:t> </w:t>
      </w:r>
      <w:r>
        <w:rPr>
          <w:sz w:val="18"/>
        </w:rPr>
        <w:t>Capacity</w:t>
      </w:r>
      <w:r>
        <w:rPr>
          <w:spacing w:val="-14"/>
          <w:sz w:val="18"/>
        </w:rPr>
        <w:t> </w:t>
      </w:r>
      <w:r>
        <w:rPr>
          <w:sz w:val="18"/>
        </w:rPr>
        <w:t>investigation</w:t>
      </w:r>
      <w:r>
        <w:rPr>
          <w:spacing w:val="-14"/>
          <w:sz w:val="18"/>
        </w:rPr>
        <w:t> </w:t>
      </w:r>
      <w:r>
        <w:rPr>
          <w:sz w:val="18"/>
        </w:rPr>
        <w:t>of</w:t>
      </w:r>
      <w:r>
        <w:rPr>
          <w:spacing w:val="-13"/>
          <w:sz w:val="18"/>
        </w:rPr>
        <w:t> </w:t>
      </w:r>
      <w:r>
        <w:rPr>
          <w:sz w:val="18"/>
        </w:rPr>
        <w:t>brine-bearing</w:t>
      </w:r>
      <w:r>
        <w:rPr>
          <w:spacing w:val="-14"/>
          <w:sz w:val="18"/>
        </w:rPr>
        <w:t> </w:t>
      </w:r>
      <w:r>
        <w:rPr>
          <w:sz w:val="18"/>
        </w:rPr>
        <w:t>sands</w:t>
      </w:r>
      <w:r>
        <w:rPr>
          <w:spacing w:val="-14"/>
          <w:sz w:val="18"/>
        </w:rPr>
        <w:t> </w:t>
      </w:r>
      <w:r>
        <w:rPr>
          <w:sz w:val="18"/>
        </w:rPr>
        <w:t>of the</w:t>
      </w:r>
      <w:r>
        <w:rPr>
          <w:spacing w:val="-15"/>
          <w:sz w:val="18"/>
        </w:rPr>
        <w:t> </w:t>
      </w:r>
      <w:r>
        <w:rPr>
          <w:sz w:val="18"/>
        </w:rPr>
        <w:t>Frio</w:t>
      </w:r>
      <w:r>
        <w:rPr>
          <w:spacing w:val="-14"/>
          <w:sz w:val="18"/>
        </w:rPr>
        <w:t> </w:t>
      </w:r>
      <w:r>
        <w:rPr>
          <w:sz w:val="18"/>
        </w:rPr>
        <w:t>Formation</w:t>
      </w:r>
      <w:r>
        <w:rPr>
          <w:spacing w:val="-14"/>
          <w:sz w:val="18"/>
        </w:rPr>
        <w:t> </w:t>
      </w:r>
      <w:r>
        <w:rPr>
          <w:sz w:val="18"/>
        </w:rPr>
        <w:t>for</w:t>
      </w:r>
      <w:r>
        <w:rPr>
          <w:spacing w:val="-15"/>
          <w:sz w:val="18"/>
        </w:rPr>
        <w:t> </w:t>
      </w:r>
      <w:r>
        <w:rPr>
          <w:sz w:val="18"/>
        </w:rPr>
        <w:t>geologic</w:t>
      </w:r>
      <w:r>
        <w:rPr>
          <w:spacing w:val="-14"/>
          <w:sz w:val="18"/>
        </w:rPr>
        <w:t> </w:t>
      </w:r>
      <w:r>
        <w:rPr>
          <w:sz w:val="18"/>
        </w:rPr>
        <w:t>sequestration</w:t>
      </w:r>
      <w:r>
        <w:rPr>
          <w:spacing w:val="-14"/>
          <w:sz w:val="18"/>
        </w:rPr>
        <w:t> </w:t>
      </w:r>
      <w:r>
        <w:rPr>
          <w:sz w:val="18"/>
        </w:rPr>
        <w:t>of</w:t>
      </w:r>
      <w:r>
        <w:rPr>
          <w:spacing w:val="-15"/>
          <w:sz w:val="18"/>
        </w:rPr>
        <w:t> </w:t>
      </w:r>
      <w:r>
        <w:rPr>
          <w:sz w:val="18"/>
        </w:rPr>
        <w:t>CO</w:t>
      </w:r>
      <w:r>
        <w:rPr>
          <w:position w:val="-5"/>
          <w:sz w:val="10"/>
        </w:rPr>
        <w:t>2</w:t>
      </w:r>
      <w:r>
        <w:rPr>
          <w:sz w:val="18"/>
        </w:rPr>
        <w:t>.</w:t>
      </w:r>
      <w:r>
        <w:rPr>
          <w:spacing w:val="-14"/>
          <w:sz w:val="18"/>
        </w:rPr>
        <w:t> </w:t>
      </w:r>
      <w:r>
        <w:rPr>
          <w:sz w:val="18"/>
        </w:rPr>
        <w:t>Proceedings of</w:t>
      </w:r>
      <w:r>
        <w:rPr>
          <w:spacing w:val="-16"/>
          <w:sz w:val="18"/>
        </w:rPr>
        <w:t> </w:t>
      </w:r>
      <w:r>
        <w:rPr>
          <w:sz w:val="18"/>
        </w:rPr>
        <w:t>First</w:t>
      </w:r>
      <w:r>
        <w:rPr>
          <w:spacing w:val="-16"/>
          <w:sz w:val="18"/>
        </w:rPr>
        <w:t> </w:t>
      </w:r>
      <w:r>
        <w:rPr>
          <w:sz w:val="18"/>
        </w:rPr>
        <w:t>National</w:t>
      </w:r>
      <w:r>
        <w:rPr>
          <w:spacing w:val="-16"/>
          <w:sz w:val="18"/>
        </w:rPr>
        <w:t> </w:t>
      </w:r>
      <w:r>
        <w:rPr>
          <w:sz w:val="18"/>
        </w:rPr>
        <w:t>Conference</w:t>
      </w:r>
      <w:r>
        <w:rPr>
          <w:spacing w:val="-16"/>
          <w:sz w:val="18"/>
        </w:rPr>
        <w:t> </w:t>
      </w:r>
      <w:r>
        <w:rPr>
          <w:sz w:val="18"/>
        </w:rPr>
        <w:t>on</w:t>
      </w:r>
      <w:r>
        <w:rPr>
          <w:spacing w:val="-16"/>
          <w:sz w:val="18"/>
        </w:rPr>
        <w:t> </w:t>
      </w:r>
      <w:r>
        <w:rPr>
          <w:sz w:val="18"/>
        </w:rPr>
        <w:t>Carbon</w:t>
      </w:r>
      <w:r>
        <w:rPr>
          <w:spacing w:val="-16"/>
          <w:sz w:val="18"/>
        </w:rPr>
        <w:t> </w:t>
      </w:r>
      <w:r>
        <w:rPr>
          <w:sz w:val="18"/>
        </w:rPr>
        <w:t>Sequestration,</w:t>
      </w:r>
      <w:r>
        <w:rPr>
          <w:spacing w:val="-16"/>
          <w:sz w:val="18"/>
        </w:rPr>
        <w:t> </w:t>
      </w:r>
      <w:r>
        <w:rPr>
          <w:sz w:val="18"/>
        </w:rPr>
        <w:t>14–17</w:t>
      </w:r>
      <w:r>
        <w:rPr>
          <w:spacing w:val="-16"/>
          <w:sz w:val="18"/>
        </w:rPr>
        <w:t> </w:t>
      </w:r>
      <w:r>
        <w:rPr>
          <w:sz w:val="18"/>
        </w:rPr>
        <w:t>May 2001, Washington, D.C., United States Department of </w:t>
      </w:r>
      <w:r>
        <w:rPr>
          <w:spacing w:val="-3"/>
          <w:sz w:val="18"/>
        </w:rPr>
        <w:t>Energy, </w:t>
      </w:r>
      <w:r>
        <w:rPr>
          <w:sz w:val="18"/>
        </w:rPr>
        <w:t>National Energy Technology Laboratory, CD-ROM USDOE/ NETL-2001/1144, Paper </w:t>
      </w:r>
      <w:r>
        <w:rPr>
          <w:spacing w:val="-4"/>
          <w:sz w:val="18"/>
        </w:rPr>
        <w:t>P.32, </w:t>
      </w:r>
      <w:r>
        <w:rPr>
          <w:sz w:val="18"/>
        </w:rPr>
        <w:t>16</w:t>
      </w:r>
      <w:r>
        <w:rPr>
          <w:spacing w:val="1"/>
          <w:sz w:val="18"/>
        </w:rPr>
        <w:t> </w:t>
      </w:r>
      <w:r>
        <w:rPr>
          <w:sz w:val="18"/>
        </w:rPr>
        <w:t>pp.</w:t>
      </w:r>
    </w:p>
    <w:p>
      <w:pPr>
        <w:spacing w:line="240" w:lineRule="exact" w:before="0"/>
        <w:ind w:left="582" w:right="135" w:hanging="341"/>
        <w:jc w:val="both"/>
        <w:rPr>
          <w:sz w:val="18"/>
        </w:rPr>
      </w:pPr>
      <w:r>
        <w:rPr>
          <w:b/>
          <w:sz w:val="18"/>
        </w:rPr>
        <w:t>Ducroux, </w:t>
      </w:r>
      <w:r>
        <w:rPr>
          <w:sz w:val="18"/>
        </w:rPr>
        <w:t>R. and J.M. Bewers, 2005: Acceptance of CCS under international</w:t>
      </w:r>
      <w:r>
        <w:rPr>
          <w:spacing w:val="-22"/>
          <w:sz w:val="18"/>
        </w:rPr>
        <w:t> </w:t>
      </w:r>
      <w:r>
        <w:rPr>
          <w:sz w:val="18"/>
        </w:rPr>
        <w:t>conventions</w:t>
      </w:r>
      <w:r>
        <w:rPr>
          <w:spacing w:val="-21"/>
          <w:sz w:val="18"/>
        </w:rPr>
        <w:t> </w:t>
      </w:r>
      <w:r>
        <w:rPr>
          <w:sz w:val="18"/>
        </w:rPr>
        <w:t>and</w:t>
      </w:r>
      <w:r>
        <w:rPr>
          <w:spacing w:val="-22"/>
          <w:sz w:val="18"/>
        </w:rPr>
        <w:t> </w:t>
      </w:r>
      <w:r>
        <w:rPr>
          <w:sz w:val="18"/>
        </w:rPr>
        <w:t>agreements,</w:t>
      </w:r>
      <w:r>
        <w:rPr>
          <w:spacing w:val="-21"/>
          <w:sz w:val="18"/>
        </w:rPr>
        <w:t> </w:t>
      </w:r>
      <w:r>
        <w:rPr>
          <w:sz w:val="18"/>
        </w:rPr>
        <w:t>IEA</w:t>
      </w:r>
      <w:r>
        <w:rPr>
          <w:spacing w:val="-32"/>
          <w:sz w:val="18"/>
        </w:rPr>
        <w:t> </w:t>
      </w:r>
      <w:r>
        <w:rPr>
          <w:sz w:val="18"/>
        </w:rPr>
        <w:t>GHG</w:t>
      </w:r>
      <w:r>
        <w:rPr>
          <w:spacing w:val="-24"/>
          <w:sz w:val="18"/>
        </w:rPr>
        <w:t> </w:t>
      </w:r>
      <w:r>
        <w:rPr>
          <w:spacing w:val="-3"/>
          <w:sz w:val="18"/>
        </w:rPr>
        <w:t>Weyburn</w:t>
      </w:r>
      <w:r>
        <w:rPr>
          <w:spacing w:val="-21"/>
          <w:sz w:val="18"/>
        </w:rPr>
        <w:t> </w:t>
      </w:r>
      <w:r>
        <w:rPr>
          <w:sz w:val="18"/>
        </w:rPr>
        <w:t>CO</w:t>
      </w:r>
      <w:r>
        <w:rPr>
          <w:position w:val="-5"/>
          <w:sz w:val="10"/>
        </w:rPr>
        <w:t>2 </w:t>
      </w:r>
      <w:r>
        <w:rPr>
          <w:sz w:val="18"/>
        </w:rPr>
        <w:t>Monitoring and Storage Project Summary Report 2000-2004, M. Wilson and M. Monea (eds.), Proceedings of the 7</w:t>
      </w:r>
      <w:r>
        <w:rPr>
          <w:position w:val="6"/>
          <w:sz w:val="10"/>
        </w:rPr>
        <w:t>th </w:t>
      </w:r>
      <w:r>
        <w:rPr>
          <w:sz w:val="18"/>
        </w:rPr>
        <w:t>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(GHGT-7), September 5–9, 2004, </w:t>
      </w:r>
      <w:r>
        <w:rPr>
          <w:spacing w:val="-3"/>
          <w:sz w:val="18"/>
        </w:rPr>
        <w:t>Vancouver, </w:t>
      </w:r>
      <w:r>
        <w:rPr>
          <w:sz w:val="18"/>
        </w:rPr>
        <w:t>Canada, </w:t>
      </w:r>
      <w:r>
        <w:rPr>
          <w:spacing w:val="-3"/>
          <w:sz w:val="18"/>
        </w:rPr>
        <w:t>v.II,</w:t>
      </w:r>
      <w:r>
        <w:rPr>
          <w:spacing w:val="-4"/>
          <w:sz w:val="18"/>
        </w:rPr>
        <w:t> </w:t>
      </w:r>
      <w:r>
        <w:rPr>
          <w:sz w:val="18"/>
        </w:rPr>
        <w:t>1467-1474.</w:t>
      </w:r>
    </w:p>
    <w:p>
      <w:pPr>
        <w:spacing w:line="240" w:lineRule="exact" w:before="0"/>
        <w:ind w:left="582" w:right="135" w:hanging="341"/>
        <w:jc w:val="both"/>
        <w:rPr>
          <w:sz w:val="18"/>
        </w:rPr>
      </w:pPr>
      <w:r>
        <w:rPr>
          <w:b/>
          <w:sz w:val="18"/>
        </w:rPr>
        <w:t>Dusseault,</w:t>
      </w:r>
      <w:r>
        <w:rPr>
          <w:b/>
          <w:spacing w:val="-7"/>
          <w:sz w:val="18"/>
        </w:rPr>
        <w:t> </w:t>
      </w:r>
      <w:r>
        <w:rPr>
          <w:sz w:val="18"/>
        </w:rPr>
        <w:t>M.B.,</w:t>
      </w:r>
      <w:r>
        <w:rPr>
          <w:spacing w:val="-6"/>
          <w:sz w:val="18"/>
        </w:rPr>
        <w:t> </w:t>
      </w:r>
      <w:r>
        <w:rPr>
          <w:sz w:val="18"/>
        </w:rPr>
        <w:t>S.</w:t>
      </w:r>
      <w:r>
        <w:rPr>
          <w:spacing w:val="-6"/>
          <w:sz w:val="18"/>
        </w:rPr>
        <w:t> </w:t>
      </w:r>
      <w:r>
        <w:rPr>
          <w:sz w:val="18"/>
        </w:rPr>
        <w:t>Bachu</w:t>
      </w:r>
      <w:r>
        <w:rPr>
          <w:spacing w:val="-6"/>
          <w:sz w:val="18"/>
        </w:rPr>
        <w:t> </w:t>
      </w:r>
      <w:r>
        <w:rPr>
          <w:sz w:val="18"/>
        </w:rPr>
        <w:t>and</w:t>
      </w:r>
      <w:r>
        <w:rPr>
          <w:spacing w:val="-6"/>
          <w:sz w:val="18"/>
        </w:rPr>
        <w:t> </w:t>
      </w:r>
      <w:r>
        <w:rPr>
          <w:sz w:val="18"/>
        </w:rPr>
        <w:t>L.</w:t>
      </w:r>
      <w:r>
        <w:rPr>
          <w:spacing w:val="-6"/>
          <w:sz w:val="18"/>
        </w:rPr>
        <w:t> </w:t>
      </w:r>
      <w:r>
        <w:rPr>
          <w:sz w:val="18"/>
        </w:rPr>
        <w:t>Rothenburg,</w:t>
      </w:r>
      <w:r>
        <w:rPr>
          <w:spacing w:val="-6"/>
          <w:sz w:val="18"/>
        </w:rPr>
        <w:t> </w:t>
      </w:r>
      <w:r>
        <w:rPr>
          <w:sz w:val="18"/>
        </w:rPr>
        <w:t>2004:</w:t>
      </w:r>
      <w:r>
        <w:rPr>
          <w:spacing w:val="-6"/>
          <w:sz w:val="18"/>
        </w:rPr>
        <w:t> </w:t>
      </w:r>
      <w:r>
        <w:rPr>
          <w:sz w:val="18"/>
        </w:rPr>
        <w:t>Sequestration</w:t>
      </w:r>
      <w:r>
        <w:rPr>
          <w:spacing w:val="-6"/>
          <w:sz w:val="18"/>
        </w:rPr>
        <w:t> </w:t>
      </w:r>
      <w:r>
        <w:rPr>
          <w:sz w:val="18"/>
        </w:rPr>
        <w:t>of CO</w:t>
      </w:r>
      <w:r>
        <w:rPr>
          <w:position w:val="-5"/>
          <w:sz w:val="10"/>
        </w:rPr>
        <w:t>2 </w:t>
      </w:r>
      <w:r>
        <w:rPr>
          <w:sz w:val="18"/>
        </w:rPr>
        <w:t>in salt caverns. </w:t>
      </w:r>
      <w:r>
        <w:rPr>
          <w:i/>
          <w:sz w:val="18"/>
        </w:rPr>
        <w:t>Journal of Canadian Petroleum </w:t>
      </w:r>
      <w:r>
        <w:rPr>
          <w:i/>
          <w:spacing w:val="-3"/>
          <w:sz w:val="18"/>
        </w:rPr>
        <w:t>Technology</w:t>
      </w:r>
      <w:r>
        <w:rPr>
          <w:spacing w:val="-3"/>
          <w:sz w:val="18"/>
        </w:rPr>
        <w:t>, </w:t>
      </w:r>
      <w:r>
        <w:rPr>
          <w:b/>
          <w:sz w:val="18"/>
        </w:rPr>
        <w:t>43</w:t>
      </w:r>
      <w:r>
        <w:rPr>
          <w:sz w:val="18"/>
        </w:rPr>
        <w:t>(11),</w:t>
      </w:r>
      <w:r>
        <w:rPr>
          <w:spacing w:val="-1"/>
          <w:sz w:val="18"/>
        </w:rPr>
        <w:t> </w:t>
      </w:r>
      <w:r>
        <w:rPr>
          <w:sz w:val="18"/>
        </w:rPr>
        <w:t>49–55.</w:t>
      </w:r>
    </w:p>
    <w:p>
      <w:pPr>
        <w:spacing w:after="0" w:line="240" w:lineRule="exact"/>
        <w:jc w:val="both"/>
        <w:rPr>
          <w:sz w:val="18"/>
        </w:rPr>
        <w:sectPr>
          <w:type w:val="continuous"/>
          <w:pgSz w:w="12240" w:h="15840"/>
          <w:pgMar w:top="400" w:bottom="280" w:left="580" w:right="600"/>
          <w:cols w:num="2" w:equalWidth="0">
            <w:col w:w="5598" w:space="40"/>
            <w:col w:w="5422"/>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40" w:lineRule="exact" w:before="43"/>
        <w:ind w:left="497" w:right="38" w:hanging="341"/>
        <w:jc w:val="both"/>
        <w:rPr>
          <w:sz w:val="18"/>
        </w:rPr>
      </w:pPr>
      <w:r>
        <w:rPr>
          <w:b/>
          <w:sz w:val="18"/>
        </w:rPr>
        <w:t>Emberley, </w:t>
      </w:r>
      <w:r>
        <w:rPr>
          <w:sz w:val="18"/>
        </w:rPr>
        <w:t>S., I. Hutcheon, M. Shevalier, K. Durocher, </w:t>
      </w:r>
      <w:r>
        <w:rPr>
          <w:spacing w:val="-5"/>
          <w:sz w:val="18"/>
        </w:rPr>
        <w:t>W.D. </w:t>
      </w:r>
      <w:r>
        <w:rPr>
          <w:sz w:val="18"/>
        </w:rPr>
        <w:t>Gunter and E.H. Perkins, 2002: Geochemical monitoring of rock-fluid interaction and CO</w:t>
      </w:r>
      <w:r>
        <w:rPr>
          <w:position w:val="-5"/>
          <w:sz w:val="10"/>
        </w:rPr>
        <w:t>2 </w:t>
      </w:r>
      <w:r>
        <w:rPr>
          <w:sz w:val="18"/>
        </w:rPr>
        <w:t>storage at theWeyburn CO</w:t>
      </w:r>
      <w:r>
        <w:rPr>
          <w:position w:val="-5"/>
          <w:sz w:val="10"/>
        </w:rPr>
        <w:t>2 </w:t>
      </w:r>
      <w:r>
        <w:rPr>
          <w:sz w:val="18"/>
        </w:rPr>
        <w:t>- injection enhanced oil recovery site, Saskatchewan, Canada. Proceedings of the 6</w:t>
      </w:r>
      <w:r>
        <w:rPr>
          <w:position w:val="6"/>
          <w:sz w:val="10"/>
        </w:rPr>
        <w:t>th </w:t>
      </w:r>
      <w:r>
        <w:rPr>
          <w:sz w:val="18"/>
        </w:rPr>
        <w:t>International Conference on Greenhouse Gas Control Technologies</w:t>
      </w:r>
      <w:r>
        <w:rPr>
          <w:spacing w:val="-5"/>
          <w:sz w:val="18"/>
        </w:rPr>
        <w:t> </w:t>
      </w:r>
      <w:r>
        <w:rPr>
          <w:sz w:val="18"/>
        </w:rPr>
        <w:t>(GHGT-6),</w:t>
      </w:r>
      <w:r>
        <w:rPr>
          <w:spacing w:val="-5"/>
          <w:sz w:val="18"/>
        </w:rPr>
        <w:t> </w:t>
      </w:r>
      <w:r>
        <w:rPr>
          <w:sz w:val="18"/>
        </w:rPr>
        <w:t>J.</w:t>
      </w:r>
      <w:r>
        <w:rPr>
          <w:spacing w:val="-5"/>
          <w:sz w:val="18"/>
        </w:rPr>
        <w:t> </w:t>
      </w:r>
      <w:r>
        <w:rPr>
          <w:sz w:val="18"/>
        </w:rPr>
        <w:t>Gale</w:t>
      </w:r>
      <w:r>
        <w:rPr>
          <w:spacing w:val="-4"/>
          <w:sz w:val="18"/>
        </w:rPr>
        <w:t> </w:t>
      </w:r>
      <w:r>
        <w:rPr>
          <w:sz w:val="18"/>
        </w:rPr>
        <w:t>and</w:t>
      </w:r>
      <w:r>
        <w:rPr>
          <w:spacing w:val="-11"/>
          <w:sz w:val="18"/>
        </w:rPr>
        <w:t> </w:t>
      </w:r>
      <w:r>
        <w:rPr>
          <w:spacing w:val="-12"/>
          <w:sz w:val="18"/>
        </w:rPr>
        <w:t>Y.</w:t>
      </w:r>
      <w:r>
        <w:rPr>
          <w:spacing w:val="-5"/>
          <w:sz w:val="18"/>
        </w:rPr>
        <w:t> </w:t>
      </w:r>
      <w:r>
        <w:rPr>
          <w:sz w:val="18"/>
        </w:rPr>
        <w:t>Kaya</w:t>
      </w:r>
      <w:r>
        <w:rPr>
          <w:spacing w:val="-5"/>
          <w:sz w:val="18"/>
        </w:rPr>
        <w:t> </w:t>
      </w:r>
      <w:r>
        <w:rPr>
          <w:sz w:val="18"/>
        </w:rPr>
        <w:t>(eds.),</w:t>
      </w:r>
      <w:r>
        <w:rPr>
          <w:spacing w:val="-4"/>
          <w:sz w:val="18"/>
        </w:rPr>
        <w:t> </w:t>
      </w:r>
      <w:r>
        <w:rPr>
          <w:sz w:val="18"/>
        </w:rPr>
        <w:t>1–4</w:t>
      </w:r>
      <w:r>
        <w:rPr>
          <w:spacing w:val="-5"/>
          <w:sz w:val="18"/>
        </w:rPr>
        <w:t> </w:t>
      </w:r>
      <w:r>
        <w:rPr>
          <w:sz w:val="18"/>
        </w:rPr>
        <w:t>October 2002, Kyoto, Japan, Pergamon, </w:t>
      </w:r>
      <w:r>
        <w:rPr>
          <w:spacing w:val="-3"/>
          <w:sz w:val="18"/>
        </w:rPr>
        <w:t>v.I, </w:t>
      </w:r>
      <w:r>
        <w:rPr>
          <w:sz w:val="18"/>
        </w:rPr>
        <w:t>pp.</w:t>
      </w:r>
      <w:r>
        <w:rPr>
          <w:spacing w:val="-2"/>
          <w:sz w:val="18"/>
        </w:rPr>
        <w:t> </w:t>
      </w:r>
      <w:r>
        <w:rPr>
          <w:sz w:val="18"/>
        </w:rPr>
        <w:t>365–370.</w:t>
      </w:r>
    </w:p>
    <w:p>
      <w:pPr>
        <w:spacing w:line="240" w:lineRule="exact" w:before="0"/>
        <w:ind w:left="497" w:right="38" w:hanging="341"/>
        <w:jc w:val="both"/>
        <w:rPr>
          <w:sz w:val="18"/>
        </w:rPr>
      </w:pPr>
      <w:r>
        <w:rPr>
          <w:b/>
          <w:sz w:val="18"/>
        </w:rPr>
        <w:t>Enick, </w:t>
      </w:r>
      <w:r>
        <w:rPr>
          <w:sz w:val="18"/>
        </w:rPr>
        <w:t>R.M. and S.M. Klara, 1990: CO</w:t>
      </w:r>
      <w:r>
        <w:rPr>
          <w:position w:val="-5"/>
          <w:sz w:val="10"/>
        </w:rPr>
        <w:t>2 </w:t>
      </w:r>
      <w:r>
        <w:rPr>
          <w:sz w:val="18"/>
        </w:rPr>
        <w:t>solubility  in  water  and brine under reservoir conditions. </w:t>
      </w:r>
      <w:r>
        <w:rPr>
          <w:i/>
          <w:sz w:val="18"/>
        </w:rPr>
        <w:t>Chemical Engineering </w:t>
      </w:r>
      <w:r>
        <w:rPr>
          <w:i/>
          <w:sz w:val="18"/>
        </w:rPr>
        <w:t>Communications</w:t>
      </w:r>
      <w:r>
        <w:rPr>
          <w:sz w:val="18"/>
        </w:rPr>
        <w:t>, </w:t>
      </w:r>
      <w:r>
        <w:rPr>
          <w:b/>
          <w:sz w:val="18"/>
        </w:rPr>
        <w:t>90</w:t>
      </w:r>
      <w:r>
        <w:rPr>
          <w:sz w:val="18"/>
        </w:rPr>
        <w:t>,</w:t>
      </w:r>
      <w:r>
        <w:rPr>
          <w:spacing w:val="-1"/>
          <w:sz w:val="18"/>
        </w:rPr>
        <w:t> </w:t>
      </w:r>
      <w:r>
        <w:rPr>
          <w:sz w:val="18"/>
        </w:rPr>
        <w:t>23–33.</w:t>
      </w:r>
    </w:p>
    <w:p>
      <w:pPr>
        <w:spacing w:line="278" w:lineRule="auto" w:before="24"/>
        <w:ind w:left="497" w:right="38" w:hanging="341"/>
        <w:jc w:val="both"/>
        <w:rPr>
          <w:sz w:val="18"/>
        </w:rPr>
      </w:pPr>
      <w:r>
        <w:rPr>
          <w:b/>
          <w:sz w:val="18"/>
        </w:rPr>
        <w:t>Ennis-King, </w:t>
      </w:r>
      <w:r>
        <w:rPr>
          <w:sz w:val="18"/>
        </w:rPr>
        <w:t>J. and L. Paterson, 2001: Reservoir engineering issues</w:t>
      </w:r>
      <w:r>
        <w:rPr>
          <w:spacing w:val="-27"/>
          <w:sz w:val="18"/>
        </w:rPr>
        <w:t> </w:t>
      </w:r>
      <w:r>
        <w:rPr>
          <w:sz w:val="18"/>
        </w:rPr>
        <w:t>in the geological disposal of carbon dioxide. Proceedings of the 5</w:t>
      </w:r>
      <w:r>
        <w:rPr>
          <w:position w:val="6"/>
          <w:sz w:val="10"/>
        </w:rPr>
        <w:t>th </w:t>
      </w:r>
      <w:r>
        <w:rPr>
          <w:sz w:val="18"/>
        </w:rPr>
        <w:t>International</w:t>
      </w:r>
      <w:r>
        <w:rPr>
          <w:spacing w:val="-28"/>
          <w:sz w:val="18"/>
        </w:rPr>
        <w:t> </w:t>
      </w:r>
      <w:r>
        <w:rPr>
          <w:sz w:val="18"/>
        </w:rPr>
        <w:t>Conference</w:t>
      </w:r>
      <w:r>
        <w:rPr>
          <w:spacing w:val="-28"/>
          <w:sz w:val="18"/>
        </w:rPr>
        <w:t> </w:t>
      </w:r>
      <w:r>
        <w:rPr>
          <w:sz w:val="18"/>
        </w:rPr>
        <w:t>on</w:t>
      </w:r>
      <w:r>
        <w:rPr>
          <w:spacing w:val="-27"/>
          <w:sz w:val="18"/>
        </w:rPr>
        <w:t> </w:t>
      </w:r>
      <w:r>
        <w:rPr>
          <w:sz w:val="18"/>
        </w:rPr>
        <w:t>Greenhouse</w:t>
      </w:r>
      <w:r>
        <w:rPr>
          <w:spacing w:val="-28"/>
          <w:sz w:val="18"/>
        </w:rPr>
        <w:t> </w:t>
      </w:r>
      <w:r>
        <w:rPr>
          <w:sz w:val="18"/>
        </w:rPr>
        <w:t>Gas</w:t>
      </w:r>
      <w:r>
        <w:rPr>
          <w:spacing w:val="-27"/>
          <w:sz w:val="18"/>
        </w:rPr>
        <w:t> </w:t>
      </w:r>
      <w:r>
        <w:rPr>
          <w:sz w:val="18"/>
        </w:rPr>
        <w:t>Control</w:t>
      </w:r>
      <w:r>
        <w:rPr>
          <w:spacing w:val="-30"/>
          <w:sz w:val="18"/>
        </w:rPr>
        <w:t> </w:t>
      </w:r>
      <w:r>
        <w:rPr>
          <w:sz w:val="18"/>
        </w:rPr>
        <w:t>Technologies (GHGT-5), D. Williams, D. Durie, </w:t>
      </w:r>
      <w:r>
        <w:rPr>
          <w:spacing w:val="-10"/>
          <w:sz w:val="18"/>
        </w:rPr>
        <w:t>P. </w:t>
      </w:r>
      <w:r>
        <w:rPr>
          <w:sz w:val="18"/>
        </w:rPr>
        <w:t>McMullan, C. Paulson and</w:t>
      </w:r>
    </w:p>
    <w:p>
      <w:pPr>
        <w:spacing w:line="278" w:lineRule="auto" w:before="0"/>
        <w:ind w:left="497" w:right="40" w:firstLine="0"/>
        <w:jc w:val="both"/>
        <w:rPr>
          <w:sz w:val="18"/>
        </w:rPr>
      </w:pPr>
      <w:r>
        <w:rPr>
          <w:sz w:val="18"/>
        </w:rPr>
        <w:t>A. Smith (eds.), 13–16 August 2000, Cairns, Australia, CSIRO Publishing, Collingwood, Victoria, Australia, pp. 290–295.</w:t>
      </w:r>
    </w:p>
    <w:p>
      <w:pPr>
        <w:spacing w:line="278" w:lineRule="auto" w:before="0"/>
        <w:ind w:left="497" w:right="38" w:hanging="341"/>
        <w:jc w:val="both"/>
        <w:rPr>
          <w:sz w:val="18"/>
        </w:rPr>
      </w:pPr>
      <w:r>
        <w:rPr>
          <w:b/>
          <w:sz w:val="18"/>
        </w:rPr>
        <w:t>Ennis-King, </w:t>
      </w:r>
      <w:r>
        <w:rPr>
          <w:spacing w:val="-6"/>
          <w:sz w:val="18"/>
        </w:rPr>
        <w:t>J.P. </w:t>
      </w:r>
      <w:r>
        <w:rPr>
          <w:sz w:val="18"/>
        </w:rPr>
        <w:t>and L. Paterson, 2003: Role of convective mixing in the</w:t>
      </w:r>
      <w:r>
        <w:rPr>
          <w:spacing w:val="-9"/>
          <w:sz w:val="18"/>
        </w:rPr>
        <w:t> </w:t>
      </w:r>
      <w:r>
        <w:rPr>
          <w:sz w:val="18"/>
        </w:rPr>
        <w:t>long-term</w:t>
      </w:r>
      <w:r>
        <w:rPr>
          <w:spacing w:val="-8"/>
          <w:sz w:val="18"/>
        </w:rPr>
        <w:t> </w:t>
      </w:r>
      <w:r>
        <w:rPr>
          <w:sz w:val="18"/>
        </w:rPr>
        <w:t>storage</w:t>
      </w:r>
      <w:r>
        <w:rPr>
          <w:spacing w:val="-8"/>
          <w:sz w:val="18"/>
        </w:rPr>
        <w:t> </w:t>
      </w:r>
      <w:r>
        <w:rPr>
          <w:sz w:val="18"/>
        </w:rPr>
        <w:t>of</w:t>
      </w:r>
      <w:r>
        <w:rPr>
          <w:spacing w:val="-8"/>
          <w:sz w:val="18"/>
        </w:rPr>
        <w:t> </w:t>
      </w:r>
      <w:r>
        <w:rPr>
          <w:sz w:val="18"/>
        </w:rPr>
        <w:t>carbon</w:t>
      </w:r>
      <w:r>
        <w:rPr>
          <w:spacing w:val="-8"/>
          <w:sz w:val="18"/>
        </w:rPr>
        <w:t> </w:t>
      </w:r>
      <w:r>
        <w:rPr>
          <w:sz w:val="18"/>
        </w:rPr>
        <w:t>dioxide</w:t>
      </w:r>
      <w:r>
        <w:rPr>
          <w:spacing w:val="-8"/>
          <w:sz w:val="18"/>
        </w:rPr>
        <w:t> </w:t>
      </w:r>
      <w:r>
        <w:rPr>
          <w:sz w:val="18"/>
        </w:rPr>
        <w:t>in</w:t>
      </w:r>
      <w:r>
        <w:rPr>
          <w:spacing w:val="-9"/>
          <w:sz w:val="18"/>
        </w:rPr>
        <w:t> </w:t>
      </w:r>
      <w:r>
        <w:rPr>
          <w:sz w:val="18"/>
        </w:rPr>
        <w:t>deep</w:t>
      </w:r>
      <w:r>
        <w:rPr>
          <w:spacing w:val="-8"/>
          <w:sz w:val="18"/>
        </w:rPr>
        <w:t> </w:t>
      </w:r>
      <w:r>
        <w:rPr>
          <w:sz w:val="18"/>
        </w:rPr>
        <w:t>saline</w:t>
      </w:r>
      <w:r>
        <w:rPr>
          <w:spacing w:val="-8"/>
          <w:sz w:val="18"/>
        </w:rPr>
        <w:t> </w:t>
      </w:r>
      <w:r>
        <w:rPr>
          <w:sz w:val="18"/>
        </w:rPr>
        <w:t>formations. Presented at Society of Petroleum Engineers Annual Technical Conference</w:t>
      </w:r>
      <w:r>
        <w:rPr>
          <w:spacing w:val="-10"/>
          <w:sz w:val="18"/>
        </w:rPr>
        <w:t> </w:t>
      </w:r>
      <w:r>
        <w:rPr>
          <w:sz w:val="18"/>
        </w:rPr>
        <w:t>and</w:t>
      </w:r>
      <w:r>
        <w:rPr>
          <w:spacing w:val="-10"/>
          <w:sz w:val="18"/>
        </w:rPr>
        <w:t> </w:t>
      </w:r>
      <w:r>
        <w:rPr>
          <w:sz w:val="18"/>
        </w:rPr>
        <w:t>Exhibition,</w:t>
      </w:r>
      <w:r>
        <w:rPr>
          <w:spacing w:val="-9"/>
          <w:sz w:val="18"/>
        </w:rPr>
        <w:t> </w:t>
      </w:r>
      <w:r>
        <w:rPr>
          <w:sz w:val="18"/>
        </w:rPr>
        <w:t>Denver,</w:t>
      </w:r>
      <w:r>
        <w:rPr>
          <w:spacing w:val="-10"/>
          <w:sz w:val="18"/>
        </w:rPr>
        <w:t> </w:t>
      </w:r>
      <w:r>
        <w:rPr>
          <w:sz w:val="18"/>
        </w:rPr>
        <w:t>Colorado,</w:t>
      </w:r>
      <w:r>
        <w:rPr>
          <w:spacing w:val="-9"/>
          <w:sz w:val="18"/>
        </w:rPr>
        <w:t> </w:t>
      </w:r>
      <w:r>
        <w:rPr>
          <w:sz w:val="18"/>
        </w:rPr>
        <w:t>5–8</w:t>
      </w:r>
      <w:r>
        <w:rPr>
          <w:spacing w:val="-10"/>
          <w:sz w:val="18"/>
        </w:rPr>
        <w:t> </w:t>
      </w:r>
      <w:r>
        <w:rPr>
          <w:sz w:val="18"/>
        </w:rPr>
        <w:t>October</w:t>
      </w:r>
      <w:r>
        <w:rPr>
          <w:spacing w:val="-9"/>
          <w:sz w:val="18"/>
        </w:rPr>
        <w:t> </w:t>
      </w:r>
      <w:r>
        <w:rPr>
          <w:sz w:val="18"/>
        </w:rPr>
        <w:t>2003, SPE paper no.</w:t>
      </w:r>
      <w:r>
        <w:rPr>
          <w:spacing w:val="-2"/>
          <w:sz w:val="18"/>
        </w:rPr>
        <w:t> </w:t>
      </w:r>
      <w:r>
        <w:rPr>
          <w:sz w:val="18"/>
        </w:rPr>
        <w:t>84344.</w:t>
      </w:r>
    </w:p>
    <w:p>
      <w:pPr>
        <w:spacing w:line="278" w:lineRule="auto" w:before="0"/>
        <w:ind w:left="497" w:right="40" w:hanging="341"/>
        <w:jc w:val="both"/>
        <w:rPr>
          <w:sz w:val="18"/>
        </w:rPr>
      </w:pPr>
      <w:r>
        <w:rPr>
          <w:b/>
          <w:sz w:val="18"/>
        </w:rPr>
        <w:t>Ennis-King, </w:t>
      </w:r>
      <w:r>
        <w:rPr>
          <w:sz w:val="18"/>
        </w:rPr>
        <w:t>J, C.M. Gibson-Poole, S.C. Lang and L. Paterson,  2003: Long term numerical simulation of geological storage of CO</w:t>
      </w:r>
      <w:r>
        <w:rPr>
          <w:position w:val="-5"/>
          <w:sz w:val="10"/>
        </w:rPr>
        <w:t>2 </w:t>
      </w:r>
      <w:r>
        <w:rPr>
          <w:spacing w:val="12"/>
          <w:position w:val="-5"/>
          <w:sz w:val="10"/>
        </w:rPr>
        <w:t> </w:t>
      </w:r>
      <w:r>
        <w:rPr>
          <w:sz w:val="18"/>
        </w:rPr>
        <w:t>in</w:t>
      </w:r>
      <w:r>
        <w:rPr>
          <w:spacing w:val="18"/>
          <w:sz w:val="18"/>
        </w:rPr>
        <w:t> </w:t>
      </w:r>
      <w:r>
        <w:rPr>
          <w:sz w:val="18"/>
        </w:rPr>
        <w:t>the</w:t>
      </w:r>
      <w:r>
        <w:rPr>
          <w:spacing w:val="17"/>
          <w:sz w:val="18"/>
        </w:rPr>
        <w:t> </w:t>
      </w:r>
      <w:r>
        <w:rPr>
          <w:sz w:val="18"/>
        </w:rPr>
        <w:t>Petrel</w:t>
      </w:r>
      <w:r>
        <w:rPr>
          <w:spacing w:val="18"/>
          <w:sz w:val="18"/>
        </w:rPr>
        <w:t> </w:t>
      </w:r>
      <w:r>
        <w:rPr>
          <w:sz w:val="18"/>
        </w:rPr>
        <w:t>sub-basin,</w:t>
      </w:r>
      <w:r>
        <w:rPr>
          <w:spacing w:val="17"/>
          <w:sz w:val="18"/>
        </w:rPr>
        <w:t> </w:t>
      </w:r>
      <w:r>
        <w:rPr>
          <w:sz w:val="18"/>
        </w:rPr>
        <w:t>North</w:t>
      </w:r>
      <w:r>
        <w:rPr>
          <w:spacing w:val="15"/>
          <w:sz w:val="18"/>
        </w:rPr>
        <w:t> </w:t>
      </w:r>
      <w:r>
        <w:rPr>
          <w:spacing w:val="-4"/>
          <w:sz w:val="18"/>
        </w:rPr>
        <w:t>West</w:t>
      </w:r>
      <w:r>
        <w:rPr>
          <w:spacing w:val="8"/>
          <w:sz w:val="18"/>
        </w:rPr>
        <w:t> </w:t>
      </w:r>
      <w:r>
        <w:rPr>
          <w:sz w:val="18"/>
        </w:rPr>
        <w:t>Australia.</w:t>
      </w:r>
      <w:r>
        <w:rPr>
          <w:spacing w:val="18"/>
          <w:sz w:val="18"/>
        </w:rPr>
        <w:t> </w:t>
      </w:r>
      <w:r>
        <w:rPr>
          <w:sz w:val="18"/>
        </w:rPr>
        <w:t>Proceedings</w:t>
      </w:r>
    </w:p>
    <w:p>
      <w:pPr>
        <w:spacing w:line="164" w:lineRule="exact" w:before="0"/>
        <w:ind w:left="497" w:right="0" w:firstLine="0"/>
        <w:jc w:val="both"/>
        <w:rPr>
          <w:sz w:val="18"/>
        </w:rPr>
      </w:pPr>
      <w:r>
        <w:rPr>
          <w:sz w:val="18"/>
        </w:rPr>
        <w:t>of</w:t>
      </w:r>
      <w:r>
        <w:rPr>
          <w:spacing w:val="20"/>
          <w:sz w:val="18"/>
        </w:rPr>
        <w:t> </w:t>
      </w:r>
      <w:r>
        <w:rPr>
          <w:sz w:val="18"/>
        </w:rPr>
        <w:t>the</w:t>
      </w:r>
      <w:r>
        <w:rPr>
          <w:spacing w:val="21"/>
          <w:sz w:val="18"/>
        </w:rPr>
        <w:t> </w:t>
      </w:r>
      <w:r>
        <w:rPr>
          <w:sz w:val="18"/>
        </w:rPr>
        <w:t>6</w:t>
      </w:r>
      <w:r>
        <w:rPr>
          <w:position w:val="6"/>
          <w:sz w:val="10"/>
        </w:rPr>
        <w:t>th </w:t>
      </w:r>
      <w:r>
        <w:rPr>
          <w:spacing w:val="16"/>
          <w:position w:val="6"/>
          <w:sz w:val="10"/>
        </w:rPr>
        <w:t> </w:t>
      </w:r>
      <w:r>
        <w:rPr>
          <w:sz w:val="18"/>
        </w:rPr>
        <w:t>International</w:t>
      </w:r>
      <w:r>
        <w:rPr>
          <w:spacing w:val="21"/>
          <w:sz w:val="18"/>
        </w:rPr>
        <w:t> </w:t>
      </w:r>
      <w:r>
        <w:rPr>
          <w:sz w:val="18"/>
        </w:rPr>
        <w:t>Conference</w:t>
      </w:r>
      <w:r>
        <w:rPr>
          <w:spacing w:val="21"/>
          <w:sz w:val="18"/>
        </w:rPr>
        <w:t> </w:t>
      </w:r>
      <w:r>
        <w:rPr>
          <w:sz w:val="18"/>
        </w:rPr>
        <w:t>on</w:t>
      </w:r>
      <w:r>
        <w:rPr>
          <w:spacing w:val="21"/>
          <w:sz w:val="18"/>
        </w:rPr>
        <w:t> </w:t>
      </w:r>
      <w:r>
        <w:rPr>
          <w:sz w:val="18"/>
        </w:rPr>
        <w:t>Greenhouse</w:t>
      </w:r>
      <w:r>
        <w:rPr>
          <w:spacing w:val="21"/>
          <w:sz w:val="18"/>
        </w:rPr>
        <w:t> </w:t>
      </w:r>
      <w:r>
        <w:rPr>
          <w:sz w:val="18"/>
        </w:rPr>
        <w:t>Gas</w:t>
      </w:r>
      <w:r>
        <w:rPr>
          <w:spacing w:val="21"/>
          <w:sz w:val="18"/>
        </w:rPr>
        <w:t> </w:t>
      </w:r>
      <w:r>
        <w:rPr>
          <w:sz w:val="18"/>
        </w:rPr>
        <w:t>Control</w:t>
      </w:r>
    </w:p>
    <w:p>
      <w:pPr>
        <w:spacing w:line="278" w:lineRule="auto" w:before="32"/>
        <w:ind w:left="497" w:right="39" w:firstLine="0"/>
        <w:jc w:val="both"/>
        <w:rPr>
          <w:sz w:val="18"/>
        </w:rPr>
      </w:pPr>
      <w:r>
        <w:rPr>
          <w:sz w:val="18"/>
        </w:rPr>
        <w:t>Technologies</w:t>
      </w:r>
      <w:r>
        <w:rPr>
          <w:spacing w:val="-5"/>
          <w:sz w:val="18"/>
        </w:rPr>
        <w:t> </w:t>
      </w:r>
      <w:r>
        <w:rPr>
          <w:sz w:val="18"/>
        </w:rPr>
        <w:t>(GHGT-6),</w:t>
      </w:r>
      <w:r>
        <w:rPr>
          <w:spacing w:val="-5"/>
          <w:sz w:val="18"/>
        </w:rPr>
        <w:t> </w:t>
      </w:r>
      <w:r>
        <w:rPr>
          <w:sz w:val="18"/>
        </w:rPr>
        <w:t>J.</w:t>
      </w:r>
      <w:r>
        <w:rPr>
          <w:spacing w:val="-5"/>
          <w:sz w:val="18"/>
        </w:rPr>
        <w:t> </w:t>
      </w:r>
      <w:r>
        <w:rPr>
          <w:sz w:val="18"/>
        </w:rPr>
        <w:t>Gale</w:t>
      </w:r>
      <w:r>
        <w:rPr>
          <w:spacing w:val="-4"/>
          <w:sz w:val="18"/>
        </w:rPr>
        <w:t> </w:t>
      </w:r>
      <w:r>
        <w:rPr>
          <w:sz w:val="18"/>
        </w:rPr>
        <w:t>and</w:t>
      </w:r>
      <w:r>
        <w:rPr>
          <w:spacing w:val="-11"/>
          <w:sz w:val="18"/>
        </w:rPr>
        <w:t> </w:t>
      </w:r>
      <w:r>
        <w:rPr>
          <w:spacing w:val="-12"/>
          <w:sz w:val="18"/>
        </w:rPr>
        <w:t>Y.</w:t>
      </w:r>
      <w:r>
        <w:rPr>
          <w:spacing w:val="-5"/>
          <w:sz w:val="18"/>
        </w:rPr>
        <w:t> </w:t>
      </w:r>
      <w:r>
        <w:rPr>
          <w:sz w:val="18"/>
        </w:rPr>
        <w:t>Kaya</w:t>
      </w:r>
      <w:r>
        <w:rPr>
          <w:spacing w:val="-5"/>
          <w:sz w:val="18"/>
        </w:rPr>
        <w:t> </w:t>
      </w:r>
      <w:r>
        <w:rPr>
          <w:sz w:val="18"/>
        </w:rPr>
        <w:t>(eds.),</w:t>
      </w:r>
      <w:r>
        <w:rPr>
          <w:spacing w:val="-5"/>
          <w:sz w:val="18"/>
        </w:rPr>
        <w:t> </w:t>
      </w:r>
      <w:r>
        <w:rPr>
          <w:sz w:val="18"/>
        </w:rPr>
        <w:t>1–4</w:t>
      </w:r>
      <w:r>
        <w:rPr>
          <w:spacing w:val="-4"/>
          <w:sz w:val="18"/>
        </w:rPr>
        <w:t> </w:t>
      </w:r>
      <w:r>
        <w:rPr>
          <w:sz w:val="18"/>
        </w:rPr>
        <w:t>October 2002, Kyoto, Japan, Pergamon, </w:t>
      </w:r>
      <w:r>
        <w:rPr>
          <w:spacing w:val="-3"/>
          <w:sz w:val="18"/>
        </w:rPr>
        <w:t>v.I,</w:t>
      </w:r>
      <w:r>
        <w:rPr>
          <w:spacing w:val="-6"/>
          <w:sz w:val="18"/>
        </w:rPr>
        <w:t> </w:t>
      </w:r>
      <w:r>
        <w:rPr>
          <w:sz w:val="18"/>
        </w:rPr>
        <w:t>507–511.</w:t>
      </w:r>
    </w:p>
    <w:p>
      <w:pPr>
        <w:spacing w:line="278" w:lineRule="auto" w:before="0"/>
        <w:ind w:left="497" w:right="38" w:hanging="341"/>
        <w:jc w:val="both"/>
        <w:rPr>
          <w:sz w:val="18"/>
        </w:rPr>
      </w:pPr>
      <w:r>
        <w:rPr>
          <w:b/>
          <w:sz w:val="18"/>
        </w:rPr>
        <w:t>Espie, </w:t>
      </w:r>
      <w:r>
        <w:rPr>
          <w:sz w:val="18"/>
        </w:rPr>
        <w:t>A.A, </w:t>
      </w:r>
      <w:r>
        <w:rPr>
          <w:spacing w:val="-7"/>
          <w:sz w:val="18"/>
        </w:rPr>
        <w:t>P.J </w:t>
      </w:r>
      <w:r>
        <w:rPr>
          <w:sz w:val="18"/>
        </w:rPr>
        <w:t>Brand, R.C. Skinner, R.A. Hubbard and H.I. Turan, 2003: </w:t>
      </w:r>
      <w:r>
        <w:rPr>
          <w:spacing w:val="6"/>
          <w:sz w:val="18"/>
        </w:rPr>
        <w:t> </w:t>
      </w:r>
      <w:r>
        <w:rPr>
          <w:sz w:val="18"/>
        </w:rPr>
        <w:t>Obstacles </w:t>
      </w:r>
      <w:r>
        <w:rPr>
          <w:spacing w:val="7"/>
          <w:sz w:val="18"/>
        </w:rPr>
        <w:t> </w:t>
      </w:r>
      <w:r>
        <w:rPr>
          <w:sz w:val="18"/>
        </w:rPr>
        <w:t>to </w:t>
      </w:r>
      <w:r>
        <w:rPr>
          <w:spacing w:val="7"/>
          <w:sz w:val="18"/>
        </w:rPr>
        <w:t> </w:t>
      </w:r>
      <w:r>
        <w:rPr>
          <w:sz w:val="18"/>
        </w:rPr>
        <w:t>the </w:t>
      </w:r>
      <w:r>
        <w:rPr>
          <w:spacing w:val="7"/>
          <w:sz w:val="18"/>
        </w:rPr>
        <w:t> </w:t>
      </w:r>
      <w:r>
        <w:rPr>
          <w:sz w:val="18"/>
        </w:rPr>
        <w:t>storage </w:t>
      </w:r>
      <w:r>
        <w:rPr>
          <w:spacing w:val="7"/>
          <w:sz w:val="18"/>
        </w:rPr>
        <w:t> </w:t>
      </w:r>
      <w:r>
        <w:rPr>
          <w:sz w:val="18"/>
        </w:rPr>
        <w:t>of </w:t>
      </w:r>
      <w:r>
        <w:rPr>
          <w:spacing w:val="7"/>
          <w:sz w:val="18"/>
        </w:rPr>
        <w:t> </w:t>
      </w:r>
      <w:r>
        <w:rPr>
          <w:sz w:val="18"/>
        </w:rPr>
        <w:t>CO</w:t>
      </w:r>
      <w:r>
        <w:rPr>
          <w:position w:val="-5"/>
          <w:sz w:val="10"/>
        </w:rPr>
        <w:t>2  </w:t>
      </w:r>
      <w:r>
        <w:rPr>
          <w:spacing w:val="21"/>
          <w:position w:val="-5"/>
          <w:sz w:val="10"/>
        </w:rPr>
        <w:t> </w:t>
      </w:r>
      <w:r>
        <w:rPr>
          <w:sz w:val="18"/>
        </w:rPr>
        <w:t>through </w:t>
      </w:r>
      <w:r>
        <w:rPr>
          <w:spacing w:val="7"/>
          <w:sz w:val="18"/>
        </w:rPr>
        <w:t> </w:t>
      </w:r>
      <w:r>
        <w:rPr>
          <w:sz w:val="18"/>
        </w:rPr>
        <w:t>EOR </w:t>
      </w:r>
      <w:r>
        <w:rPr>
          <w:spacing w:val="7"/>
          <w:sz w:val="18"/>
        </w:rPr>
        <w:t> </w:t>
      </w:r>
      <w:r>
        <w:rPr>
          <w:sz w:val="18"/>
        </w:rPr>
        <w:t>in </w:t>
      </w:r>
      <w:r>
        <w:rPr>
          <w:spacing w:val="7"/>
          <w:sz w:val="18"/>
        </w:rPr>
        <w:t> </w:t>
      </w:r>
      <w:r>
        <w:rPr>
          <w:sz w:val="18"/>
        </w:rPr>
        <w:t>the</w:t>
      </w:r>
    </w:p>
    <w:p>
      <w:pPr>
        <w:spacing w:line="164" w:lineRule="exact" w:before="0"/>
        <w:ind w:left="497" w:right="0" w:firstLine="0"/>
        <w:jc w:val="both"/>
        <w:rPr>
          <w:sz w:val="18"/>
        </w:rPr>
      </w:pPr>
      <w:r>
        <w:rPr>
          <w:sz w:val="18"/>
        </w:rPr>
        <w:t>North</w:t>
      </w:r>
      <w:r>
        <w:rPr>
          <w:spacing w:val="31"/>
          <w:sz w:val="18"/>
        </w:rPr>
        <w:t> </w:t>
      </w:r>
      <w:r>
        <w:rPr>
          <w:sz w:val="18"/>
        </w:rPr>
        <w:t>Sea.</w:t>
      </w:r>
      <w:r>
        <w:rPr>
          <w:spacing w:val="31"/>
          <w:sz w:val="18"/>
        </w:rPr>
        <w:t> </w:t>
      </w:r>
      <w:r>
        <w:rPr>
          <w:sz w:val="18"/>
        </w:rPr>
        <w:t>Proceedings</w:t>
      </w:r>
      <w:r>
        <w:rPr>
          <w:spacing w:val="32"/>
          <w:sz w:val="18"/>
        </w:rPr>
        <w:t> </w:t>
      </w:r>
      <w:r>
        <w:rPr>
          <w:sz w:val="18"/>
        </w:rPr>
        <w:t>of</w:t>
      </w:r>
      <w:r>
        <w:rPr>
          <w:spacing w:val="31"/>
          <w:sz w:val="18"/>
        </w:rPr>
        <w:t> </w:t>
      </w:r>
      <w:r>
        <w:rPr>
          <w:sz w:val="18"/>
        </w:rPr>
        <w:t>the</w:t>
      </w:r>
      <w:r>
        <w:rPr>
          <w:spacing w:val="32"/>
          <w:sz w:val="18"/>
        </w:rPr>
        <w:t> </w:t>
      </w:r>
      <w:r>
        <w:rPr>
          <w:sz w:val="18"/>
        </w:rPr>
        <w:t>6</w:t>
      </w:r>
      <w:r>
        <w:rPr>
          <w:position w:val="6"/>
          <w:sz w:val="10"/>
        </w:rPr>
        <w:t>th  </w:t>
      </w:r>
      <w:r>
        <w:rPr>
          <w:spacing w:val="1"/>
          <w:position w:val="6"/>
          <w:sz w:val="10"/>
        </w:rPr>
        <w:t> </w:t>
      </w:r>
      <w:r>
        <w:rPr>
          <w:sz w:val="18"/>
        </w:rPr>
        <w:t>International</w:t>
      </w:r>
      <w:r>
        <w:rPr>
          <w:spacing w:val="32"/>
          <w:sz w:val="18"/>
        </w:rPr>
        <w:t> </w:t>
      </w:r>
      <w:r>
        <w:rPr>
          <w:sz w:val="18"/>
        </w:rPr>
        <w:t>Conference</w:t>
      </w:r>
      <w:r>
        <w:rPr>
          <w:spacing w:val="31"/>
          <w:sz w:val="18"/>
        </w:rPr>
        <w:t> </w:t>
      </w:r>
      <w:r>
        <w:rPr>
          <w:sz w:val="18"/>
        </w:rPr>
        <w:t>on</w:t>
      </w:r>
    </w:p>
    <w:p>
      <w:pPr>
        <w:spacing w:before="33"/>
        <w:ind w:left="497" w:right="0" w:firstLine="0"/>
        <w:jc w:val="both"/>
        <w:rPr>
          <w:sz w:val="18"/>
        </w:rPr>
      </w:pPr>
      <w:r>
        <w:rPr>
          <w:sz w:val="18"/>
        </w:rPr>
        <w:t>Greenhouse Gas  Control Technologies  (GHGT-6), J.  Gale</w:t>
      </w:r>
      <w:r>
        <w:rPr>
          <w:spacing w:val="44"/>
          <w:sz w:val="18"/>
        </w:rPr>
        <w:t> </w:t>
      </w:r>
      <w:r>
        <w:rPr>
          <w:sz w:val="18"/>
        </w:rPr>
        <w:t>and</w:t>
      </w:r>
    </w:p>
    <w:p>
      <w:pPr>
        <w:spacing w:line="278" w:lineRule="auto" w:before="33"/>
        <w:ind w:left="497" w:right="40" w:firstLine="0"/>
        <w:jc w:val="both"/>
        <w:rPr>
          <w:sz w:val="18"/>
        </w:rPr>
      </w:pPr>
      <w:r>
        <w:rPr>
          <w:sz w:val="18"/>
        </w:rPr>
        <w:t>Y. Kaya (eds.), 1–4 October 2002, Kyoto, Japan, Pergamon, v.I, 213–218.</w:t>
      </w:r>
    </w:p>
    <w:p>
      <w:pPr>
        <w:spacing w:line="278" w:lineRule="auto" w:before="0"/>
        <w:ind w:left="497" w:right="38" w:hanging="341"/>
        <w:jc w:val="both"/>
        <w:rPr>
          <w:sz w:val="18"/>
        </w:rPr>
      </w:pPr>
      <w:r>
        <w:rPr>
          <w:b/>
          <w:sz w:val="18"/>
        </w:rPr>
        <w:t>EU</w:t>
      </w:r>
      <w:r>
        <w:rPr>
          <w:sz w:val="18"/>
        </w:rPr>
        <w:t>, 2000: White Paper on Environmental Liability. COM(2000) 66 final, 9 February 2000. European Union Commission, Brussels. </w:t>
      </w:r>
      <w:r>
        <w:rPr>
          <w:spacing w:val="6"/>
          <w:sz w:val="18"/>
        </w:rPr>
        <w:t>http://</w:t>
      </w:r>
      <w:hyperlink r:id="rId266">
        <w:r>
          <w:rPr>
            <w:spacing w:val="6"/>
            <w:sz w:val="18"/>
          </w:rPr>
          <w:t>http://aei.pitt.edu/archive/00001197/01/environment_</w:t>
        </w:r>
      </w:hyperlink>
      <w:r>
        <w:rPr>
          <w:spacing w:val="6"/>
          <w:sz w:val="18"/>
        </w:rPr>
        <w:t> </w:t>
      </w:r>
      <w:r>
        <w:rPr>
          <w:sz w:val="18"/>
        </w:rPr>
        <w:t>liability_wp_COM_2000_66.pdf</w:t>
      </w:r>
    </w:p>
    <w:p>
      <w:pPr>
        <w:spacing w:line="278" w:lineRule="auto" w:before="0"/>
        <w:ind w:left="497" w:right="38" w:hanging="341"/>
        <w:jc w:val="both"/>
        <w:rPr>
          <w:sz w:val="18"/>
        </w:rPr>
      </w:pPr>
      <w:r>
        <w:rPr>
          <w:b/>
          <w:sz w:val="18"/>
        </w:rPr>
        <w:t>Eurobarometer</w:t>
      </w:r>
      <w:r>
        <w:rPr>
          <w:sz w:val="18"/>
        </w:rPr>
        <w:t>, 2003: Energy  Issues,  Options  and Technologies: A Survey of Public Opinion in Europe. Energy DG, European Commission, Brussels, Belgium.</w:t>
      </w:r>
    </w:p>
    <w:p>
      <w:pPr>
        <w:spacing w:line="278" w:lineRule="auto" w:before="0"/>
        <w:ind w:left="497" w:right="39" w:hanging="341"/>
        <w:jc w:val="both"/>
        <w:rPr>
          <w:sz w:val="18"/>
        </w:rPr>
      </w:pPr>
      <w:r>
        <w:rPr>
          <w:b/>
          <w:sz w:val="18"/>
        </w:rPr>
        <w:t>Farrar, </w:t>
      </w:r>
      <w:r>
        <w:rPr>
          <w:sz w:val="18"/>
        </w:rPr>
        <w:t>C.D., J.M. Neil and J.F. Howle, 1999: Magmatic carbon dioxide emissions at Mammoth Mountain, California. U.S. Geological Survey Water-Resources Investigations Report 98- 4217, Sacramento, CA.</w:t>
      </w:r>
    </w:p>
    <w:p>
      <w:pPr>
        <w:spacing w:line="278" w:lineRule="auto" w:before="0"/>
        <w:ind w:left="497" w:right="38" w:hanging="341"/>
        <w:jc w:val="both"/>
        <w:rPr>
          <w:sz w:val="18"/>
        </w:rPr>
      </w:pPr>
      <w:r>
        <w:rPr>
          <w:b/>
          <w:sz w:val="18"/>
        </w:rPr>
        <w:t>Figueiredo, </w:t>
      </w:r>
      <w:r>
        <w:rPr>
          <w:sz w:val="18"/>
        </w:rPr>
        <w:t>M.A. de, H.J. Herzog and D.M. Reiner, 2005: Framing the long-term liability issue for geologic storage carbon storage in the United States. </w:t>
      </w:r>
      <w:r>
        <w:rPr>
          <w:i/>
          <w:sz w:val="18"/>
        </w:rPr>
        <w:t>Mitigation and Adaptation Strategies for </w:t>
      </w:r>
      <w:r>
        <w:rPr>
          <w:i/>
          <w:sz w:val="18"/>
        </w:rPr>
        <w:t>Global Change</w:t>
      </w:r>
      <w:r>
        <w:rPr>
          <w:sz w:val="18"/>
        </w:rPr>
        <w:t>. In press.</w:t>
      </w:r>
    </w:p>
    <w:p>
      <w:pPr>
        <w:spacing w:line="278" w:lineRule="auto" w:before="0"/>
        <w:ind w:left="497" w:right="38" w:hanging="341"/>
        <w:jc w:val="both"/>
        <w:rPr>
          <w:sz w:val="18"/>
        </w:rPr>
      </w:pPr>
      <w:r>
        <w:rPr>
          <w:b/>
          <w:spacing w:val="-3"/>
          <w:sz w:val="18"/>
        </w:rPr>
        <w:t>Fischer, </w:t>
      </w:r>
      <w:r>
        <w:rPr>
          <w:sz w:val="18"/>
        </w:rPr>
        <w:t>M.L., A.J. Bentley, K.A. Dunkin, </w:t>
      </w:r>
      <w:r>
        <w:rPr>
          <w:spacing w:val="-4"/>
          <w:sz w:val="18"/>
        </w:rPr>
        <w:t>A.T. </w:t>
      </w:r>
      <w:r>
        <w:rPr>
          <w:sz w:val="18"/>
        </w:rPr>
        <w:t>Hodgson, </w:t>
      </w:r>
      <w:r>
        <w:rPr>
          <w:spacing w:val="-9"/>
          <w:sz w:val="18"/>
        </w:rPr>
        <w:t>W.W. </w:t>
      </w:r>
      <w:r>
        <w:rPr>
          <w:sz w:val="18"/>
        </w:rPr>
        <w:t>Nazaroff, R.G. Sextro and J.M. </w:t>
      </w:r>
      <w:r>
        <w:rPr>
          <w:spacing w:val="-3"/>
          <w:sz w:val="18"/>
        </w:rPr>
        <w:t>Daisy, </w:t>
      </w:r>
      <w:r>
        <w:rPr>
          <w:sz w:val="18"/>
        </w:rPr>
        <w:t>1996: Factors affecting indoor air concentrations of volatile organic compounds at a site of</w:t>
      </w:r>
      <w:r>
        <w:rPr>
          <w:spacing w:val="-11"/>
          <w:sz w:val="18"/>
        </w:rPr>
        <w:t> </w:t>
      </w:r>
      <w:r>
        <w:rPr>
          <w:sz w:val="18"/>
        </w:rPr>
        <w:t>subsurface</w:t>
      </w:r>
      <w:r>
        <w:rPr>
          <w:spacing w:val="-10"/>
          <w:sz w:val="18"/>
        </w:rPr>
        <w:t> </w:t>
      </w:r>
      <w:r>
        <w:rPr>
          <w:sz w:val="18"/>
        </w:rPr>
        <w:t>gasoline</w:t>
      </w:r>
      <w:r>
        <w:rPr>
          <w:spacing w:val="-11"/>
          <w:sz w:val="18"/>
        </w:rPr>
        <w:t> </w:t>
      </w:r>
      <w:r>
        <w:rPr>
          <w:sz w:val="18"/>
        </w:rPr>
        <w:t>contamination,</w:t>
      </w:r>
      <w:r>
        <w:rPr>
          <w:spacing w:val="-10"/>
          <w:sz w:val="18"/>
        </w:rPr>
        <w:t> </w:t>
      </w:r>
      <w:r>
        <w:rPr>
          <w:i/>
          <w:sz w:val="18"/>
        </w:rPr>
        <w:t>Environmental</w:t>
      </w:r>
      <w:r>
        <w:rPr>
          <w:i/>
          <w:spacing w:val="-11"/>
          <w:sz w:val="18"/>
        </w:rPr>
        <w:t> </w:t>
      </w:r>
      <w:r>
        <w:rPr>
          <w:i/>
          <w:sz w:val="18"/>
        </w:rPr>
        <w:t>Science</w:t>
      </w:r>
      <w:r>
        <w:rPr>
          <w:i/>
          <w:spacing w:val="-10"/>
          <w:sz w:val="18"/>
        </w:rPr>
        <w:t> </w:t>
      </w:r>
      <w:r>
        <w:rPr>
          <w:i/>
          <w:sz w:val="18"/>
        </w:rPr>
        <w:t>and </w:t>
      </w:r>
      <w:r>
        <w:rPr>
          <w:i/>
          <w:sz w:val="18"/>
        </w:rPr>
        <w:t>Technology</w:t>
      </w:r>
      <w:r>
        <w:rPr>
          <w:sz w:val="18"/>
        </w:rPr>
        <w:t>, </w:t>
      </w:r>
      <w:r>
        <w:rPr>
          <w:b/>
          <w:sz w:val="18"/>
        </w:rPr>
        <w:t>30</w:t>
      </w:r>
      <w:r>
        <w:rPr>
          <w:sz w:val="18"/>
        </w:rPr>
        <w:t>(10),</w:t>
      </w:r>
      <w:r>
        <w:rPr>
          <w:spacing w:val="-1"/>
          <w:sz w:val="18"/>
        </w:rPr>
        <w:t> </w:t>
      </w:r>
      <w:r>
        <w:rPr>
          <w:sz w:val="18"/>
        </w:rPr>
        <w:t>2948–2957.</w:t>
      </w:r>
    </w:p>
    <w:p>
      <w:pPr>
        <w:spacing w:line="278" w:lineRule="auto" w:before="67"/>
        <w:ind w:left="497" w:right="532" w:hanging="341"/>
        <w:jc w:val="both"/>
        <w:rPr>
          <w:sz w:val="18"/>
        </w:rPr>
      </w:pPr>
      <w:r>
        <w:rPr/>
        <w:br w:type="column"/>
      </w:r>
      <w:r>
        <w:rPr>
          <w:b/>
          <w:sz w:val="18"/>
        </w:rPr>
        <w:t>Flett, </w:t>
      </w:r>
      <w:r>
        <w:rPr>
          <w:sz w:val="18"/>
        </w:rPr>
        <w:t>M.A., R.M. Gurton and I.J. Taggart, 2005: Heterogeneous saline formations: Long-term benefits for geo-sequestration </w:t>
      </w:r>
      <w:r>
        <w:rPr>
          <w:spacing w:val="-6"/>
          <w:sz w:val="18"/>
        </w:rPr>
        <w:t>of </w:t>
      </w:r>
      <w:r>
        <w:rPr>
          <w:sz w:val="18"/>
        </w:rPr>
        <w:t>greenhouse gases. Proceedings of the 7</w:t>
      </w:r>
      <w:r>
        <w:rPr>
          <w:position w:val="6"/>
          <w:sz w:val="10"/>
        </w:rPr>
        <w:t>th </w:t>
      </w:r>
      <w:r>
        <w:rPr>
          <w:sz w:val="18"/>
        </w:rPr>
        <w:t>International</w:t>
      </w:r>
      <w:r>
        <w:rPr>
          <w:spacing w:val="-28"/>
          <w:sz w:val="18"/>
        </w:rPr>
        <w:t> </w:t>
      </w:r>
      <w:r>
        <w:rPr>
          <w:sz w:val="18"/>
        </w:rPr>
        <w:t>Conference on Greenhouse Gas Control Technologies (GHGT-7), September 5–9, 2004, </w:t>
      </w:r>
      <w:r>
        <w:rPr>
          <w:spacing w:val="-3"/>
          <w:sz w:val="18"/>
        </w:rPr>
        <w:t>Vancouver, </w:t>
      </w:r>
      <w:r>
        <w:rPr>
          <w:sz w:val="18"/>
        </w:rPr>
        <w:t>Canada, </w:t>
      </w:r>
      <w:r>
        <w:rPr>
          <w:spacing w:val="-3"/>
          <w:sz w:val="18"/>
        </w:rPr>
        <w:t>v.I,</w:t>
      </w:r>
      <w:r>
        <w:rPr>
          <w:spacing w:val="-1"/>
          <w:sz w:val="18"/>
        </w:rPr>
        <w:t> </w:t>
      </w:r>
      <w:r>
        <w:rPr>
          <w:sz w:val="18"/>
        </w:rPr>
        <w:t>501-510.</w:t>
      </w:r>
    </w:p>
    <w:p>
      <w:pPr>
        <w:spacing w:line="278" w:lineRule="auto" w:before="0"/>
        <w:ind w:left="497" w:right="532" w:hanging="341"/>
        <w:jc w:val="both"/>
        <w:rPr>
          <w:sz w:val="18"/>
        </w:rPr>
      </w:pPr>
      <w:r>
        <w:rPr>
          <w:b/>
          <w:spacing w:val="-3"/>
          <w:sz w:val="18"/>
        </w:rPr>
        <w:t>Flower, </w:t>
      </w:r>
      <w:r>
        <w:rPr>
          <w:spacing w:val="-3"/>
          <w:sz w:val="18"/>
        </w:rPr>
        <w:t>F.B., </w:t>
      </w:r>
      <w:r>
        <w:rPr>
          <w:spacing w:val="-4"/>
          <w:sz w:val="18"/>
        </w:rPr>
        <w:t>E.F. </w:t>
      </w:r>
      <w:r>
        <w:rPr>
          <w:sz w:val="18"/>
        </w:rPr>
        <w:t>Gilman and I.A.Leon, 1981: Landfill Gas, What It Does </w:t>
      </w:r>
      <w:r>
        <w:rPr>
          <w:spacing w:val="-7"/>
          <w:sz w:val="18"/>
        </w:rPr>
        <w:t>To </w:t>
      </w:r>
      <w:r>
        <w:rPr>
          <w:sz w:val="18"/>
        </w:rPr>
        <w:t>Trees And How Its Injurious Effects May Be Prevented. </w:t>
      </w:r>
      <w:r>
        <w:rPr>
          <w:i/>
          <w:sz w:val="18"/>
        </w:rPr>
        <w:t>Journal of Arboriculture</w:t>
      </w:r>
      <w:r>
        <w:rPr>
          <w:sz w:val="18"/>
        </w:rPr>
        <w:t>, </w:t>
      </w:r>
      <w:r>
        <w:rPr>
          <w:b/>
          <w:sz w:val="18"/>
        </w:rPr>
        <w:t>7</w:t>
      </w:r>
      <w:r>
        <w:rPr>
          <w:sz w:val="18"/>
        </w:rPr>
        <w:t>(2), 43–52.</w:t>
      </w:r>
    </w:p>
    <w:p>
      <w:pPr>
        <w:spacing w:line="278" w:lineRule="auto" w:before="0"/>
        <w:ind w:left="497" w:right="531" w:hanging="341"/>
        <w:jc w:val="both"/>
        <w:rPr>
          <w:sz w:val="18"/>
        </w:rPr>
      </w:pPr>
      <w:r>
        <w:rPr/>
        <w:pict>
          <v:shape style="position:absolute;margin-left:332.675690pt;margin-top:19.464094pt;width:2.65pt;height:5.25pt;mso-position-horizontal-relative:page;mso-position-vertical-relative:paragraph;z-index:-258812928"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Freund, </w:t>
      </w:r>
      <w:r>
        <w:rPr>
          <w:spacing w:val="-7"/>
          <w:sz w:val="18"/>
        </w:rPr>
        <w:t>P.,  </w:t>
      </w:r>
      <w:r>
        <w:rPr>
          <w:sz w:val="18"/>
        </w:rPr>
        <w:t>2001: Progress in understanding the potential role of   CO storage. Proceedings of the 5</w:t>
      </w:r>
      <w:r>
        <w:rPr>
          <w:position w:val="6"/>
          <w:sz w:val="10"/>
        </w:rPr>
        <w:t>th </w:t>
      </w:r>
      <w:r>
        <w:rPr>
          <w:sz w:val="18"/>
        </w:rPr>
        <w:t>International Conference on Greenhouse</w:t>
      </w:r>
      <w:r>
        <w:rPr>
          <w:spacing w:val="-8"/>
          <w:sz w:val="18"/>
        </w:rPr>
        <w:t> </w:t>
      </w:r>
      <w:r>
        <w:rPr>
          <w:sz w:val="18"/>
        </w:rPr>
        <w:t>Gas</w:t>
      </w:r>
      <w:r>
        <w:rPr>
          <w:spacing w:val="-7"/>
          <w:sz w:val="18"/>
        </w:rPr>
        <w:t> </w:t>
      </w:r>
      <w:r>
        <w:rPr>
          <w:sz w:val="18"/>
        </w:rPr>
        <w:t>Control</w:t>
      </w:r>
      <w:r>
        <w:rPr>
          <w:spacing w:val="-11"/>
          <w:sz w:val="18"/>
        </w:rPr>
        <w:t> </w:t>
      </w:r>
      <w:r>
        <w:rPr>
          <w:sz w:val="18"/>
        </w:rPr>
        <w:t>Technologies</w:t>
      </w:r>
      <w:r>
        <w:rPr>
          <w:spacing w:val="-8"/>
          <w:sz w:val="18"/>
        </w:rPr>
        <w:t> </w:t>
      </w:r>
      <w:r>
        <w:rPr>
          <w:sz w:val="18"/>
        </w:rPr>
        <w:t>(GHGT-5),</w:t>
      </w:r>
      <w:r>
        <w:rPr>
          <w:spacing w:val="-7"/>
          <w:sz w:val="18"/>
        </w:rPr>
        <w:t> </w:t>
      </w:r>
      <w:r>
        <w:rPr>
          <w:sz w:val="18"/>
        </w:rPr>
        <w:t>D.J.</w:t>
      </w:r>
      <w:r>
        <w:rPr>
          <w:spacing w:val="-11"/>
          <w:sz w:val="18"/>
        </w:rPr>
        <w:t> </w:t>
      </w:r>
      <w:r>
        <w:rPr>
          <w:sz w:val="18"/>
        </w:rPr>
        <w:t>Williams,</w:t>
      </w:r>
    </w:p>
    <w:p>
      <w:pPr>
        <w:spacing w:line="278" w:lineRule="auto" w:before="0"/>
        <w:ind w:left="497" w:right="533" w:firstLine="0"/>
        <w:jc w:val="both"/>
        <w:rPr>
          <w:sz w:val="18"/>
        </w:rPr>
      </w:pPr>
      <w:r>
        <w:rPr>
          <w:sz w:val="18"/>
        </w:rPr>
        <w:t>R.A. Durie, P. McMullan, C.A.J. Paulson and A.Y. Smith (eds.), 13–16 August 2000, Cairns, Australia, pp. 272–278.</w:t>
      </w:r>
    </w:p>
    <w:p>
      <w:pPr>
        <w:spacing w:line="278" w:lineRule="auto" w:before="0"/>
        <w:ind w:left="497" w:right="531" w:hanging="341"/>
        <w:jc w:val="both"/>
        <w:rPr>
          <w:sz w:val="18"/>
        </w:rPr>
      </w:pPr>
      <w:r>
        <w:rPr>
          <w:b/>
          <w:sz w:val="18"/>
        </w:rPr>
        <w:t>Gadgil,</w:t>
      </w:r>
      <w:r>
        <w:rPr>
          <w:sz w:val="18"/>
        </w:rPr>
        <w:t>A.J.,</w:t>
      </w:r>
      <w:r>
        <w:rPr>
          <w:spacing w:val="-31"/>
          <w:sz w:val="18"/>
        </w:rPr>
        <w:t> </w:t>
      </w:r>
      <w:r>
        <w:rPr>
          <w:spacing w:val="-6"/>
          <w:sz w:val="18"/>
        </w:rPr>
        <w:t>Y.C.</w:t>
      </w:r>
      <w:r>
        <w:rPr>
          <w:spacing w:val="-24"/>
          <w:sz w:val="18"/>
        </w:rPr>
        <w:t> </w:t>
      </w:r>
      <w:r>
        <w:rPr>
          <w:sz w:val="18"/>
        </w:rPr>
        <w:t>Bonnefous</w:t>
      </w:r>
      <w:r>
        <w:rPr>
          <w:spacing w:val="-24"/>
          <w:sz w:val="18"/>
        </w:rPr>
        <w:t> </w:t>
      </w:r>
      <w:r>
        <w:rPr>
          <w:sz w:val="18"/>
        </w:rPr>
        <w:t>and</w:t>
      </w:r>
      <w:r>
        <w:rPr>
          <w:spacing w:val="-27"/>
          <w:sz w:val="18"/>
        </w:rPr>
        <w:t> </w:t>
      </w:r>
      <w:r>
        <w:rPr>
          <w:spacing w:val="-5"/>
          <w:sz w:val="18"/>
        </w:rPr>
        <w:t>W.J.</w:t>
      </w:r>
      <w:r>
        <w:rPr>
          <w:spacing w:val="-23"/>
          <w:sz w:val="18"/>
        </w:rPr>
        <w:t> </w:t>
      </w:r>
      <w:r>
        <w:rPr>
          <w:sz w:val="18"/>
        </w:rPr>
        <w:t>Fisk,</w:t>
      </w:r>
      <w:r>
        <w:rPr>
          <w:spacing w:val="-24"/>
          <w:sz w:val="18"/>
        </w:rPr>
        <w:t> </w:t>
      </w:r>
      <w:r>
        <w:rPr>
          <w:sz w:val="18"/>
        </w:rPr>
        <w:t>1994:</w:t>
      </w:r>
      <w:r>
        <w:rPr>
          <w:spacing w:val="-24"/>
          <w:sz w:val="18"/>
        </w:rPr>
        <w:t> </w:t>
      </w:r>
      <w:r>
        <w:rPr>
          <w:sz w:val="18"/>
        </w:rPr>
        <w:t>Relative</w:t>
      </w:r>
      <w:r>
        <w:rPr>
          <w:spacing w:val="-24"/>
          <w:sz w:val="18"/>
        </w:rPr>
        <w:t> </w:t>
      </w:r>
      <w:r>
        <w:rPr>
          <w:sz w:val="18"/>
        </w:rPr>
        <w:t>effectiveness of sub-slab pressurization and depressurization systems for indoor radon mitigation: Studies with an experimentally verified numerical model, </w:t>
      </w:r>
      <w:r>
        <w:rPr>
          <w:i/>
          <w:sz w:val="18"/>
        </w:rPr>
        <w:t>Indoor </w:t>
      </w:r>
      <w:r>
        <w:rPr>
          <w:i/>
          <w:spacing w:val="-5"/>
          <w:sz w:val="18"/>
        </w:rPr>
        <w:t>Air, </w:t>
      </w:r>
      <w:r>
        <w:rPr>
          <w:b/>
          <w:sz w:val="18"/>
        </w:rPr>
        <w:t>4</w:t>
      </w:r>
      <w:r>
        <w:rPr>
          <w:sz w:val="18"/>
        </w:rPr>
        <w:t>,</w:t>
      </w:r>
      <w:r>
        <w:rPr>
          <w:spacing w:val="-1"/>
          <w:sz w:val="18"/>
        </w:rPr>
        <w:t> </w:t>
      </w:r>
      <w:r>
        <w:rPr>
          <w:sz w:val="18"/>
        </w:rPr>
        <w:t>265–275.</w:t>
      </w:r>
    </w:p>
    <w:p>
      <w:pPr>
        <w:spacing w:line="230" w:lineRule="auto" w:before="3"/>
        <w:ind w:left="497" w:right="532" w:hanging="341"/>
        <w:jc w:val="both"/>
        <w:rPr>
          <w:sz w:val="18"/>
        </w:rPr>
      </w:pPr>
      <w:r>
        <w:rPr>
          <w:b/>
          <w:sz w:val="18"/>
        </w:rPr>
        <w:t>Gale, </w:t>
      </w:r>
      <w:r>
        <w:rPr>
          <w:sz w:val="18"/>
        </w:rPr>
        <w:t>J., 2003: Geological storage of  CO</w:t>
      </w:r>
      <w:r>
        <w:rPr>
          <w:position w:val="-5"/>
          <w:sz w:val="10"/>
        </w:rPr>
        <w:t>2</w:t>
      </w:r>
      <w:r>
        <w:rPr>
          <w:sz w:val="18"/>
        </w:rPr>
        <w:t>:  </w:t>
      </w:r>
      <w:r>
        <w:rPr>
          <w:spacing w:val="-3"/>
          <w:sz w:val="18"/>
        </w:rPr>
        <w:t>what’s  </w:t>
      </w:r>
      <w:r>
        <w:rPr>
          <w:sz w:val="18"/>
        </w:rPr>
        <w:t>known,  where are</w:t>
      </w:r>
      <w:r>
        <w:rPr>
          <w:spacing w:val="26"/>
          <w:sz w:val="18"/>
        </w:rPr>
        <w:t> </w:t>
      </w:r>
      <w:r>
        <w:rPr>
          <w:sz w:val="18"/>
        </w:rPr>
        <w:t>the</w:t>
      </w:r>
      <w:r>
        <w:rPr>
          <w:spacing w:val="27"/>
          <w:sz w:val="18"/>
        </w:rPr>
        <w:t> </w:t>
      </w:r>
      <w:r>
        <w:rPr>
          <w:sz w:val="18"/>
        </w:rPr>
        <w:t>gaps</w:t>
      </w:r>
      <w:r>
        <w:rPr>
          <w:spacing w:val="27"/>
          <w:sz w:val="18"/>
        </w:rPr>
        <w:t> </w:t>
      </w:r>
      <w:r>
        <w:rPr>
          <w:sz w:val="18"/>
        </w:rPr>
        <w:t>and</w:t>
      </w:r>
      <w:r>
        <w:rPr>
          <w:spacing w:val="27"/>
          <w:sz w:val="18"/>
        </w:rPr>
        <w:t> </w:t>
      </w:r>
      <w:r>
        <w:rPr>
          <w:sz w:val="18"/>
        </w:rPr>
        <w:t>what</w:t>
      </w:r>
      <w:r>
        <w:rPr>
          <w:spacing w:val="27"/>
          <w:sz w:val="18"/>
        </w:rPr>
        <w:t> </w:t>
      </w:r>
      <w:r>
        <w:rPr>
          <w:sz w:val="18"/>
        </w:rPr>
        <w:t>more</w:t>
      </w:r>
      <w:r>
        <w:rPr>
          <w:spacing w:val="27"/>
          <w:sz w:val="18"/>
        </w:rPr>
        <w:t> </w:t>
      </w:r>
      <w:r>
        <w:rPr>
          <w:sz w:val="18"/>
        </w:rPr>
        <w:t>needs</w:t>
      </w:r>
      <w:r>
        <w:rPr>
          <w:spacing w:val="26"/>
          <w:sz w:val="18"/>
        </w:rPr>
        <w:t> </w:t>
      </w:r>
      <w:r>
        <w:rPr>
          <w:sz w:val="18"/>
        </w:rPr>
        <w:t>to</w:t>
      </w:r>
      <w:r>
        <w:rPr>
          <w:spacing w:val="27"/>
          <w:sz w:val="18"/>
        </w:rPr>
        <w:t> </w:t>
      </w:r>
      <w:r>
        <w:rPr>
          <w:sz w:val="18"/>
        </w:rPr>
        <w:t>be</w:t>
      </w:r>
      <w:r>
        <w:rPr>
          <w:spacing w:val="27"/>
          <w:sz w:val="18"/>
        </w:rPr>
        <w:t> </w:t>
      </w:r>
      <w:r>
        <w:rPr>
          <w:sz w:val="18"/>
        </w:rPr>
        <w:t>done.</w:t>
      </w:r>
      <w:r>
        <w:rPr>
          <w:spacing w:val="27"/>
          <w:sz w:val="18"/>
        </w:rPr>
        <w:t> </w:t>
      </w:r>
      <w:r>
        <w:rPr>
          <w:sz w:val="18"/>
        </w:rPr>
        <w:t>Proceedings</w:t>
      </w:r>
      <w:r>
        <w:rPr>
          <w:spacing w:val="27"/>
          <w:sz w:val="18"/>
        </w:rPr>
        <w:t> </w:t>
      </w:r>
      <w:r>
        <w:rPr>
          <w:sz w:val="18"/>
        </w:rPr>
        <w:t>of</w:t>
      </w:r>
    </w:p>
    <w:p>
      <w:pPr>
        <w:spacing w:line="278" w:lineRule="auto" w:before="35"/>
        <w:ind w:left="497" w:right="532" w:firstLine="0"/>
        <w:jc w:val="both"/>
        <w:rPr>
          <w:sz w:val="18"/>
        </w:rPr>
      </w:pPr>
      <w:r>
        <w:rPr>
          <w:sz w:val="18"/>
        </w:rPr>
        <w:t>the 6</w:t>
      </w:r>
      <w:r>
        <w:rPr>
          <w:position w:val="6"/>
          <w:sz w:val="10"/>
        </w:rPr>
        <w:t>th </w:t>
      </w:r>
      <w:r>
        <w:rPr>
          <w:sz w:val="18"/>
        </w:rPr>
        <w:t>International Conference on Greenhouse Gas Control Technologies</w:t>
      </w:r>
      <w:r>
        <w:rPr>
          <w:spacing w:val="-5"/>
          <w:sz w:val="18"/>
        </w:rPr>
        <w:t> </w:t>
      </w:r>
      <w:r>
        <w:rPr>
          <w:sz w:val="18"/>
        </w:rPr>
        <w:t>(GHGT-6),</w:t>
      </w:r>
      <w:r>
        <w:rPr>
          <w:spacing w:val="-5"/>
          <w:sz w:val="18"/>
        </w:rPr>
        <w:t> </w:t>
      </w:r>
      <w:r>
        <w:rPr>
          <w:sz w:val="18"/>
        </w:rPr>
        <w:t>J.</w:t>
      </w:r>
      <w:r>
        <w:rPr>
          <w:spacing w:val="-5"/>
          <w:sz w:val="18"/>
        </w:rPr>
        <w:t> </w:t>
      </w:r>
      <w:r>
        <w:rPr>
          <w:sz w:val="18"/>
        </w:rPr>
        <w:t>Gale</w:t>
      </w:r>
      <w:r>
        <w:rPr>
          <w:spacing w:val="-4"/>
          <w:sz w:val="18"/>
        </w:rPr>
        <w:t> </w:t>
      </w:r>
      <w:r>
        <w:rPr>
          <w:sz w:val="18"/>
        </w:rPr>
        <w:t>and</w:t>
      </w:r>
      <w:r>
        <w:rPr>
          <w:spacing w:val="-11"/>
          <w:sz w:val="18"/>
        </w:rPr>
        <w:t> </w:t>
      </w:r>
      <w:r>
        <w:rPr>
          <w:spacing w:val="-12"/>
          <w:sz w:val="18"/>
        </w:rPr>
        <w:t>Y.</w:t>
      </w:r>
      <w:r>
        <w:rPr>
          <w:spacing w:val="-5"/>
          <w:sz w:val="18"/>
        </w:rPr>
        <w:t> </w:t>
      </w:r>
      <w:r>
        <w:rPr>
          <w:sz w:val="18"/>
        </w:rPr>
        <w:t>Kaya</w:t>
      </w:r>
      <w:r>
        <w:rPr>
          <w:spacing w:val="-5"/>
          <w:sz w:val="18"/>
        </w:rPr>
        <w:t> </w:t>
      </w:r>
      <w:r>
        <w:rPr>
          <w:sz w:val="18"/>
        </w:rPr>
        <w:t>(eds.),</w:t>
      </w:r>
      <w:r>
        <w:rPr>
          <w:spacing w:val="-5"/>
          <w:sz w:val="18"/>
        </w:rPr>
        <w:t> </w:t>
      </w:r>
      <w:r>
        <w:rPr>
          <w:sz w:val="18"/>
        </w:rPr>
        <w:t>1–4</w:t>
      </w:r>
      <w:r>
        <w:rPr>
          <w:spacing w:val="-4"/>
          <w:sz w:val="18"/>
        </w:rPr>
        <w:t> </w:t>
      </w:r>
      <w:r>
        <w:rPr>
          <w:sz w:val="18"/>
        </w:rPr>
        <w:t>October 2002, Kyoto, Japan, Pergamon, </w:t>
      </w:r>
      <w:r>
        <w:rPr>
          <w:spacing w:val="-3"/>
          <w:sz w:val="18"/>
        </w:rPr>
        <w:t>v.I,</w:t>
      </w:r>
      <w:r>
        <w:rPr>
          <w:spacing w:val="-5"/>
          <w:sz w:val="18"/>
        </w:rPr>
        <w:t> </w:t>
      </w:r>
      <w:r>
        <w:rPr>
          <w:sz w:val="18"/>
        </w:rPr>
        <w:t>207–212.</w:t>
      </w:r>
    </w:p>
    <w:p>
      <w:pPr>
        <w:spacing w:line="230" w:lineRule="auto" w:before="5"/>
        <w:ind w:left="497" w:right="533" w:hanging="341"/>
        <w:jc w:val="both"/>
        <w:rPr>
          <w:sz w:val="18"/>
        </w:rPr>
      </w:pPr>
      <w:r>
        <w:rPr>
          <w:b/>
          <w:sz w:val="18"/>
        </w:rPr>
        <w:t>Gale, </w:t>
      </w:r>
      <w:r>
        <w:rPr>
          <w:sz w:val="18"/>
        </w:rPr>
        <w:t>J.J., 2004: Using coal seams for CO</w:t>
      </w:r>
      <w:r>
        <w:rPr>
          <w:position w:val="-5"/>
          <w:sz w:val="10"/>
        </w:rPr>
        <w:t>2 </w:t>
      </w:r>
      <w:r>
        <w:rPr>
          <w:sz w:val="18"/>
        </w:rPr>
        <w:t>sequestration. Geologica Belgica, 7(1–2), In press.</w:t>
      </w:r>
    </w:p>
    <w:p>
      <w:pPr>
        <w:spacing w:line="240" w:lineRule="exact" w:before="11"/>
        <w:ind w:left="497" w:right="531" w:hanging="341"/>
        <w:jc w:val="both"/>
        <w:rPr>
          <w:sz w:val="18"/>
        </w:rPr>
      </w:pPr>
      <w:r>
        <w:rPr>
          <w:b/>
          <w:sz w:val="18"/>
        </w:rPr>
        <w:t>Gale,</w:t>
      </w:r>
      <w:r>
        <w:rPr>
          <w:b/>
          <w:spacing w:val="-13"/>
          <w:sz w:val="18"/>
        </w:rPr>
        <w:t> </w:t>
      </w:r>
      <w:r>
        <w:rPr>
          <w:sz w:val="18"/>
        </w:rPr>
        <w:t>J.</w:t>
      </w:r>
      <w:r>
        <w:rPr>
          <w:spacing w:val="-13"/>
          <w:sz w:val="18"/>
        </w:rPr>
        <w:t> </w:t>
      </w:r>
      <w:r>
        <w:rPr>
          <w:sz w:val="18"/>
        </w:rPr>
        <w:t>and</w:t>
      </w:r>
      <w:r>
        <w:rPr>
          <w:spacing w:val="-13"/>
          <w:sz w:val="18"/>
        </w:rPr>
        <w:t> </w:t>
      </w:r>
      <w:r>
        <w:rPr>
          <w:spacing w:val="-10"/>
          <w:sz w:val="18"/>
        </w:rPr>
        <w:t>P.</w:t>
      </w:r>
      <w:r>
        <w:rPr>
          <w:spacing w:val="-12"/>
          <w:sz w:val="18"/>
        </w:rPr>
        <w:t> </w:t>
      </w:r>
      <w:r>
        <w:rPr>
          <w:sz w:val="18"/>
        </w:rPr>
        <w:t>Freund,</w:t>
      </w:r>
      <w:r>
        <w:rPr>
          <w:spacing w:val="-13"/>
          <w:sz w:val="18"/>
        </w:rPr>
        <w:t> </w:t>
      </w:r>
      <w:r>
        <w:rPr>
          <w:sz w:val="18"/>
        </w:rPr>
        <w:t>2001:</w:t>
      </w:r>
      <w:r>
        <w:rPr>
          <w:spacing w:val="-13"/>
          <w:sz w:val="18"/>
        </w:rPr>
        <w:t> </w:t>
      </w:r>
      <w:r>
        <w:rPr>
          <w:sz w:val="18"/>
        </w:rPr>
        <w:t>Coal-bed</w:t>
      </w:r>
      <w:r>
        <w:rPr>
          <w:spacing w:val="-13"/>
          <w:sz w:val="18"/>
        </w:rPr>
        <w:t> </w:t>
      </w:r>
      <w:r>
        <w:rPr>
          <w:sz w:val="18"/>
        </w:rPr>
        <w:t>methane</w:t>
      </w:r>
      <w:r>
        <w:rPr>
          <w:spacing w:val="-12"/>
          <w:sz w:val="18"/>
        </w:rPr>
        <w:t> </w:t>
      </w:r>
      <w:r>
        <w:rPr>
          <w:sz w:val="18"/>
        </w:rPr>
        <w:t>enhancement</w:t>
      </w:r>
      <w:r>
        <w:rPr>
          <w:spacing w:val="-13"/>
          <w:sz w:val="18"/>
        </w:rPr>
        <w:t> </w:t>
      </w:r>
      <w:r>
        <w:rPr>
          <w:sz w:val="18"/>
        </w:rPr>
        <w:t>with</w:t>
      </w:r>
      <w:r>
        <w:rPr>
          <w:spacing w:val="-13"/>
          <w:sz w:val="18"/>
        </w:rPr>
        <w:t> </w:t>
      </w:r>
      <w:r>
        <w:rPr>
          <w:sz w:val="18"/>
        </w:rPr>
        <w:t>CO</w:t>
      </w:r>
      <w:r>
        <w:rPr>
          <w:position w:val="-5"/>
          <w:sz w:val="10"/>
        </w:rPr>
        <w:t>2 </w:t>
      </w:r>
      <w:r>
        <w:rPr>
          <w:sz w:val="18"/>
        </w:rPr>
        <w:t>sequestration worldwide potential. </w:t>
      </w:r>
      <w:r>
        <w:rPr>
          <w:i/>
          <w:sz w:val="18"/>
        </w:rPr>
        <w:t>Environmental Geosciences</w:t>
      </w:r>
      <w:r>
        <w:rPr>
          <w:sz w:val="18"/>
        </w:rPr>
        <w:t>, </w:t>
      </w:r>
      <w:r>
        <w:rPr>
          <w:b/>
          <w:sz w:val="18"/>
        </w:rPr>
        <w:t>8</w:t>
      </w:r>
      <w:r>
        <w:rPr>
          <w:sz w:val="18"/>
        </w:rPr>
        <w:t>(3), 210–217.</w:t>
      </w:r>
    </w:p>
    <w:p>
      <w:pPr>
        <w:spacing w:line="278" w:lineRule="auto" w:before="24"/>
        <w:ind w:left="497" w:right="531" w:hanging="341"/>
        <w:jc w:val="both"/>
        <w:rPr>
          <w:sz w:val="18"/>
        </w:rPr>
      </w:pPr>
      <w:r>
        <w:rPr>
          <w:b/>
          <w:sz w:val="18"/>
        </w:rPr>
        <w:t>Garg, </w:t>
      </w:r>
      <w:r>
        <w:rPr>
          <w:sz w:val="18"/>
        </w:rPr>
        <w:t>A., D. Menon-Choudhary, M. Kapshe and </w:t>
      </w:r>
      <w:r>
        <w:rPr>
          <w:spacing w:val="-5"/>
          <w:sz w:val="18"/>
        </w:rPr>
        <w:t>P.R. </w:t>
      </w:r>
      <w:r>
        <w:rPr>
          <w:sz w:val="18"/>
        </w:rPr>
        <w:t>Shukla, 2005: Carbon</w:t>
      </w:r>
      <w:r>
        <w:rPr>
          <w:spacing w:val="-15"/>
          <w:sz w:val="18"/>
        </w:rPr>
        <w:t> </w:t>
      </w:r>
      <w:r>
        <w:rPr>
          <w:sz w:val="18"/>
        </w:rPr>
        <w:t>dioxide</w:t>
      </w:r>
      <w:r>
        <w:rPr>
          <w:spacing w:val="-15"/>
          <w:sz w:val="18"/>
        </w:rPr>
        <w:t> </w:t>
      </w:r>
      <w:r>
        <w:rPr>
          <w:sz w:val="18"/>
        </w:rPr>
        <w:t>capture</w:t>
      </w:r>
      <w:r>
        <w:rPr>
          <w:spacing w:val="-15"/>
          <w:sz w:val="18"/>
        </w:rPr>
        <w:t> </w:t>
      </w:r>
      <w:r>
        <w:rPr>
          <w:sz w:val="18"/>
        </w:rPr>
        <w:t>and</w:t>
      </w:r>
      <w:r>
        <w:rPr>
          <w:spacing w:val="-15"/>
          <w:sz w:val="18"/>
        </w:rPr>
        <w:t> </w:t>
      </w:r>
      <w:r>
        <w:rPr>
          <w:sz w:val="18"/>
        </w:rPr>
        <w:t>storage</w:t>
      </w:r>
      <w:r>
        <w:rPr>
          <w:spacing w:val="-15"/>
          <w:sz w:val="18"/>
        </w:rPr>
        <w:t> </w:t>
      </w:r>
      <w:r>
        <w:rPr>
          <w:sz w:val="18"/>
        </w:rPr>
        <w:t>potential</w:t>
      </w:r>
      <w:r>
        <w:rPr>
          <w:spacing w:val="-15"/>
          <w:sz w:val="18"/>
        </w:rPr>
        <w:t> </w:t>
      </w:r>
      <w:r>
        <w:rPr>
          <w:sz w:val="18"/>
        </w:rPr>
        <w:t>in</w:t>
      </w:r>
      <w:r>
        <w:rPr>
          <w:spacing w:val="-15"/>
          <w:sz w:val="18"/>
        </w:rPr>
        <w:t> </w:t>
      </w:r>
      <w:r>
        <w:rPr>
          <w:sz w:val="18"/>
        </w:rPr>
        <w:t>India.</w:t>
      </w:r>
      <w:r>
        <w:rPr>
          <w:spacing w:val="-15"/>
          <w:sz w:val="18"/>
        </w:rPr>
        <w:t> </w:t>
      </w:r>
      <w:r>
        <w:rPr>
          <w:sz w:val="18"/>
        </w:rPr>
        <w:t>Proceedings of the 7</w:t>
      </w:r>
      <w:r>
        <w:rPr>
          <w:position w:val="6"/>
          <w:sz w:val="10"/>
        </w:rPr>
        <w:t>th </w:t>
      </w:r>
      <w:r>
        <w:rPr>
          <w:sz w:val="18"/>
        </w:rPr>
        <w:t>International Conference on Greenhouse Gas Control Technologies (GHGT-7), September 5–9, 2004, </w:t>
      </w:r>
      <w:r>
        <w:rPr>
          <w:spacing w:val="-3"/>
          <w:sz w:val="18"/>
        </w:rPr>
        <w:t>Vancouver, </w:t>
      </w:r>
      <w:r>
        <w:rPr>
          <w:sz w:val="18"/>
        </w:rPr>
        <w:t>Canada.</w:t>
      </w:r>
    </w:p>
    <w:p>
      <w:pPr>
        <w:spacing w:line="230" w:lineRule="auto" w:before="4"/>
        <w:ind w:left="497" w:right="531" w:hanging="341"/>
        <w:jc w:val="both"/>
        <w:rPr>
          <w:sz w:val="18"/>
        </w:rPr>
      </w:pPr>
      <w:r>
        <w:rPr>
          <w:b/>
          <w:sz w:val="18"/>
        </w:rPr>
        <w:t>Gasda, </w:t>
      </w:r>
      <w:r>
        <w:rPr>
          <w:sz w:val="18"/>
        </w:rPr>
        <w:t>S.E., S. Bachu and M.A. Celia, 2004: The potential for CO</w:t>
      </w:r>
      <w:r>
        <w:rPr>
          <w:position w:val="-5"/>
          <w:sz w:val="10"/>
        </w:rPr>
        <w:t>2 </w:t>
      </w:r>
      <w:r>
        <w:rPr>
          <w:sz w:val="18"/>
        </w:rPr>
        <w:t>leakage from storage sites in geological media: analysis of</w:t>
      </w:r>
    </w:p>
    <w:p>
      <w:pPr>
        <w:spacing w:line="278" w:lineRule="auto" w:before="35"/>
        <w:ind w:left="497" w:right="531" w:firstLine="0"/>
        <w:jc w:val="both"/>
        <w:rPr>
          <w:sz w:val="18"/>
        </w:rPr>
      </w:pPr>
      <w:r>
        <w:rPr>
          <w:sz w:val="18"/>
        </w:rPr>
        <w:t>well distribution in mature sedimentary basins. </w:t>
      </w:r>
      <w:r>
        <w:rPr>
          <w:i/>
          <w:sz w:val="18"/>
        </w:rPr>
        <w:t>Environmental </w:t>
      </w:r>
      <w:r>
        <w:rPr>
          <w:i/>
          <w:sz w:val="18"/>
        </w:rPr>
        <w:t>Geology</w:t>
      </w:r>
      <w:r>
        <w:rPr>
          <w:sz w:val="18"/>
        </w:rPr>
        <w:t>, </w:t>
      </w:r>
      <w:r>
        <w:rPr>
          <w:b/>
          <w:sz w:val="18"/>
        </w:rPr>
        <w:t>46</w:t>
      </w:r>
      <w:r>
        <w:rPr>
          <w:sz w:val="18"/>
        </w:rPr>
        <w:t>(6–7), 707–720.</w:t>
      </w:r>
    </w:p>
    <w:p>
      <w:pPr>
        <w:spacing w:line="278" w:lineRule="auto" w:before="0"/>
        <w:ind w:left="497" w:right="530" w:hanging="341"/>
        <w:jc w:val="both"/>
        <w:rPr>
          <w:sz w:val="18"/>
        </w:rPr>
      </w:pPr>
      <w:r>
        <w:rPr>
          <w:b/>
          <w:sz w:val="18"/>
        </w:rPr>
        <w:t>Gasem,</w:t>
      </w:r>
      <w:r>
        <w:rPr>
          <w:b/>
          <w:spacing w:val="-7"/>
          <w:sz w:val="18"/>
        </w:rPr>
        <w:t> </w:t>
      </w:r>
      <w:r>
        <w:rPr>
          <w:sz w:val="18"/>
        </w:rPr>
        <w:t>K.A.M.,</w:t>
      </w:r>
      <w:r>
        <w:rPr>
          <w:spacing w:val="-7"/>
          <w:sz w:val="18"/>
        </w:rPr>
        <w:t> </w:t>
      </w:r>
      <w:r>
        <w:rPr>
          <w:sz w:val="18"/>
        </w:rPr>
        <w:t>R.L.</w:t>
      </w:r>
      <w:r>
        <w:rPr>
          <w:spacing w:val="-7"/>
          <w:sz w:val="18"/>
        </w:rPr>
        <w:t> </w:t>
      </w:r>
      <w:r>
        <w:rPr>
          <w:sz w:val="18"/>
        </w:rPr>
        <w:t>Robinson</w:t>
      </w:r>
      <w:r>
        <w:rPr>
          <w:spacing w:val="-7"/>
          <w:sz w:val="18"/>
        </w:rPr>
        <w:t> </w:t>
      </w:r>
      <w:r>
        <w:rPr>
          <w:sz w:val="18"/>
        </w:rPr>
        <w:t>and</w:t>
      </w:r>
      <w:r>
        <w:rPr>
          <w:spacing w:val="-7"/>
          <w:sz w:val="18"/>
        </w:rPr>
        <w:t> </w:t>
      </w:r>
      <w:r>
        <w:rPr>
          <w:sz w:val="18"/>
        </w:rPr>
        <w:t>S.R.</w:t>
      </w:r>
      <w:r>
        <w:rPr>
          <w:spacing w:val="-7"/>
          <w:sz w:val="18"/>
        </w:rPr>
        <w:t> </w:t>
      </w:r>
      <w:r>
        <w:rPr>
          <w:sz w:val="18"/>
        </w:rPr>
        <w:t>Reeves,</w:t>
      </w:r>
      <w:r>
        <w:rPr>
          <w:spacing w:val="-7"/>
          <w:sz w:val="18"/>
        </w:rPr>
        <w:t> </w:t>
      </w:r>
      <w:r>
        <w:rPr>
          <w:sz w:val="18"/>
        </w:rPr>
        <w:t>2002:</w:t>
      </w:r>
      <w:r>
        <w:rPr>
          <w:spacing w:val="-16"/>
          <w:sz w:val="18"/>
        </w:rPr>
        <w:t> </w:t>
      </w:r>
      <w:r>
        <w:rPr>
          <w:sz w:val="18"/>
        </w:rPr>
        <w:t>Adsorption</w:t>
      </w:r>
      <w:r>
        <w:rPr>
          <w:spacing w:val="-7"/>
          <w:sz w:val="18"/>
        </w:rPr>
        <w:t> </w:t>
      </w:r>
      <w:r>
        <w:rPr>
          <w:sz w:val="18"/>
        </w:rPr>
        <w:t>of pure methane, nitrogen and carbon dioxide and their mixtures on San Juan Basin coal. U.S. Department of Energy Topical Report, Contract No. DE-FC26-OONT40924, 83</w:t>
      </w:r>
      <w:r>
        <w:rPr>
          <w:spacing w:val="-5"/>
          <w:sz w:val="18"/>
        </w:rPr>
        <w:t> </w:t>
      </w:r>
      <w:r>
        <w:rPr>
          <w:sz w:val="18"/>
        </w:rPr>
        <w:t>pp.</w:t>
      </w:r>
    </w:p>
    <w:p>
      <w:pPr>
        <w:spacing w:line="207" w:lineRule="exact" w:before="0"/>
        <w:ind w:left="157" w:right="0" w:firstLine="0"/>
        <w:jc w:val="both"/>
        <w:rPr>
          <w:sz w:val="18"/>
        </w:rPr>
      </w:pPr>
      <w:r>
        <w:rPr>
          <w:b/>
          <w:sz w:val="18"/>
        </w:rPr>
        <w:t>Gerlach, </w:t>
      </w:r>
      <w:r>
        <w:rPr>
          <w:sz w:val="18"/>
        </w:rPr>
        <w:t>T.M., M.P. Doukas, K.A. McGee and R. Kessler, 1999: Soil</w:t>
      </w:r>
    </w:p>
    <w:p>
      <w:pPr>
        <w:spacing w:line="240" w:lineRule="exact" w:before="9"/>
        <w:ind w:left="497" w:right="532" w:firstLine="0"/>
        <w:jc w:val="both"/>
        <w:rPr>
          <w:sz w:val="18"/>
        </w:rPr>
      </w:pPr>
      <w:r>
        <w:rPr>
          <w:sz w:val="18"/>
        </w:rPr>
        <w:t>efflux and total emission rates of magmatic CO</w:t>
      </w:r>
      <w:r>
        <w:rPr>
          <w:position w:val="-5"/>
          <w:sz w:val="10"/>
        </w:rPr>
        <w:t>2 </w:t>
      </w:r>
      <w:r>
        <w:rPr>
          <w:sz w:val="18"/>
        </w:rPr>
        <w:t>at the Horseshoe Lake tree kill, Mammoth Mountain, California, 1995–1999. </w:t>
      </w:r>
      <w:r>
        <w:rPr>
          <w:i/>
          <w:sz w:val="18"/>
        </w:rPr>
        <w:t>Chemical Geology</w:t>
      </w:r>
      <w:r>
        <w:rPr>
          <w:sz w:val="18"/>
        </w:rPr>
        <w:t>, </w:t>
      </w:r>
      <w:r>
        <w:rPr>
          <w:b/>
          <w:sz w:val="18"/>
        </w:rPr>
        <w:t>177</w:t>
      </w:r>
      <w:r>
        <w:rPr>
          <w:sz w:val="18"/>
        </w:rPr>
        <w:t>, 101–116.</w:t>
      </w:r>
    </w:p>
    <w:p>
      <w:pPr>
        <w:spacing w:line="278" w:lineRule="auto" w:before="24"/>
        <w:ind w:left="497" w:right="531" w:hanging="341"/>
        <w:jc w:val="both"/>
        <w:rPr>
          <w:sz w:val="18"/>
        </w:rPr>
      </w:pPr>
      <w:r>
        <w:rPr>
          <w:b/>
          <w:sz w:val="18"/>
        </w:rPr>
        <w:t>Gibbs,</w:t>
      </w:r>
      <w:r>
        <w:rPr>
          <w:b/>
          <w:spacing w:val="-5"/>
          <w:sz w:val="18"/>
        </w:rPr>
        <w:t> </w:t>
      </w:r>
      <w:r>
        <w:rPr>
          <w:spacing w:val="-4"/>
          <w:sz w:val="18"/>
        </w:rPr>
        <w:t>J.F.,</w:t>
      </w:r>
      <w:r>
        <w:rPr>
          <w:spacing w:val="-5"/>
          <w:sz w:val="18"/>
        </w:rPr>
        <w:t> </w:t>
      </w:r>
      <w:r>
        <w:rPr>
          <w:sz w:val="18"/>
        </w:rPr>
        <w:t>J.H.</w:t>
      </w:r>
      <w:r>
        <w:rPr>
          <w:spacing w:val="-5"/>
          <w:sz w:val="18"/>
        </w:rPr>
        <w:t> </w:t>
      </w:r>
      <w:r>
        <w:rPr>
          <w:spacing w:val="-3"/>
          <w:sz w:val="18"/>
        </w:rPr>
        <w:t>Healy,</w:t>
      </w:r>
      <w:r>
        <w:rPr>
          <w:spacing w:val="-5"/>
          <w:sz w:val="18"/>
        </w:rPr>
        <w:t> </w:t>
      </w:r>
      <w:r>
        <w:rPr>
          <w:sz w:val="18"/>
        </w:rPr>
        <w:t>C.B.</w:t>
      </w:r>
      <w:r>
        <w:rPr>
          <w:spacing w:val="-5"/>
          <w:sz w:val="18"/>
        </w:rPr>
        <w:t> </w:t>
      </w:r>
      <w:r>
        <w:rPr>
          <w:sz w:val="18"/>
        </w:rPr>
        <w:t>Raleigh</w:t>
      </w:r>
      <w:r>
        <w:rPr>
          <w:spacing w:val="-5"/>
          <w:sz w:val="18"/>
        </w:rPr>
        <w:t> </w:t>
      </w:r>
      <w:r>
        <w:rPr>
          <w:sz w:val="18"/>
        </w:rPr>
        <w:t>and</w:t>
      </w:r>
      <w:r>
        <w:rPr>
          <w:spacing w:val="-5"/>
          <w:sz w:val="18"/>
        </w:rPr>
        <w:t> </w:t>
      </w:r>
      <w:r>
        <w:rPr>
          <w:sz w:val="18"/>
        </w:rPr>
        <w:t>J.</w:t>
      </w:r>
      <w:r>
        <w:rPr>
          <w:spacing w:val="-5"/>
          <w:sz w:val="18"/>
        </w:rPr>
        <w:t> </w:t>
      </w:r>
      <w:r>
        <w:rPr>
          <w:sz w:val="18"/>
        </w:rPr>
        <w:t>Coakley,</w:t>
      </w:r>
      <w:r>
        <w:rPr>
          <w:spacing w:val="-5"/>
          <w:sz w:val="18"/>
        </w:rPr>
        <w:t> </w:t>
      </w:r>
      <w:r>
        <w:rPr>
          <w:sz w:val="18"/>
        </w:rPr>
        <w:t>1973:</w:t>
      </w:r>
      <w:r>
        <w:rPr>
          <w:spacing w:val="-5"/>
          <w:sz w:val="18"/>
        </w:rPr>
        <w:t> </w:t>
      </w:r>
      <w:r>
        <w:rPr>
          <w:sz w:val="18"/>
        </w:rPr>
        <w:t>Seismicity in the Rangely, Colorado area: 1962–1970, </w:t>
      </w:r>
      <w:r>
        <w:rPr>
          <w:i/>
          <w:sz w:val="18"/>
        </w:rPr>
        <w:t>Bulletin of </w:t>
      </w:r>
      <w:r>
        <w:rPr>
          <w:i/>
          <w:spacing w:val="-5"/>
          <w:sz w:val="18"/>
        </w:rPr>
        <w:t>the </w:t>
      </w:r>
      <w:r>
        <w:rPr>
          <w:i/>
          <w:sz w:val="18"/>
        </w:rPr>
        <w:t>Seismological Society of America</w:t>
      </w:r>
      <w:r>
        <w:rPr>
          <w:sz w:val="18"/>
        </w:rPr>
        <w:t>, </w:t>
      </w:r>
      <w:r>
        <w:rPr>
          <w:b/>
          <w:sz w:val="18"/>
        </w:rPr>
        <w:t>63</w:t>
      </w:r>
      <w:r>
        <w:rPr>
          <w:sz w:val="18"/>
        </w:rPr>
        <w:t>,</w:t>
      </w:r>
      <w:r>
        <w:rPr>
          <w:spacing w:val="-4"/>
          <w:sz w:val="18"/>
        </w:rPr>
        <w:t> </w:t>
      </w:r>
      <w:r>
        <w:rPr>
          <w:sz w:val="18"/>
        </w:rPr>
        <w:t>1557–1570.</w:t>
      </w:r>
    </w:p>
    <w:p>
      <w:pPr>
        <w:spacing w:line="207" w:lineRule="exact" w:before="0"/>
        <w:ind w:left="157" w:right="0" w:firstLine="0"/>
        <w:jc w:val="both"/>
        <w:rPr>
          <w:sz w:val="18"/>
        </w:rPr>
      </w:pPr>
      <w:r>
        <w:rPr>
          <w:b/>
          <w:sz w:val="18"/>
        </w:rPr>
        <w:t>Gibson-Poole, </w:t>
      </w:r>
      <w:r>
        <w:rPr>
          <w:sz w:val="18"/>
        </w:rPr>
        <w:t>C.M., S.C. Lang, J.E. Streit, G.M. Kraishan and</w:t>
      </w:r>
    </w:p>
    <w:p>
      <w:pPr>
        <w:spacing w:line="278" w:lineRule="auto" w:before="33"/>
        <w:ind w:left="497" w:right="532" w:firstLine="0"/>
        <w:jc w:val="both"/>
        <w:rPr>
          <w:sz w:val="18"/>
        </w:rPr>
      </w:pPr>
      <w:r>
        <w:rPr>
          <w:sz w:val="18"/>
        </w:rPr>
        <w:t>R.R Hillis, 2002: Assessing a basin’s potential for geological sequestration of carbon dioxide: an example from the Mesozoic of</w:t>
      </w:r>
      <w:r>
        <w:rPr>
          <w:spacing w:val="-7"/>
          <w:sz w:val="18"/>
        </w:rPr>
        <w:t> </w:t>
      </w:r>
      <w:r>
        <w:rPr>
          <w:sz w:val="18"/>
        </w:rPr>
        <w:t>the</w:t>
      </w:r>
      <w:r>
        <w:rPr>
          <w:spacing w:val="-6"/>
          <w:sz w:val="18"/>
        </w:rPr>
        <w:t> </w:t>
      </w:r>
      <w:r>
        <w:rPr>
          <w:sz w:val="18"/>
        </w:rPr>
        <w:t>Petrel</w:t>
      </w:r>
      <w:r>
        <w:rPr>
          <w:spacing w:val="-7"/>
          <w:sz w:val="18"/>
        </w:rPr>
        <w:t> </w:t>
      </w:r>
      <w:r>
        <w:rPr>
          <w:sz w:val="18"/>
        </w:rPr>
        <w:t>Sub-basin,</w:t>
      </w:r>
      <w:r>
        <w:rPr>
          <w:spacing w:val="-7"/>
          <w:sz w:val="18"/>
        </w:rPr>
        <w:t> </w:t>
      </w:r>
      <w:r>
        <w:rPr>
          <w:sz w:val="18"/>
        </w:rPr>
        <w:t>NW</w:t>
      </w:r>
      <w:r>
        <w:rPr>
          <w:spacing w:val="-19"/>
          <w:sz w:val="18"/>
        </w:rPr>
        <w:t> </w:t>
      </w:r>
      <w:r>
        <w:rPr>
          <w:sz w:val="18"/>
        </w:rPr>
        <w:t>Australia.</w:t>
      </w:r>
      <w:r>
        <w:rPr>
          <w:spacing w:val="-7"/>
          <w:sz w:val="18"/>
        </w:rPr>
        <w:t> </w:t>
      </w:r>
      <w:r>
        <w:rPr>
          <w:sz w:val="18"/>
        </w:rPr>
        <w:t>In:</w:t>
      </w:r>
      <w:r>
        <w:rPr>
          <w:spacing w:val="-7"/>
          <w:sz w:val="18"/>
        </w:rPr>
        <w:t> </w:t>
      </w:r>
      <w:r>
        <w:rPr>
          <w:sz w:val="18"/>
        </w:rPr>
        <w:t>M.</w:t>
      </w:r>
      <w:r>
        <w:rPr>
          <w:spacing w:val="-7"/>
          <w:sz w:val="18"/>
        </w:rPr>
        <w:t> </w:t>
      </w:r>
      <w:r>
        <w:rPr>
          <w:sz w:val="18"/>
        </w:rPr>
        <w:t>Keep</w:t>
      </w:r>
      <w:r>
        <w:rPr>
          <w:spacing w:val="-7"/>
          <w:sz w:val="18"/>
        </w:rPr>
        <w:t> </w:t>
      </w:r>
      <w:r>
        <w:rPr>
          <w:sz w:val="18"/>
        </w:rPr>
        <w:t>and</w:t>
      </w:r>
      <w:r>
        <w:rPr>
          <w:spacing w:val="-6"/>
          <w:sz w:val="18"/>
        </w:rPr>
        <w:t> </w:t>
      </w:r>
      <w:r>
        <w:rPr>
          <w:sz w:val="18"/>
        </w:rPr>
        <w:t>S.J.</w:t>
      </w:r>
      <w:r>
        <w:rPr>
          <w:spacing w:val="-7"/>
          <w:sz w:val="18"/>
        </w:rPr>
        <w:t> </w:t>
      </w:r>
      <w:r>
        <w:rPr>
          <w:sz w:val="18"/>
        </w:rPr>
        <w:t>Moss (eds.)</w:t>
      </w:r>
      <w:r>
        <w:rPr>
          <w:spacing w:val="-22"/>
          <w:sz w:val="18"/>
        </w:rPr>
        <w:t> </w:t>
      </w:r>
      <w:r>
        <w:rPr>
          <w:sz w:val="18"/>
        </w:rPr>
        <w:t>The</w:t>
      </w:r>
      <w:r>
        <w:rPr>
          <w:spacing w:val="-19"/>
          <w:sz w:val="18"/>
        </w:rPr>
        <w:t> </w:t>
      </w:r>
      <w:r>
        <w:rPr>
          <w:sz w:val="18"/>
        </w:rPr>
        <w:t>Sedimentary</w:t>
      </w:r>
      <w:r>
        <w:rPr>
          <w:spacing w:val="-18"/>
          <w:sz w:val="18"/>
        </w:rPr>
        <w:t> </w:t>
      </w:r>
      <w:r>
        <w:rPr>
          <w:sz w:val="18"/>
        </w:rPr>
        <w:t>Basins</w:t>
      </w:r>
      <w:r>
        <w:rPr>
          <w:spacing w:val="-19"/>
          <w:sz w:val="18"/>
        </w:rPr>
        <w:t> </w:t>
      </w:r>
      <w:r>
        <w:rPr>
          <w:sz w:val="18"/>
        </w:rPr>
        <w:t>of</w:t>
      </w:r>
      <w:r>
        <w:rPr>
          <w:spacing w:val="-21"/>
          <w:sz w:val="18"/>
        </w:rPr>
        <w:t> </w:t>
      </w:r>
      <w:r>
        <w:rPr>
          <w:spacing w:val="-3"/>
          <w:sz w:val="18"/>
        </w:rPr>
        <w:t>Western</w:t>
      </w:r>
      <w:r>
        <w:rPr>
          <w:spacing w:val="-28"/>
          <w:sz w:val="18"/>
        </w:rPr>
        <w:t> </w:t>
      </w:r>
      <w:r>
        <w:rPr>
          <w:sz w:val="18"/>
        </w:rPr>
        <w:t>Australia</w:t>
      </w:r>
      <w:r>
        <w:rPr>
          <w:spacing w:val="-19"/>
          <w:sz w:val="18"/>
        </w:rPr>
        <w:t> </w:t>
      </w:r>
      <w:r>
        <w:rPr>
          <w:sz w:val="18"/>
        </w:rPr>
        <w:t>3,</w:t>
      </w:r>
      <w:r>
        <w:rPr>
          <w:spacing w:val="-18"/>
          <w:sz w:val="18"/>
        </w:rPr>
        <w:t> </w:t>
      </w:r>
      <w:r>
        <w:rPr>
          <w:sz w:val="18"/>
        </w:rPr>
        <w:t>Proceedings of the Petroleum Exploration Society of Australia Symposium, Perth, </w:t>
      </w:r>
      <w:r>
        <w:rPr>
          <w:spacing w:val="-3"/>
          <w:sz w:val="18"/>
        </w:rPr>
        <w:t>Western </w:t>
      </w:r>
      <w:r>
        <w:rPr>
          <w:sz w:val="18"/>
        </w:rPr>
        <w:t>Australia, 2002, pp.</w:t>
      </w:r>
      <w:r>
        <w:rPr>
          <w:spacing w:val="-13"/>
          <w:sz w:val="18"/>
        </w:rPr>
        <w:t> </w:t>
      </w:r>
      <w:r>
        <w:rPr>
          <w:sz w:val="18"/>
        </w:rPr>
        <w:t>439–463.</w:t>
      </w:r>
    </w:p>
    <w:p>
      <w:pPr>
        <w:spacing w:after="0" w:line="278" w:lineRule="auto"/>
        <w:jc w:val="both"/>
        <w:rPr>
          <w:sz w:val="18"/>
        </w:rPr>
        <w:sectPr>
          <w:type w:val="continuous"/>
          <w:pgSz w:w="12240" w:h="15840"/>
          <w:pgMar w:top="400" w:bottom="280" w:left="580" w:right="600"/>
          <w:cols w:num="2" w:equalWidth="0">
            <w:col w:w="5241" w:space="85"/>
            <w:col w:w="5734"/>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78" w:lineRule="auto" w:before="67"/>
        <w:ind w:left="894" w:right="0" w:hanging="341"/>
        <w:jc w:val="both"/>
        <w:rPr>
          <w:sz w:val="18"/>
        </w:rPr>
      </w:pPr>
      <w:r>
        <w:rPr>
          <w:b/>
          <w:sz w:val="18"/>
        </w:rPr>
        <w:t>Gough, </w:t>
      </w:r>
      <w:r>
        <w:rPr>
          <w:sz w:val="18"/>
        </w:rPr>
        <w:t>C., I. </w:t>
      </w:r>
      <w:r>
        <w:rPr>
          <w:spacing w:val="-3"/>
          <w:sz w:val="18"/>
        </w:rPr>
        <w:t>Taylor </w:t>
      </w:r>
      <w:r>
        <w:rPr>
          <w:sz w:val="18"/>
        </w:rPr>
        <w:t>and S. </w:t>
      </w:r>
      <w:r>
        <w:rPr>
          <w:spacing w:val="-3"/>
          <w:sz w:val="18"/>
        </w:rPr>
        <w:t>Shackley, </w:t>
      </w:r>
      <w:r>
        <w:rPr>
          <w:sz w:val="18"/>
        </w:rPr>
        <w:t>2002: Burying carbon under  the sea: an initial exploration of public opinion. </w:t>
      </w:r>
      <w:r>
        <w:rPr>
          <w:i/>
          <w:sz w:val="18"/>
        </w:rPr>
        <w:t>Energy &amp; </w:t>
      </w:r>
      <w:r>
        <w:rPr>
          <w:i/>
          <w:sz w:val="18"/>
        </w:rPr>
        <w:t>Environment</w:t>
      </w:r>
      <w:r>
        <w:rPr>
          <w:sz w:val="18"/>
        </w:rPr>
        <w:t>, </w:t>
      </w:r>
      <w:r>
        <w:rPr>
          <w:b/>
          <w:sz w:val="18"/>
        </w:rPr>
        <w:t>13</w:t>
      </w:r>
      <w:r>
        <w:rPr>
          <w:sz w:val="18"/>
        </w:rPr>
        <w:t>(6),</w:t>
      </w:r>
      <w:r>
        <w:rPr>
          <w:spacing w:val="-1"/>
          <w:sz w:val="18"/>
        </w:rPr>
        <w:t> </w:t>
      </w:r>
      <w:r>
        <w:rPr>
          <w:sz w:val="18"/>
        </w:rPr>
        <w:t>883–900.</w:t>
      </w:r>
    </w:p>
    <w:p>
      <w:pPr>
        <w:spacing w:line="278" w:lineRule="auto" w:before="0"/>
        <w:ind w:left="894" w:right="1" w:hanging="341"/>
        <w:jc w:val="both"/>
        <w:rPr>
          <w:sz w:val="18"/>
        </w:rPr>
      </w:pPr>
      <w:r>
        <w:rPr>
          <w:b/>
          <w:sz w:val="18"/>
        </w:rPr>
        <w:t>Granieri, </w:t>
      </w:r>
      <w:r>
        <w:rPr>
          <w:sz w:val="18"/>
        </w:rPr>
        <w:t>D., G. Chiodini, </w:t>
      </w:r>
      <w:r>
        <w:rPr>
          <w:spacing w:val="-9"/>
          <w:sz w:val="18"/>
        </w:rPr>
        <w:t>W. </w:t>
      </w:r>
      <w:r>
        <w:rPr>
          <w:sz w:val="18"/>
        </w:rPr>
        <w:t>Marzocchi and R. </w:t>
      </w:r>
      <w:r>
        <w:rPr>
          <w:spacing w:val="-3"/>
          <w:sz w:val="18"/>
        </w:rPr>
        <w:t>Avino, </w:t>
      </w:r>
      <w:r>
        <w:rPr>
          <w:sz w:val="18"/>
        </w:rPr>
        <w:t>2003: Continuous</w:t>
      </w:r>
      <w:r>
        <w:rPr>
          <w:spacing w:val="-20"/>
          <w:sz w:val="18"/>
        </w:rPr>
        <w:t> </w:t>
      </w:r>
      <w:r>
        <w:rPr>
          <w:sz w:val="18"/>
        </w:rPr>
        <w:t>monitoring</w:t>
      </w:r>
      <w:r>
        <w:rPr>
          <w:spacing w:val="-20"/>
          <w:sz w:val="18"/>
        </w:rPr>
        <w:t> </w:t>
      </w:r>
      <w:r>
        <w:rPr>
          <w:sz w:val="18"/>
        </w:rPr>
        <w:t>of</w:t>
      </w:r>
      <w:r>
        <w:rPr>
          <w:spacing w:val="-20"/>
          <w:sz w:val="18"/>
        </w:rPr>
        <w:t> </w:t>
      </w:r>
      <w:r>
        <w:rPr>
          <w:sz w:val="18"/>
        </w:rPr>
        <w:t>CO</w:t>
      </w:r>
      <w:r>
        <w:rPr>
          <w:position w:val="-5"/>
          <w:sz w:val="10"/>
        </w:rPr>
        <w:t>2 </w:t>
      </w:r>
      <w:r>
        <w:rPr>
          <w:sz w:val="18"/>
        </w:rPr>
        <w:t>soil</w:t>
      </w:r>
      <w:r>
        <w:rPr>
          <w:spacing w:val="-20"/>
          <w:sz w:val="18"/>
        </w:rPr>
        <w:t> </w:t>
      </w:r>
      <w:r>
        <w:rPr>
          <w:sz w:val="18"/>
        </w:rPr>
        <w:t>diffuse</w:t>
      </w:r>
      <w:r>
        <w:rPr>
          <w:spacing w:val="-19"/>
          <w:sz w:val="18"/>
        </w:rPr>
        <w:t> </w:t>
      </w:r>
      <w:r>
        <w:rPr>
          <w:sz w:val="18"/>
        </w:rPr>
        <w:t>degassing</w:t>
      </w:r>
      <w:r>
        <w:rPr>
          <w:spacing w:val="-20"/>
          <w:sz w:val="18"/>
        </w:rPr>
        <w:t> </w:t>
      </w:r>
      <w:r>
        <w:rPr>
          <w:sz w:val="18"/>
        </w:rPr>
        <w:t>at</w:t>
      </w:r>
      <w:r>
        <w:rPr>
          <w:spacing w:val="-20"/>
          <w:sz w:val="18"/>
        </w:rPr>
        <w:t> </w:t>
      </w:r>
      <w:r>
        <w:rPr>
          <w:sz w:val="18"/>
        </w:rPr>
        <w:t>Phlegraean</w:t>
      </w:r>
    </w:p>
    <w:p>
      <w:pPr>
        <w:spacing w:line="164" w:lineRule="exact" w:before="0"/>
        <w:ind w:left="894" w:right="0" w:firstLine="0"/>
        <w:jc w:val="both"/>
        <w:rPr>
          <w:sz w:val="18"/>
        </w:rPr>
      </w:pPr>
      <w:r>
        <w:rPr>
          <w:sz w:val="18"/>
        </w:rPr>
        <w:t>Fields</w:t>
      </w:r>
      <w:r>
        <w:rPr>
          <w:spacing w:val="-19"/>
          <w:sz w:val="18"/>
        </w:rPr>
        <w:t> </w:t>
      </w:r>
      <w:r>
        <w:rPr>
          <w:sz w:val="18"/>
        </w:rPr>
        <w:t>(Italy):</w:t>
      </w:r>
      <w:r>
        <w:rPr>
          <w:spacing w:val="-18"/>
          <w:sz w:val="18"/>
        </w:rPr>
        <w:t> </w:t>
      </w:r>
      <w:r>
        <w:rPr>
          <w:sz w:val="18"/>
        </w:rPr>
        <w:t>influence</w:t>
      </w:r>
      <w:r>
        <w:rPr>
          <w:spacing w:val="-18"/>
          <w:sz w:val="18"/>
        </w:rPr>
        <w:t> </w:t>
      </w:r>
      <w:r>
        <w:rPr>
          <w:sz w:val="18"/>
        </w:rPr>
        <w:t>of</w:t>
      </w:r>
      <w:r>
        <w:rPr>
          <w:spacing w:val="-18"/>
          <w:sz w:val="18"/>
        </w:rPr>
        <w:t> </w:t>
      </w:r>
      <w:r>
        <w:rPr>
          <w:sz w:val="18"/>
        </w:rPr>
        <w:t>environmental</w:t>
      </w:r>
      <w:r>
        <w:rPr>
          <w:spacing w:val="-18"/>
          <w:sz w:val="18"/>
        </w:rPr>
        <w:t> </w:t>
      </w:r>
      <w:r>
        <w:rPr>
          <w:sz w:val="18"/>
        </w:rPr>
        <w:t>and</w:t>
      </w:r>
      <w:r>
        <w:rPr>
          <w:spacing w:val="-18"/>
          <w:sz w:val="18"/>
        </w:rPr>
        <w:t> </w:t>
      </w:r>
      <w:r>
        <w:rPr>
          <w:sz w:val="18"/>
        </w:rPr>
        <w:t>volcanic</w:t>
      </w:r>
      <w:r>
        <w:rPr>
          <w:spacing w:val="-18"/>
          <w:sz w:val="18"/>
        </w:rPr>
        <w:t> </w:t>
      </w:r>
      <w:r>
        <w:rPr>
          <w:sz w:val="18"/>
        </w:rPr>
        <w:t>parameters.</w:t>
      </w:r>
    </w:p>
    <w:p>
      <w:pPr>
        <w:spacing w:before="32"/>
        <w:ind w:left="894" w:right="0" w:firstLine="0"/>
        <w:jc w:val="both"/>
        <w:rPr>
          <w:sz w:val="18"/>
        </w:rPr>
      </w:pPr>
      <w:r>
        <w:rPr>
          <w:i/>
          <w:sz w:val="18"/>
        </w:rPr>
        <w:t>Earth and Planetary Science Letters</w:t>
      </w:r>
      <w:r>
        <w:rPr>
          <w:sz w:val="18"/>
        </w:rPr>
        <w:t>, </w:t>
      </w:r>
      <w:r>
        <w:rPr>
          <w:b/>
          <w:sz w:val="18"/>
        </w:rPr>
        <w:t>212</w:t>
      </w:r>
      <w:r>
        <w:rPr>
          <w:sz w:val="18"/>
        </w:rPr>
        <w:t>(1–2), 167–179.</w:t>
      </w:r>
    </w:p>
    <w:p>
      <w:pPr>
        <w:spacing w:line="240" w:lineRule="exact" w:before="10"/>
        <w:ind w:left="894" w:right="0" w:hanging="341"/>
        <w:jc w:val="both"/>
        <w:rPr>
          <w:sz w:val="18"/>
        </w:rPr>
      </w:pPr>
      <w:r>
        <w:rPr>
          <w:b/>
          <w:sz w:val="18"/>
        </w:rPr>
        <w:t>Grigg, </w:t>
      </w:r>
      <w:r>
        <w:rPr>
          <w:sz w:val="18"/>
        </w:rPr>
        <w:t>R.B., 2005: Long-term CO</w:t>
      </w:r>
      <w:r>
        <w:rPr>
          <w:position w:val="-5"/>
          <w:sz w:val="10"/>
        </w:rPr>
        <w:t>2 </w:t>
      </w:r>
      <w:r>
        <w:rPr>
          <w:sz w:val="18"/>
        </w:rPr>
        <w:t>storage: Using petroleum industry experience,</w:t>
      </w:r>
      <w:r>
        <w:rPr>
          <w:spacing w:val="-16"/>
          <w:sz w:val="18"/>
        </w:rPr>
        <w:t> </w:t>
      </w:r>
      <w:r>
        <w:rPr>
          <w:sz w:val="18"/>
        </w:rPr>
        <w:t>Carbon</w:t>
      </w:r>
      <w:r>
        <w:rPr>
          <w:spacing w:val="-16"/>
          <w:sz w:val="18"/>
        </w:rPr>
        <w:t> </w:t>
      </w:r>
      <w:r>
        <w:rPr>
          <w:sz w:val="18"/>
        </w:rPr>
        <w:t>Dioxide</w:t>
      </w:r>
      <w:r>
        <w:rPr>
          <w:spacing w:val="-15"/>
          <w:sz w:val="18"/>
        </w:rPr>
        <w:t> </w:t>
      </w:r>
      <w:r>
        <w:rPr>
          <w:sz w:val="18"/>
        </w:rPr>
        <w:t>Capture</w:t>
      </w:r>
      <w:r>
        <w:rPr>
          <w:spacing w:val="-16"/>
          <w:sz w:val="18"/>
        </w:rPr>
        <w:t> </w:t>
      </w:r>
      <w:r>
        <w:rPr>
          <w:sz w:val="18"/>
        </w:rPr>
        <w:t>for</w:t>
      </w:r>
      <w:r>
        <w:rPr>
          <w:spacing w:val="-15"/>
          <w:sz w:val="18"/>
        </w:rPr>
        <w:t> </w:t>
      </w:r>
      <w:r>
        <w:rPr>
          <w:sz w:val="18"/>
        </w:rPr>
        <w:t>Storage</w:t>
      </w:r>
      <w:r>
        <w:rPr>
          <w:spacing w:val="-16"/>
          <w:sz w:val="18"/>
        </w:rPr>
        <w:t> </w:t>
      </w:r>
      <w:r>
        <w:rPr>
          <w:sz w:val="18"/>
        </w:rPr>
        <w:t>in</w:t>
      </w:r>
      <w:r>
        <w:rPr>
          <w:spacing w:val="-16"/>
          <w:sz w:val="18"/>
        </w:rPr>
        <w:t> </w:t>
      </w:r>
      <w:r>
        <w:rPr>
          <w:sz w:val="18"/>
        </w:rPr>
        <w:t>Deep</w:t>
      </w:r>
      <w:r>
        <w:rPr>
          <w:spacing w:val="-15"/>
          <w:sz w:val="18"/>
        </w:rPr>
        <w:t> </w:t>
      </w:r>
      <w:r>
        <w:rPr>
          <w:sz w:val="18"/>
        </w:rPr>
        <w:t>Geologic Formations</w:t>
      </w:r>
      <w:r>
        <w:rPr>
          <w:spacing w:val="-10"/>
          <w:sz w:val="18"/>
        </w:rPr>
        <w:t> </w:t>
      </w:r>
      <w:r>
        <w:rPr>
          <w:sz w:val="18"/>
        </w:rPr>
        <w:t>-</w:t>
      </w:r>
      <w:r>
        <w:rPr>
          <w:spacing w:val="-10"/>
          <w:sz w:val="18"/>
        </w:rPr>
        <w:t> </w:t>
      </w:r>
      <w:r>
        <w:rPr>
          <w:sz w:val="18"/>
        </w:rPr>
        <w:t>Results</w:t>
      </w:r>
      <w:r>
        <w:rPr>
          <w:spacing w:val="-10"/>
          <w:sz w:val="18"/>
        </w:rPr>
        <w:t> </w:t>
      </w:r>
      <w:r>
        <w:rPr>
          <w:sz w:val="18"/>
        </w:rPr>
        <w:t>from</w:t>
      </w:r>
      <w:r>
        <w:rPr>
          <w:spacing w:val="-10"/>
          <w:sz w:val="18"/>
        </w:rPr>
        <w:t> </w:t>
      </w:r>
      <w:r>
        <w:rPr>
          <w:sz w:val="18"/>
        </w:rPr>
        <w:t>the</w:t>
      </w:r>
      <w:r>
        <w:rPr>
          <w:spacing w:val="-10"/>
          <w:sz w:val="18"/>
        </w:rPr>
        <w:t> </w:t>
      </w:r>
      <w:r>
        <w:rPr>
          <w:sz w:val="18"/>
        </w:rPr>
        <w:t>CO</w:t>
      </w:r>
      <w:r>
        <w:rPr>
          <w:position w:val="-5"/>
          <w:sz w:val="10"/>
        </w:rPr>
        <w:t>2</w:t>
      </w:r>
      <w:r>
        <w:rPr>
          <w:spacing w:val="10"/>
          <w:position w:val="-5"/>
          <w:sz w:val="10"/>
        </w:rPr>
        <w:t> </w:t>
      </w:r>
      <w:r>
        <w:rPr>
          <w:sz w:val="18"/>
        </w:rPr>
        <w:t>Capture</w:t>
      </w:r>
      <w:r>
        <w:rPr>
          <w:spacing w:val="-10"/>
          <w:sz w:val="18"/>
        </w:rPr>
        <w:t> </w:t>
      </w:r>
      <w:r>
        <w:rPr>
          <w:sz w:val="18"/>
        </w:rPr>
        <w:t>Project,</w:t>
      </w:r>
      <w:r>
        <w:rPr>
          <w:spacing w:val="-10"/>
          <w:sz w:val="18"/>
        </w:rPr>
        <w:t> </w:t>
      </w:r>
      <w:r>
        <w:rPr>
          <w:spacing w:val="-6"/>
          <w:sz w:val="18"/>
        </w:rPr>
        <w:t>v.</w:t>
      </w:r>
      <w:r>
        <w:rPr>
          <w:spacing w:val="-10"/>
          <w:sz w:val="18"/>
        </w:rPr>
        <w:t> </w:t>
      </w:r>
      <w:r>
        <w:rPr>
          <w:sz w:val="18"/>
        </w:rPr>
        <w:t>2:</w:t>
      </w:r>
      <w:r>
        <w:rPr>
          <w:spacing w:val="-10"/>
          <w:sz w:val="18"/>
        </w:rPr>
        <w:t> </w:t>
      </w:r>
      <w:r>
        <w:rPr>
          <w:sz w:val="18"/>
        </w:rPr>
        <w:t>Geologic Storage of Carbon Dioxide with Monitoring</w:t>
      </w:r>
      <w:r>
        <w:rPr>
          <w:spacing w:val="13"/>
          <w:sz w:val="18"/>
        </w:rPr>
        <w:t> </w:t>
      </w:r>
      <w:r>
        <w:rPr>
          <w:sz w:val="18"/>
        </w:rPr>
        <w:t>and Verification,</w:t>
      </w:r>
    </w:p>
    <w:p>
      <w:pPr>
        <w:spacing w:before="23"/>
        <w:ind w:left="894" w:right="0" w:firstLine="0"/>
        <w:jc w:val="both"/>
        <w:rPr>
          <w:sz w:val="18"/>
        </w:rPr>
      </w:pPr>
      <w:r>
        <w:rPr>
          <w:sz w:val="18"/>
        </w:rPr>
        <w:t>S.M. Benson (ed.), Elsevier, London, pp. 853–866.</w:t>
      </w:r>
    </w:p>
    <w:p>
      <w:pPr>
        <w:spacing w:line="240" w:lineRule="exact" w:before="10"/>
        <w:ind w:left="894" w:right="0" w:hanging="341"/>
        <w:jc w:val="both"/>
        <w:rPr>
          <w:sz w:val="18"/>
        </w:rPr>
      </w:pPr>
      <w:r>
        <w:rPr>
          <w:b/>
          <w:spacing w:val="-3"/>
          <w:sz w:val="18"/>
        </w:rPr>
        <w:t>Gunter, </w:t>
      </w:r>
      <w:r>
        <w:rPr>
          <w:spacing w:val="-4"/>
          <w:sz w:val="18"/>
        </w:rPr>
        <w:t>W.D., </w:t>
      </w:r>
      <w:r>
        <w:rPr>
          <w:sz w:val="18"/>
        </w:rPr>
        <w:t>E.H. Perkins and </w:t>
      </w:r>
      <w:r>
        <w:rPr>
          <w:spacing w:val="-4"/>
          <w:sz w:val="18"/>
        </w:rPr>
        <w:t>T.J. </w:t>
      </w:r>
      <w:r>
        <w:rPr>
          <w:sz w:val="18"/>
        </w:rPr>
        <w:t>McCann, 1993: Aquifer disposal of CO</w:t>
      </w:r>
      <w:r>
        <w:rPr>
          <w:position w:val="-5"/>
          <w:sz w:val="10"/>
        </w:rPr>
        <w:t>2</w:t>
      </w:r>
      <w:r>
        <w:rPr>
          <w:sz w:val="18"/>
        </w:rPr>
        <w:t>-rich gases: reaction design for added capacity. </w:t>
      </w:r>
      <w:r>
        <w:rPr>
          <w:i/>
          <w:spacing w:val="-5"/>
          <w:sz w:val="18"/>
        </w:rPr>
        <w:t>Energy </w:t>
      </w:r>
      <w:r>
        <w:rPr>
          <w:i/>
          <w:sz w:val="18"/>
        </w:rPr>
        <w:t>Conversion and Management</w:t>
      </w:r>
      <w:r>
        <w:rPr>
          <w:sz w:val="18"/>
        </w:rPr>
        <w:t>, </w:t>
      </w:r>
      <w:r>
        <w:rPr>
          <w:b/>
          <w:sz w:val="18"/>
        </w:rPr>
        <w:t>34</w:t>
      </w:r>
      <w:r>
        <w:rPr>
          <w:sz w:val="18"/>
        </w:rPr>
        <w:t>, 941–948.</w:t>
      </w:r>
    </w:p>
    <w:p>
      <w:pPr>
        <w:spacing w:line="240" w:lineRule="exact" w:before="0"/>
        <w:ind w:left="894" w:right="0" w:hanging="341"/>
        <w:jc w:val="both"/>
        <w:rPr>
          <w:sz w:val="18"/>
        </w:rPr>
      </w:pPr>
      <w:r>
        <w:rPr>
          <w:b/>
          <w:sz w:val="18"/>
        </w:rPr>
        <w:t>Gunter, </w:t>
      </w:r>
      <w:r>
        <w:rPr>
          <w:sz w:val="18"/>
        </w:rPr>
        <w:t>W.D., B. Wiwchar and E.H. Perkins, 1997: Aquifer disposal of CO</w:t>
      </w:r>
      <w:r>
        <w:rPr>
          <w:position w:val="-5"/>
          <w:sz w:val="10"/>
        </w:rPr>
        <w:t>2</w:t>
      </w:r>
      <w:r>
        <w:rPr>
          <w:sz w:val="18"/>
        </w:rPr>
        <w:t>-rich greenhouse gases: Extension of the time scale of experiment for CO</w:t>
      </w:r>
      <w:r>
        <w:rPr>
          <w:position w:val="-5"/>
          <w:sz w:val="10"/>
        </w:rPr>
        <w:t>2</w:t>
      </w:r>
      <w:r>
        <w:rPr>
          <w:sz w:val="18"/>
        </w:rPr>
        <w:t>-sequestering reactions by geochemical modelling. </w:t>
      </w:r>
      <w:r>
        <w:rPr>
          <w:i/>
          <w:sz w:val="18"/>
        </w:rPr>
        <w:t>Mineralogy and Petrology</w:t>
      </w:r>
      <w:r>
        <w:rPr>
          <w:sz w:val="18"/>
        </w:rPr>
        <w:t>, </w:t>
      </w:r>
      <w:r>
        <w:rPr>
          <w:b/>
          <w:sz w:val="18"/>
        </w:rPr>
        <w:t>59</w:t>
      </w:r>
      <w:r>
        <w:rPr>
          <w:sz w:val="18"/>
        </w:rPr>
        <w:t>, 121–140.</w:t>
      </w:r>
    </w:p>
    <w:p>
      <w:pPr>
        <w:spacing w:line="240" w:lineRule="exact" w:before="0"/>
        <w:ind w:left="894" w:right="0" w:hanging="341"/>
        <w:jc w:val="both"/>
        <w:rPr>
          <w:sz w:val="18"/>
        </w:rPr>
      </w:pPr>
      <w:r>
        <w:rPr>
          <w:b/>
          <w:sz w:val="18"/>
        </w:rPr>
        <w:t>Gunter, </w:t>
      </w:r>
      <w:r>
        <w:rPr>
          <w:sz w:val="18"/>
        </w:rPr>
        <w:t>W.D., S. Wong, D.B. Cheel and G. Sjostrom, 1998: Large CO</w:t>
      </w:r>
      <w:r>
        <w:rPr>
          <w:position w:val="-5"/>
          <w:sz w:val="10"/>
        </w:rPr>
        <w:t>2 </w:t>
      </w:r>
      <w:r>
        <w:rPr>
          <w:sz w:val="18"/>
        </w:rPr>
        <w:t>sinks: their role in the mitigation of greenhouse gases from an international, national (Canadian) and provincial (Alberta) perspective. </w:t>
      </w:r>
      <w:r>
        <w:rPr>
          <w:i/>
          <w:sz w:val="18"/>
        </w:rPr>
        <w:t>Applied Energy</w:t>
      </w:r>
      <w:r>
        <w:rPr>
          <w:sz w:val="18"/>
        </w:rPr>
        <w:t>, </w:t>
      </w:r>
      <w:r>
        <w:rPr>
          <w:b/>
          <w:sz w:val="18"/>
        </w:rPr>
        <w:t>61</w:t>
      </w:r>
      <w:r>
        <w:rPr>
          <w:sz w:val="18"/>
        </w:rPr>
        <w:t>, 209–227.</w:t>
      </w:r>
    </w:p>
    <w:p>
      <w:pPr>
        <w:spacing w:line="278" w:lineRule="auto" w:before="24"/>
        <w:ind w:left="894" w:right="0" w:hanging="341"/>
        <w:jc w:val="both"/>
        <w:rPr>
          <w:sz w:val="18"/>
        </w:rPr>
      </w:pPr>
      <w:r>
        <w:rPr>
          <w:b/>
          <w:sz w:val="18"/>
        </w:rPr>
        <w:t>Gunter, </w:t>
      </w:r>
      <w:r>
        <w:rPr>
          <w:sz w:val="18"/>
        </w:rPr>
        <w:t>W.D., E.H. Perkins and I. Hutcheon, 2000: Aquifer disposal of acid gases: Modeling of water-rock reactions for trapping acid wastes. </w:t>
      </w:r>
      <w:r>
        <w:rPr>
          <w:i/>
          <w:sz w:val="18"/>
        </w:rPr>
        <w:t>Applied Geochemistry</w:t>
      </w:r>
      <w:r>
        <w:rPr>
          <w:sz w:val="18"/>
        </w:rPr>
        <w:t>, </w:t>
      </w:r>
      <w:r>
        <w:rPr>
          <w:b/>
          <w:sz w:val="18"/>
        </w:rPr>
        <w:t>15</w:t>
      </w:r>
      <w:r>
        <w:rPr>
          <w:sz w:val="18"/>
        </w:rPr>
        <w:t>, 1085–1095.</w:t>
      </w:r>
    </w:p>
    <w:p>
      <w:pPr>
        <w:spacing w:line="278" w:lineRule="auto" w:before="0"/>
        <w:ind w:left="894" w:right="0" w:hanging="341"/>
        <w:jc w:val="both"/>
        <w:rPr>
          <w:sz w:val="18"/>
        </w:rPr>
      </w:pPr>
      <w:r>
        <w:rPr>
          <w:b/>
          <w:spacing w:val="-3"/>
          <w:sz w:val="18"/>
        </w:rPr>
        <w:t>Gunter, </w:t>
      </w:r>
      <w:r>
        <w:rPr>
          <w:spacing w:val="-4"/>
          <w:sz w:val="18"/>
        </w:rPr>
        <w:t>W.D., </w:t>
      </w:r>
      <w:r>
        <w:rPr>
          <w:sz w:val="18"/>
        </w:rPr>
        <w:t>S. Bachu and S. Benson, 2004: The role of hydrogeological and geochemical trapping in sedimentary basins for secure geological storage for carbon dioxide. In: Geological Storage of Carbon Dioxide: </w:t>
      </w:r>
      <w:r>
        <w:rPr>
          <w:spacing w:val="-3"/>
          <w:sz w:val="18"/>
        </w:rPr>
        <w:t>Technology. </w:t>
      </w:r>
      <w:r>
        <w:rPr>
          <w:sz w:val="18"/>
        </w:rPr>
        <w:t>S. Baines and R.H. </w:t>
      </w:r>
      <w:r>
        <w:rPr>
          <w:spacing w:val="-3"/>
          <w:sz w:val="18"/>
        </w:rPr>
        <w:t>Worden</w:t>
      </w:r>
      <w:r>
        <w:rPr>
          <w:spacing w:val="-16"/>
          <w:sz w:val="18"/>
        </w:rPr>
        <w:t> </w:t>
      </w:r>
      <w:r>
        <w:rPr>
          <w:sz w:val="18"/>
        </w:rPr>
        <w:t>(eds.),</w:t>
      </w:r>
      <w:r>
        <w:rPr>
          <w:spacing w:val="-16"/>
          <w:sz w:val="18"/>
        </w:rPr>
        <w:t> </w:t>
      </w:r>
      <w:r>
        <w:rPr>
          <w:sz w:val="18"/>
        </w:rPr>
        <w:t>Special</w:t>
      </w:r>
      <w:r>
        <w:rPr>
          <w:spacing w:val="-16"/>
          <w:sz w:val="18"/>
        </w:rPr>
        <w:t> </w:t>
      </w:r>
      <w:r>
        <w:rPr>
          <w:sz w:val="18"/>
        </w:rPr>
        <w:t>Publication</w:t>
      </w:r>
      <w:r>
        <w:rPr>
          <w:spacing w:val="-16"/>
          <w:sz w:val="18"/>
        </w:rPr>
        <w:t> </w:t>
      </w:r>
      <w:r>
        <w:rPr>
          <w:sz w:val="18"/>
        </w:rPr>
        <w:t>of</w:t>
      </w:r>
      <w:r>
        <w:rPr>
          <w:spacing w:val="-16"/>
          <w:sz w:val="18"/>
        </w:rPr>
        <w:t> </w:t>
      </w:r>
      <w:r>
        <w:rPr>
          <w:sz w:val="18"/>
        </w:rPr>
        <w:t>Geological</w:t>
      </w:r>
      <w:r>
        <w:rPr>
          <w:spacing w:val="-16"/>
          <w:sz w:val="18"/>
        </w:rPr>
        <w:t> </w:t>
      </w:r>
      <w:r>
        <w:rPr>
          <w:spacing w:val="-3"/>
          <w:sz w:val="18"/>
        </w:rPr>
        <w:t>Society,</w:t>
      </w:r>
      <w:r>
        <w:rPr>
          <w:spacing w:val="-16"/>
          <w:sz w:val="18"/>
        </w:rPr>
        <w:t> </w:t>
      </w:r>
      <w:r>
        <w:rPr>
          <w:sz w:val="18"/>
        </w:rPr>
        <w:t>London, UK. Special Publication 233, pp.</w:t>
      </w:r>
      <w:r>
        <w:rPr>
          <w:spacing w:val="-6"/>
          <w:sz w:val="18"/>
        </w:rPr>
        <w:t> </w:t>
      </w:r>
      <w:r>
        <w:rPr>
          <w:sz w:val="18"/>
        </w:rPr>
        <w:t>129–145.</w:t>
      </w:r>
    </w:p>
    <w:p>
      <w:pPr>
        <w:spacing w:line="244" w:lineRule="exact" w:before="0"/>
        <w:ind w:left="553" w:right="0" w:firstLine="0"/>
        <w:jc w:val="left"/>
        <w:rPr>
          <w:sz w:val="18"/>
        </w:rPr>
      </w:pPr>
      <w:r>
        <w:rPr>
          <w:b/>
          <w:spacing w:val="-3"/>
          <w:sz w:val="18"/>
        </w:rPr>
        <w:t>Gunter,  </w:t>
      </w:r>
      <w:r>
        <w:rPr>
          <w:spacing w:val="-4"/>
          <w:sz w:val="18"/>
        </w:rPr>
        <w:t>W.D.,  </w:t>
      </w:r>
      <w:r>
        <w:rPr>
          <w:sz w:val="18"/>
        </w:rPr>
        <w:t>M.J.  Mavor  and  J.R.  Robinson,  2005:</w:t>
      </w:r>
      <w:r>
        <w:rPr>
          <w:spacing w:val="-19"/>
          <w:sz w:val="18"/>
        </w:rPr>
        <w:t> </w:t>
      </w:r>
      <w:r>
        <w:rPr>
          <w:sz w:val="18"/>
        </w:rPr>
        <w:t>CO</w:t>
      </w:r>
      <w:r>
        <w:rPr>
          <w:position w:val="-5"/>
          <w:sz w:val="10"/>
        </w:rPr>
        <w:t>2   </w:t>
      </w:r>
      <w:r>
        <w:rPr>
          <w:sz w:val="18"/>
        </w:rPr>
        <w:t>storage</w:t>
      </w:r>
    </w:p>
    <w:p>
      <w:pPr>
        <w:spacing w:line="278" w:lineRule="auto" w:before="0"/>
        <w:ind w:left="894" w:right="0" w:firstLine="0"/>
        <w:jc w:val="both"/>
        <w:rPr>
          <w:sz w:val="18"/>
        </w:rPr>
      </w:pPr>
      <w:r>
        <w:rPr>
          <w:sz w:val="18"/>
        </w:rPr>
        <w:t>and enhanced methane production: field testing at Fenn-Big </w:t>
      </w:r>
      <w:r>
        <w:rPr>
          <w:spacing w:val="-5"/>
          <w:sz w:val="18"/>
        </w:rPr>
        <w:t>Valley,  </w:t>
      </w:r>
      <w:r>
        <w:rPr>
          <w:sz w:val="18"/>
        </w:rPr>
        <w:t>Alberta,  Canada,  with  application.   Proceedings   of the 7</w:t>
      </w:r>
      <w:r>
        <w:rPr>
          <w:position w:val="6"/>
          <w:sz w:val="10"/>
        </w:rPr>
        <w:t>th </w:t>
      </w:r>
      <w:r>
        <w:rPr>
          <w:sz w:val="18"/>
        </w:rPr>
        <w:t>International Conference on Greenhouse Gas Control Technologies   (GHGT-7),   September   5–9,   2004,</w:t>
      </w:r>
      <w:r>
        <w:rPr>
          <w:spacing w:val="25"/>
          <w:sz w:val="18"/>
        </w:rPr>
        <w:t> </w:t>
      </w:r>
      <w:r>
        <w:rPr>
          <w:spacing w:val="-3"/>
          <w:sz w:val="18"/>
        </w:rPr>
        <w:t>Vancouver,</w:t>
      </w:r>
    </w:p>
    <w:p>
      <w:pPr>
        <w:spacing w:line="207" w:lineRule="exact" w:before="0"/>
        <w:ind w:left="894" w:right="0" w:firstLine="0"/>
        <w:jc w:val="both"/>
        <w:rPr>
          <w:sz w:val="18"/>
        </w:rPr>
      </w:pPr>
      <w:r>
        <w:rPr>
          <w:sz w:val="18"/>
        </w:rPr>
        <w:t>Canada, v.I, 413-422.</w:t>
      </w:r>
    </w:p>
    <w:p>
      <w:pPr>
        <w:spacing w:line="240" w:lineRule="exact" w:before="3"/>
        <w:ind w:left="894" w:right="0" w:hanging="341"/>
        <w:jc w:val="both"/>
        <w:rPr>
          <w:sz w:val="18"/>
        </w:rPr>
      </w:pPr>
      <w:r>
        <w:rPr>
          <w:b/>
          <w:sz w:val="18"/>
        </w:rPr>
        <w:t>Gupta,</w:t>
      </w:r>
      <w:r>
        <w:rPr>
          <w:b/>
          <w:spacing w:val="-15"/>
          <w:sz w:val="18"/>
        </w:rPr>
        <w:t> </w:t>
      </w:r>
      <w:r>
        <w:rPr>
          <w:sz w:val="18"/>
        </w:rPr>
        <w:t>N.,</w:t>
      </w:r>
      <w:r>
        <w:rPr>
          <w:spacing w:val="-15"/>
          <w:sz w:val="18"/>
        </w:rPr>
        <w:t> </w:t>
      </w:r>
      <w:r>
        <w:rPr>
          <w:sz w:val="18"/>
        </w:rPr>
        <w:t>B.</w:t>
      </w:r>
      <w:r>
        <w:rPr>
          <w:spacing w:val="-14"/>
          <w:sz w:val="18"/>
        </w:rPr>
        <w:t> </w:t>
      </w:r>
      <w:r>
        <w:rPr>
          <w:sz w:val="18"/>
        </w:rPr>
        <w:t>Sass,</w:t>
      </w:r>
      <w:r>
        <w:rPr>
          <w:spacing w:val="-15"/>
          <w:sz w:val="18"/>
        </w:rPr>
        <w:t> </w:t>
      </w:r>
      <w:r>
        <w:rPr>
          <w:sz w:val="18"/>
        </w:rPr>
        <w:t>J.</w:t>
      </w:r>
      <w:r>
        <w:rPr>
          <w:spacing w:val="-15"/>
          <w:sz w:val="18"/>
        </w:rPr>
        <w:t> </w:t>
      </w:r>
      <w:r>
        <w:rPr>
          <w:sz w:val="18"/>
        </w:rPr>
        <w:t>Sminchak</w:t>
      </w:r>
      <w:r>
        <w:rPr>
          <w:spacing w:val="-15"/>
          <w:sz w:val="18"/>
        </w:rPr>
        <w:t> </w:t>
      </w:r>
      <w:r>
        <w:rPr>
          <w:sz w:val="18"/>
        </w:rPr>
        <w:t>and</w:t>
      </w:r>
      <w:r>
        <w:rPr>
          <w:spacing w:val="-18"/>
          <w:sz w:val="18"/>
        </w:rPr>
        <w:t> </w:t>
      </w:r>
      <w:r>
        <w:rPr>
          <w:spacing w:val="-7"/>
          <w:sz w:val="18"/>
        </w:rPr>
        <w:t>T.</w:t>
      </w:r>
      <w:r>
        <w:rPr>
          <w:spacing w:val="-14"/>
          <w:sz w:val="18"/>
        </w:rPr>
        <w:t> </w:t>
      </w:r>
      <w:r>
        <w:rPr>
          <w:sz w:val="18"/>
        </w:rPr>
        <w:t>Naymik,</w:t>
      </w:r>
      <w:r>
        <w:rPr>
          <w:spacing w:val="-15"/>
          <w:sz w:val="18"/>
        </w:rPr>
        <w:t> </w:t>
      </w:r>
      <w:r>
        <w:rPr>
          <w:sz w:val="18"/>
        </w:rPr>
        <w:t>1999:</w:t>
      </w:r>
      <w:r>
        <w:rPr>
          <w:spacing w:val="-15"/>
          <w:sz w:val="18"/>
        </w:rPr>
        <w:t> </w:t>
      </w:r>
      <w:r>
        <w:rPr>
          <w:sz w:val="18"/>
        </w:rPr>
        <w:t>Hydrodynamics of CO</w:t>
      </w:r>
      <w:r>
        <w:rPr>
          <w:position w:val="-5"/>
          <w:sz w:val="10"/>
        </w:rPr>
        <w:t>2 </w:t>
      </w:r>
      <w:r>
        <w:rPr>
          <w:sz w:val="18"/>
        </w:rPr>
        <w:t>disposal in a deep saline formation in the midwestern United States. Proceedings of the 4</w:t>
      </w:r>
      <w:r>
        <w:rPr>
          <w:position w:val="6"/>
          <w:sz w:val="10"/>
        </w:rPr>
        <w:t>th </w:t>
      </w:r>
      <w:r>
        <w:rPr>
          <w:sz w:val="18"/>
        </w:rPr>
        <w:t>International Conference on Greenhouse</w:t>
      </w:r>
      <w:r>
        <w:rPr>
          <w:spacing w:val="21"/>
          <w:sz w:val="18"/>
        </w:rPr>
        <w:t> </w:t>
      </w:r>
      <w:r>
        <w:rPr>
          <w:sz w:val="18"/>
        </w:rPr>
        <w:t>Gas</w:t>
      </w:r>
      <w:r>
        <w:rPr>
          <w:spacing w:val="21"/>
          <w:sz w:val="18"/>
        </w:rPr>
        <w:t> </w:t>
      </w:r>
      <w:r>
        <w:rPr>
          <w:sz w:val="18"/>
        </w:rPr>
        <w:t>Control</w:t>
      </w:r>
      <w:r>
        <w:rPr>
          <w:spacing w:val="19"/>
          <w:sz w:val="18"/>
        </w:rPr>
        <w:t> </w:t>
      </w:r>
      <w:r>
        <w:rPr>
          <w:sz w:val="18"/>
        </w:rPr>
        <w:t>Technologies</w:t>
      </w:r>
      <w:r>
        <w:rPr>
          <w:spacing w:val="21"/>
          <w:sz w:val="18"/>
        </w:rPr>
        <w:t> </w:t>
      </w:r>
      <w:r>
        <w:rPr>
          <w:sz w:val="18"/>
        </w:rPr>
        <w:t>(GHGT-4),</w:t>
      </w:r>
      <w:r>
        <w:rPr>
          <w:spacing w:val="22"/>
          <w:sz w:val="18"/>
        </w:rPr>
        <w:t> </w:t>
      </w:r>
      <w:r>
        <w:rPr>
          <w:sz w:val="18"/>
        </w:rPr>
        <w:t>B.</w:t>
      </w:r>
      <w:r>
        <w:rPr>
          <w:spacing w:val="21"/>
          <w:sz w:val="18"/>
        </w:rPr>
        <w:t> </w:t>
      </w:r>
      <w:r>
        <w:rPr>
          <w:sz w:val="18"/>
        </w:rPr>
        <w:t>Eliasson,</w:t>
      </w:r>
    </w:p>
    <w:p>
      <w:pPr>
        <w:spacing w:line="278" w:lineRule="auto" w:before="24"/>
        <w:ind w:left="894" w:right="1" w:firstLine="0"/>
        <w:jc w:val="both"/>
        <w:rPr>
          <w:sz w:val="18"/>
        </w:rPr>
      </w:pPr>
      <w:r>
        <w:rPr>
          <w:sz w:val="18"/>
        </w:rPr>
        <w:t>P.W.F. Riemer and A. Wokaun (eds.), 30 August to 2 September 1998, Interlaken, Switzerland, Pergamon, 157–162.</w:t>
      </w:r>
    </w:p>
    <w:p>
      <w:pPr>
        <w:spacing w:line="278" w:lineRule="auto" w:before="0"/>
        <w:ind w:left="894" w:right="0" w:hanging="341"/>
        <w:jc w:val="both"/>
        <w:rPr>
          <w:sz w:val="18"/>
        </w:rPr>
      </w:pPr>
      <w:r>
        <w:rPr>
          <w:b/>
          <w:sz w:val="18"/>
        </w:rPr>
        <w:t>Gurevich</w:t>
      </w:r>
      <w:r>
        <w:rPr>
          <w:sz w:val="18"/>
        </w:rPr>
        <w:t>, A.E., B.L. Endres, J.O. Robertson </w:t>
      </w:r>
      <w:r>
        <w:rPr>
          <w:spacing w:val="-4"/>
          <w:sz w:val="18"/>
        </w:rPr>
        <w:t>Jr. </w:t>
      </w:r>
      <w:r>
        <w:rPr>
          <w:sz w:val="18"/>
        </w:rPr>
        <w:t>and </w:t>
      </w:r>
      <w:r>
        <w:rPr>
          <w:spacing w:val="-7"/>
          <w:sz w:val="18"/>
        </w:rPr>
        <w:t>G.V. </w:t>
      </w:r>
      <w:r>
        <w:rPr>
          <w:sz w:val="18"/>
        </w:rPr>
        <w:t>Chilingar, 1993:</w:t>
      </w:r>
      <w:r>
        <w:rPr>
          <w:spacing w:val="-19"/>
          <w:sz w:val="18"/>
        </w:rPr>
        <w:t> </w:t>
      </w:r>
      <w:r>
        <w:rPr>
          <w:sz w:val="18"/>
        </w:rPr>
        <w:t>Gas</w:t>
      </w:r>
      <w:r>
        <w:rPr>
          <w:spacing w:val="-19"/>
          <w:sz w:val="18"/>
        </w:rPr>
        <w:t> </w:t>
      </w:r>
      <w:r>
        <w:rPr>
          <w:sz w:val="18"/>
        </w:rPr>
        <w:t>migration</w:t>
      </w:r>
      <w:r>
        <w:rPr>
          <w:spacing w:val="-18"/>
          <w:sz w:val="18"/>
        </w:rPr>
        <w:t> </w:t>
      </w:r>
      <w:r>
        <w:rPr>
          <w:sz w:val="18"/>
        </w:rPr>
        <w:t>from</w:t>
      </w:r>
      <w:r>
        <w:rPr>
          <w:spacing w:val="-19"/>
          <w:sz w:val="18"/>
        </w:rPr>
        <w:t> </w:t>
      </w:r>
      <w:r>
        <w:rPr>
          <w:sz w:val="18"/>
        </w:rPr>
        <w:t>oil</w:t>
      </w:r>
      <w:r>
        <w:rPr>
          <w:spacing w:val="-18"/>
          <w:sz w:val="18"/>
        </w:rPr>
        <w:t> </w:t>
      </w:r>
      <w:r>
        <w:rPr>
          <w:sz w:val="18"/>
        </w:rPr>
        <w:t>and</w:t>
      </w:r>
      <w:r>
        <w:rPr>
          <w:spacing w:val="-19"/>
          <w:sz w:val="18"/>
        </w:rPr>
        <w:t> </w:t>
      </w:r>
      <w:r>
        <w:rPr>
          <w:sz w:val="18"/>
        </w:rPr>
        <w:t>gas</w:t>
      </w:r>
      <w:r>
        <w:rPr>
          <w:spacing w:val="-19"/>
          <w:sz w:val="18"/>
        </w:rPr>
        <w:t> </w:t>
      </w:r>
      <w:r>
        <w:rPr>
          <w:sz w:val="18"/>
        </w:rPr>
        <w:t>fields</w:t>
      </w:r>
      <w:r>
        <w:rPr>
          <w:spacing w:val="-18"/>
          <w:sz w:val="18"/>
        </w:rPr>
        <w:t> </w:t>
      </w:r>
      <w:r>
        <w:rPr>
          <w:sz w:val="18"/>
        </w:rPr>
        <w:t>and</w:t>
      </w:r>
      <w:r>
        <w:rPr>
          <w:spacing w:val="-19"/>
          <w:sz w:val="18"/>
        </w:rPr>
        <w:t> </w:t>
      </w:r>
      <w:r>
        <w:rPr>
          <w:sz w:val="18"/>
        </w:rPr>
        <w:t>associated</w:t>
      </w:r>
      <w:r>
        <w:rPr>
          <w:spacing w:val="-18"/>
          <w:sz w:val="18"/>
        </w:rPr>
        <w:t> </w:t>
      </w:r>
      <w:r>
        <w:rPr>
          <w:sz w:val="18"/>
        </w:rPr>
        <w:t>hazards. </w:t>
      </w:r>
      <w:r>
        <w:rPr>
          <w:i/>
          <w:sz w:val="18"/>
        </w:rPr>
        <w:t>Journal of Petroleum Science and Engineering</w:t>
      </w:r>
      <w:r>
        <w:rPr>
          <w:sz w:val="18"/>
        </w:rPr>
        <w:t>, </w:t>
      </w:r>
      <w:r>
        <w:rPr>
          <w:b/>
          <w:sz w:val="18"/>
        </w:rPr>
        <w:t>9</w:t>
      </w:r>
      <w:r>
        <w:rPr>
          <w:sz w:val="18"/>
        </w:rPr>
        <w:t>,</w:t>
      </w:r>
      <w:r>
        <w:rPr>
          <w:spacing w:val="-4"/>
          <w:sz w:val="18"/>
        </w:rPr>
        <w:t> </w:t>
      </w:r>
      <w:r>
        <w:rPr>
          <w:sz w:val="18"/>
        </w:rPr>
        <w:t>223–238.</w:t>
      </w:r>
    </w:p>
    <w:p>
      <w:pPr>
        <w:spacing w:line="278" w:lineRule="auto" w:before="0"/>
        <w:ind w:left="894" w:right="0" w:hanging="341"/>
        <w:jc w:val="both"/>
        <w:rPr>
          <w:sz w:val="18"/>
        </w:rPr>
      </w:pPr>
      <w:r>
        <w:rPr>
          <w:b/>
          <w:sz w:val="18"/>
        </w:rPr>
        <w:t>Haidl</w:t>
      </w:r>
      <w:r>
        <w:rPr>
          <w:sz w:val="18"/>
        </w:rPr>
        <w:t>, </w:t>
      </w:r>
      <w:r>
        <w:rPr>
          <w:spacing w:val="-3"/>
          <w:sz w:val="18"/>
        </w:rPr>
        <w:t>F.M., </w:t>
      </w:r>
      <w:r>
        <w:rPr>
          <w:sz w:val="18"/>
        </w:rPr>
        <w:t>S.G. Whittaker, M. </w:t>
      </w:r>
      <w:r>
        <w:rPr>
          <w:spacing w:val="-3"/>
          <w:sz w:val="18"/>
        </w:rPr>
        <w:t>Yurkowski, </w:t>
      </w:r>
      <w:r>
        <w:rPr>
          <w:sz w:val="18"/>
        </w:rPr>
        <w:t>L.K. Kreis, </w:t>
      </w:r>
      <w:r>
        <w:rPr>
          <w:spacing w:val="-4"/>
          <w:sz w:val="18"/>
        </w:rPr>
        <w:t>C.F. </w:t>
      </w:r>
      <w:r>
        <w:rPr>
          <w:sz w:val="18"/>
        </w:rPr>
        <w:t>Gilboy and R.B. Burke, 2005: The importance of regional geological mapping</w:t>
      </w:r>
      <w:r>
        <w:rPr>
          <w:spacing w:val="28"/>
          <w:sz w:val="18"/>
        </w:rPr>
        <w:t> </w:t>
      </w:r>
      <w:r>
        <w:rPr>
          <w:sz w:val="18"/>
        </w:rPr>
        <w:t>in</w:t>
      </w:r>
      <w:r>
        <w:rPr>
          <w:spacing w:val="28"/>
          <w:sz w:val="18"/>
        </w:rPr>
        <w:t> </w:t>
      </w:r>
      <w:r>
        <w:rPr>
          <w:sz w:val="18"/>
        </w:rPr>
        <w:t>assessing</w:t>
      </w:r>
      <w:r>
        <w:rPr>
          <w:spacing w:val="28"/>
          <w:sz w:val="18"/>
        </w:rPr>
        <w:t> </w:t>
      </w:r>
      <w:r>
        <w:rPr>
          <w:sz w:val="18"/>
        </w:rPr>
        <w:t>sites</w:t>
      </w:r>
      <w:r>
        <w:rPr>
          <w:spacing w:val="29"/>
          <w:sz w:val="18"/>
        </w:rPr>
        <w:t> </w:t>
      </w:r>
      <w:r>
        <w:rPr>
          <w:sz w:val="18"/>
        </w:rPr>
        <w:t>of</w:t>
      </w:r>
      <w:r>
        <w:rPr>
          <w:spacing w:val="28"/>
          <w:sz w:val="18"/>
        </w:rPr>
        <w:t> </w:t>
      </w:r>
      <w:r>
        <w:rPr>
          <w:sz w:val="18"/>
        </w:rPr>
        <w:t>CO</w:t>
      </w:r>
      <w:r>
        <w:rPr>
          <w:position w:val="-5"/>
          <w:sz w:val="10"/>
        </w:rPr>
        <w:t>2 </w:t>
      </w:r>
      <w:r>
        <w:rPr>
          <w:spacing w:val="23"/>
          <w:position w:val="-5"/>
          <w:sz w:val="10"/>
        </w:rPr>
        <w:t> </w:t>
      </w:r>
      <w:r>
        <w:rPr>
          <w:sz w:val="18"/>
        </w:rPr>
        <w:t>storage</w:t>
      </w:r>
      <w:r>
        <w:rPr>
          <w:spacing w:val="29"/>
          <w:sz w:val="18"/>
        </w:rPr>
        <w:t> </w:t>
      </w:r>
      <w:r>
        <w:rPr>
          <w:sz w:val="18"/>
        </w:rPr>
        <w:t>within</w:t>
      </w:r>
      <w:r>
        <w:rPr>
          <w:spacing w:val="28"/>
          <w:sz w:val="18"/>
        </w:rPr>
        <w:t> </w:t>
      </w:r>
      <w:r>
        <w:rPr>
          <w:sz w:val="18"/>
        </w:rPr>
        <w:t>intracratonic</w:t>
      </w:r>
    </w:p>
    <w:p>
      <w:pPr>
        <w:spacing w:line="177" w:lineRule="auto" w:before="0"/>
        <w:ind w:left="894" w:right="0" w:firstLine="0"/>
        <w:jc w:val="both"/>
        <w:rPr>
          <w:sz w:val="18"/>
        </w:rPr>
      </w:pPr>
      <w:r>
        <w:rPr>
          <w:sz w:val="18"/>
        </w:rPr>
        <w:t>basins:  Examples  from  the  IEA </w:t>
      </w:r>
      <w:r>
        <w:rPr>
          <w:spacing w:val="-3"/>
          <w:sz w:val="18"/>
        </w:rPr>
        <w:t>Weyburn  </w:t>
      </w:r>
      <w:r>
        <w:rPr>
          <w:sz w:val="18"/>
        </w:rPr>
        <w:t>CO</w:t>
      </w:r>
      <w:r>
        <w:rPr>
          <w:position w:val="-5"/>
          <w:sz w:val="10"/>
        </w:rPr>
        <w:t>2 </w:t>
      </w:r>
      <w:r>
        <w:rPr>
          <w:spacing w:val="25"/>
          <w:position w:val="-5"/>
          <w:sz w:val="10"/>
        </w:rPr>
        <w:t> </w:t>
      </w:r>
      <w:r>
        <w:rPr>
          <w:sz w:val="18"/>
        </w:rPr>
        <w:t>monitoring</w:t>
      </w:r>
      <w:r>
        <w:rPr>
          <w:spacing w:val="4"/>
          <w:sz w:val="18"/>
        </w:rPr>
        <w:t> </w:t>
      </w:r>
      <w:r>
        <w:rPr>
          <w:spacing w:val="-6"/>
          <w:sz w:val="18"/>
        </w:rPr>
        <w:t>and</w:t>
      </w:r>
    </w:p>
    <w:p>
      <w:pPr>
        <w:spacing w:line="278" w:lineRule="auto" w:before="1"/>
        <w:ind w:left="894" w:right="0" w:firstLine="0"/>
        <w:jc w:val="both"/>
        <w:rPr>
          <w:sz w:val="18"/>
        </w:rPr>
      </w:pPr>
      <w:r>
        <w:rPr>
          <w:sz w:val="18"/>
        </w:rPr>
        <w:t>storage project, Proceedings of the 7</w:t>
      </w:r>
      <w:r>
        <w:rPr>
          <w:position w:val="6"/>
          <w:sz w:val="10"/>
        </w:rPr>
        <w:t>th </w:t>
      </w:r>
      <w:r>
        <w:rPr>
          <w:sz w:val="18"/>
        </w:rPr>
        <w:t>International Conference on Greenhouse Gas Control Technologies (GHGT-7), September 5–9, 2004, Vancouver, Canada, v.I, 751-760.</w:t>
      </w:r>
    </w:p>
    <w:p>
      <w:pPr>
        <w:spacing w:before="67"/>
        <w:ind w:left="242" w:right="0" w:firstLine="0"/>
        <w:jc w:val="both"/>
        <w:rPr>
          <w:sz w:val="18"/>
        </w:rPr>
      </w:pPr>
      <w:r>
        <w:rPr/>
        <w:br w:type="column"/>
      </w:r>
      <w:r>
        <w:rPr>
          <w:b/>
          <w:sz w:val="18"/>
        </w:rPr>
        <w:t>Hantush, </w:t>
      </w:r>
      <w:r>
        <w:rPr>
          <w:sz w:val="18"/>
        </w:rPr>
        <w:t>M.S., 1960: Modifications to the theory of leaky aquifers,</w:t>
      </w:r>
    </w:p>
    <w:p>
      <w:pPr>
        <w:spacing w:before="33"/>
        <w:ind w:left="583" w:right="0" w:firstLine="0"/>
        <w:jc w:val="both"/>
        <w:rPr>
          <w:sz w:val="18"/>
        </w:rPr>
      </w:pPr>
      <w:r>
        <w:rPr>
          <w:i/>
          <w:sz w:val="18"/>
        </w:rPr>
        <w:t>Journal of Geophysical Research</w:t>
      </w:r>
      <w:r>
        <w:rPr>
          <w:sz w:val="18"/>
        </w:rPr>
        <w:t>, </w:t>
      </w:r>
      <w:r>
        <w:rPr>
          <w:b/>
          <w:sz w:val="18"/>
        </w:rPr>
        <w:t>65</w:t>
      </w:r>
      <w:r>
        <w:rPr>
          <w:sz w:val="18"/>
        </w:rPr>
        <w:t>(11), 3713–3725.</w:t>
      </w:r>
    </w:p>
    <w:p>
      <w:pPr>
        <w:spacing w:line="278" w:lineRule="auto" w:before="33"/>
        <w:ind w:left="583" w:right="135" w:hanging="341"/>
        <w:jc w:val="both"/>
        <w:rPr>
          <w:sz w:val="18"/>
        </w:rPr>
      </w:pPr>
      <w:r>
        <w:rPr>
          <w:b/>
          <w:sz w:val="18"/>
        </w:rPr>
        <w:t>Hantush, </w:t>
      </w:r>
      <w:r>
        <w:rPr>
          <w:sz w:val="18"/>
        </w:rPr>
        <w:t>M.S. and C.E. Jacobs, 1955: Non-steady radial flow to an infinite leaky aquifer. </w:t>
      </w:r>
      <w:r>
        <w:rPr>
          <w:i/>
          <w:sz w:val="18"/>
        </w:rPr>
        <w:t>Transactions of the American Geophysical </w:t>
      </w:r>
      <w:r>
        <w:rPr>
          <w:i/>
          <w:sz w:val="18"/>
        </w:rPr>
        <w:t>Union</w:t>
      </w:r>
      <w:r>
        <w:rPr>
          <w:sz w:val="18"/>
        </w:rPr>
        <w:t>, </w:t>
      </w:r>
      <w:r>
        <w:rPr>
          <w:b/>
          <w:sz w:val="18"/>
        </w:rPr>
        <w:t>2</w:t>
      </w:r>
      <w:r>
        <w:rPr>
          <w:sz w:val="18"/>
        </w:rPr>
        <w:t>, 519–524.</w:t>
      </w:r>
    </w:p>
    <w:p>
      <w:pPr>
        <w:spacing w:line="278" w:lineRule="auto" w:before="0"/>
        <w:ind w:left="583" w:right="134" w:hanging="341"/>
        <w:jc w:val="both"/>
        <w:rPr>
          <w:sz w:val="18"/>
        </w:rPr>
      </w:pPr>
      <w:r>
        <w:rPr>
          <w:b/>
          <w:sz w:val="18"/>
        </w:rPr>
        <w:t>Haveman, </w:t>
      </w:r>
      <w:r>
        <w:rPr>
          <w:sz w:val="18"/>
        </w:rPr>
        <w:t>S.A. and K. Pedersen, 2001: Distribution of culturable microorganisms in Fennoscandian Shield groundwater. </w:t>
      </w:r>
      <w:r>
        <w:rPr>
          <w:i/>
          <w:sz w:val="18"/>
        </w:rPr>
        <w:t>FEMS </w:t>
      </w:r>
      <w:r>
        <w:rPr>
          <w:i/>
          <w:sz w:val="18"/>
        </w:rPr>
        <w:t>Microbiology Ecology</w:t>
      </w:r>
      <w:r>
        <w:rPr>
          <w:sz w:val="18"/>
        </w:rPr>
        <w:t>, </w:t>
      </w:r>
      <w:r>
        <w:rPr>
          <w:b/>
          <w:sz w:val="18"/>
        </w:rPr>
        <w:t>39</w:t>
      </w:r>
      <w:r>
        <w:rPr>
          <w:sz w:val="18"/>
        </w:rPr>
        <w:t>(2), 129–137.</w:t>
      </w:r>
    </w:p>
    <w:p>
      <w:pPr>
        <w:spacing w:line="278" w:lineRule="auto" w:before="0"/>
        <w:ind w:left="583" w:right="135" w:hanging="341"/>
        <w:jc w:val="both"/>
        <w:rPr>
          <w:sz w:val="18"/>
        </w:rPr>
      </w:pPr>
      <w:r>
        <w:rPr>
          <w:b/>
          <w:sz w:val="18"/>
        </w:rPr>
        <w:t>Healy, </w:t>
      </w:r>
      <w:r>
        <w:rPr>
          <w:sz w:val="18"/>
        </w:rPr>
        <w:t>J.H., W.W. Ruby, D.T. Griggs and C.B. Raleigh, 1968: The Denver earthquakes, </w:t>
      </w:r>
      <w:r>
        <w:rPr>
          <w:i/>
          <w:sz w:val="18"/>
        </w:rPr>
        <w:t>Science</w:t>
      </w:r>
      <w:r>
        <w:rPr>
          <w:sz w:val="18"/>
        </w:rPr>
        <w:t>, </w:t>
      </w:r>
      <w:r>
        <w:rPr>
          <w:b/>
          <w:sz w:val="18"/>
        </w:rPr>
        <w:t>161</w:t>
      </w:r>
      <w:r>
        <w:rPr>
          <w:sz w:val="18"/>
        </w:rPr>
        <w:t>, 1301–1310.</w:t>
      </w:r>
    </w:p>
    <w:p>
      <w:pPr>
        <w:spacing w:line="278" w:lineRule="auto" w:before="0"/>
        <w:ind w:left="583" w:right="136" w:hanging="341"/>
        <w:jc w:val="both"/>
        <w:rPr>
          <w:sz w:val="18"/>
        </w:rPr>
      </w:pPr>
      <w:r>
        <w:rPr>
          <w:b/>
          <w:sz w:val="18"/>
        </w:rPr>
        <w:t>Hefner, </w:t>
      </w:r>
      <w:r>
        <w:rPr>
          <w:sz w:val="18"/>
        </w:rPr>
        <w:t>T. A. and K.T. Barrow, 1992: AAPG Treatise on Petroleum Geology. Structural Traps VII, pp. 29–56.</w:t>
      </w:r>
    </w:p>
    <w:p>
      <w:pPr>
        <w:spacing w:line="278" w:lineRule="auto" w:before="0"/>
        <w:ind w:left="583" w:right="134" w:hanging="341"/>
        <w:jc w:val="both"/>
        <w:rPr>
          <w:sz w:val="18"/>
        </w:rPr>
      </w:pPr>
      <w:r>
        <w:rPr>
          <w:b/>
          <w:sz w:val="18"/>
        </w:rPr>
        <w:t>Heinrich</w:t>
      </w:r>
      <w:r>
        <w:rPr>
          <w:sz w:val="18"/>
        </w:rPr>
        <w:t>, J.J., H.J. Herzog and D.M. Reiner, 2003: Environmental assessment   of   geologic   storage   of   CO</w:t>
      </w:r>
      <w:r>
        <w:rPr>
          <w:position w:val="-5"/>
          <w:sz w:val="10"/>
        </w:rPr>
        <w:t>2</w:t>
      </w:r>
      <w:r>
        <w:rPr>
          <w:sz w:val="18"/>
        </w:rPr>
        <w:t>.   Second  </w:t>
      </w:r>
      <w:r>
        <w:rPr>
          <w:spacing w:val="1"/>
          <w:sz w:val="18"/>
        </w:rPr>
        <w:t> </w:t>
      </w:r>
      <w:r>
        <w:rPr>
          <w:sz w:val="18"/>
        </w:rPr>
        <w:t>National</w:t>
      </w:r>
    </w:p>
    <w:p>
      <w:pPr>
        <w:spacing w:line="164" w:lineRule="exact" w:before="0"/>
        <w:ind w:left="583" w:right="0" w:firstLine="0"/>
        <w:jc w:val="both"/>
        <w:rPr>
          <w:sz w:val="18"/>
        </w:rPr>
      </w:pPr>
      <w:r>
        <w:rPr>
          <w:sz w:val="18"/>
        </w:rPr>
        <w:t>Conference</w:t>
      </w:r>
      <w:r>
        <w:rPr>
          <w:spacing w:val="-17"/>
          <w:sz w:val="18"/>
        </w:rPr>
        <w:t> </w:t>
      </w:r>
      <w:r>
        <w:rPr>
          <w:sz w:val="18"/>
        </w:rPr>
        <w:t>on</w:t>
      </w:r>
      <w:r>
        <w:rPr>
          <w:spacing w:val="-16"/>
          <w:sz w:val="18"/>
        </w:rPr>
        <w:t> </w:t>
      </w:r>
      <w:r>
        <w:rPr>
          <w:sz w:val="18"/>
        </w:rPr>
        <w:t>Carbon</w:t>
      </w:r>
      <w:r>
        <w:rPr>
          <w:spacing w:val="-17"/>
          <w:sz w:val="18"/>
        </w:rPr>
        <w:t> </w:t>
      </w:r>
      <w:r>
        <w:rPr>
          <w:sz w:val="18"/>
        </w:rPr>
        <w:t>Sequestration,</w:t>
      </w:r>
      <w:r>
        <w:rPr>
          <w:spacing w:val="-16"/>
          <w:sz w:val="18"/>
        </w:rPr>
        <w:t> </w:t>
      </w:r>
      <w:r>
        <w:rPr>
          <w:sz w:val="18"/>
        </w:rPr>
        <w:t>5–8</w:t>
      </w:r>
      <w:r>
        <w:rPr>
          <w:spacing w:val="-16"/>
          <w:sz w:val="18"/>
        </w:rPr>
        <w:t> </w:t>
      </w:r>
      <w:r>
        <w:rPr>
          <w:sz w:val="18"/>
        </w:rPr>
        <w:t>May</w:t>
      </w:r>
      <w:r>
        <w:rPr>
          <w:spacing w:val="-17"/>
          <w:sz w:val="18"/>
        </w:rPr>
        <w:t> </w:t>
      </w:r>
      <w:r>
        <w:rPr>
          <w:sz w:val="18"/>
        </w:rPr>
        <w:t>2003,</w:t>
      </w:r>
      <w:r>
        <w:rPr>
          <w:spacing w:val="-18"/>
          <w:sz w:val="18"/>
        </w:rPr>
        <w:t> </w:t>
      </w:r>
      <w:r>
        <w:rPr>
          <w:sz w:val="18"/>
        </w:rPr>
        <w:t>Washington,</w:t>
      </w:r>
    </w:p>
    <w:p>
      <w:pPr>
        <w:spacing w:before="32"/>
        <w:ind w:left="583" w:right="0" w:firstLine="0"/>
        <w:jc w:val="left"/>
        <w:rPr>
          <w:sz w:val="18"/>
        </w:rPr>
      </w:pPr>
      <w:r>
        <w:rPr>
          <w:sz w:val="18"/>
        </w:rPr>
        <w:t>DC.</w:t>
      </w:r>
    </w:p>
    <w:p>
      <w:pPr>
        <w:spacing w:line="278" w:lineRule="auto" w:before="33"/>
        <w:ind w:left="583" w:right="134" w:hanging="341"/>
        <w:jc w:val="both"/>
        <w:rPr>
          <w:sz w:val="18"/>
        </w:rPr>
      </w:pPr>
      <w:r>
        <w:rPr>
          <w:b/>
          <w:sz w:val="18"/>
        </w:rPr>
        <w:t>Hendriks</w:t>
      </w:r>
      <w:r>
        <w:rPr>
          <w:sz w:val="18"/>
        </w:rPr>
        <w:t>, C., W. Graus and F. van Bergen, 2002: Global carbon dioxide storage potential and costs. Report Ecofys &amp; The Netherland Institute of Applied Geoscience TNO, Ecofys Report EEP02002, 63 pp.</w:t>
      </w:r>
    </w:p>
    <w:p>
      <w:pPr>
        <w:spacing w:line="278" w:lineRule="auto" w:before="0"/>
        <w:ind w:left="583" w:right="134" w:hanging="341"/>
        <w:jc w:val="both"/>
        <w:rPr>
          <w:sz w:val="18"/>
        </w:rPr>
      </w:pPr>
      <w:r>
        <w:rPr>
          <w:b/>
          <w:sz w:val="18"/>
        </w:rPr>
        <w:t>Hobbs</w:t>
      </w:r>
      <w:r>
        <w:rPr>
          <w:sz w:val="18"/>
        </w:rPr>
        <w:t>, </w:t>
      </w:r>
      <w:r>
        <w:rPr>
          <w:spacing w:val="-9"/>
          <w:sz w:val="18"/>
        </w:rPr>
        <w:t>P.V., </w:t>
      </w:r>
      <w:r>
        <w:rPr>
          <w:spacing w:val="-4"/>
          <w:sz w:val="18"/>
        </w:rPr>
        <w:t>L.F. </w:t>
      </w:r>
      <w:r>
        <w:rPr>
          <w:sz w:val="18"/>
        </w:rPr>
        <w:t>Radke, J.H. Lyons, R.J. Ferek and D.J. Coffman, 1991: Airborne measurements of particle and gas emissions  from the 1990 volcanic eruptions of Mount Redoubt. </w:t>
      </w:r>
      <w:r>
        <w:rPr>
          <w:i/>
          <w:sz w:val="18"/>
        </w:rPr>
        <w:t>Journal of </w:t>
      </w:r>
      <w:r>
        <w:rPr>
          <w:i/>
          <w:sz w:val="18"/>
        </w:rPr>
        <w:t>Geophysical Research</w:t>
      </w:r>
      <w:r>
        <w:rPr>
          <w:sz w:val="18"/>
        </w:rPr>
        <w:t>, </w:t>
      </w:r>
      <w:r>
        <w:rPr>
          <w:b/>
          <w:sz w:val="18"/>
        </w:rPr>
        <w:t>96</w:t>
      </w:r>
      <w:r>
        <w:rPr>
          <w:sz w:val="18"/>
        </w:rPr>
        <w:t>(D10),</w:t>
      </w:r>
      <w:r>
        <w:rPr>
          <w:spacing w:val="-3"/>
          <w:sz w:val="18"/>
        </w:rPr>
        <w:t> </w:t>
      </w:r>
      <w:r>
        <w:rPr>
          <w:sz w:val="18"/>
        </w:rPr>
        <w:t>18735–18752.</w:t>
      </w:r>
    </w:p>
    <w:p>
      <w:pPr>
        <w:spacing w:line="278" w:lineRule="auto" w:before="0"/>
        <w:ind w:left="583" w:right="135" w:hanging="341"/>
        <w:jc w:val="both"/>
        <w:rPr>
          <w:sz w:val="18"/>
        </w:rPr>
      </w:pPr>
      <w:r>
        <w:rPr>
          <w:b/>
          <w:sz w:val="18"/>
        </w:rPr>
        <w:t>Hodgkinson, </w:t>
      </w:r>
      <w:r>
        <w:rPr>
          <w:spacing w:val="-6"/>
          <w:sz w:val="18"/>
        </w:rPr>
        <w:t>D.P. </w:t>
      </w:r>
      <w:r>
        <w:rPr>
          <w:sz w:val="18"/>
        </w:rPr>
        <w:t>and </w:t>
      </w:r>
      <w:r>
        <w:rPr>
          <w:spacing w:val="-4"/>
          <w:sz w:val="18"/>
        </w:rPr>
        <w:t>T.J. </w:t>
      </w:r>
      <w:r>
        <w:rPr>
          <w:sz w:val="18"/>
        </w:rPr>
        <w:t>Sumerling, 1990: A review of approaches to</w:t>
      </w:r>
      <w:r>
        <w:rPr>
          <w:spacing w:val="-8"/>
          <w:sz w:val="18"/>
        </w:rPr>
        <w:t> </w:t>
      </w:r>
      <w:r>
        <w:rPr>
          <w:sz w:val="18"/>
        </w:rPr>
        <w:t>scenario</w:t>
      </w:r>
      <w:r>
        <w:rPr>
          <w:spacing w:val="-7"/>
          <w:sz w:val="18"/>
        </w:rPr>
        <w:t> </w:t>
      </w:r>
      <w:r>
        <w:rPr>
          <w:sz w:val="18"/>
        </w:rPr>
        <w:t>analysis</w:t>
      </w:r>
      <w:r>
        <w:rPr>
          <w:spacing w:val="-7"/>
          <w:sz w:val="18"/>
        </w:rPr>
        <w:t> </w:t>
      </w:r>
      <w:r>
        <w:rPr>
          <w:sz w:val="18"/>
        </w:rPr>
        <w:t>for</w:t>
      </w:r>
      <w:r>
        <w:rPr>
          <w:spacing w:val="-7"/>
          <w:sz w:val="18"/>
        </w:rPr>
        <w:t> </w:t>
      </w:r>
      <w:r>
        <w:rPr>
          <w:sz w:val="18"/>
        </w:rPr>
        <w:t>repository</w:t>
      </w:r>
      <w:r>
        <w:rPr>
          <w:spacing w:val="-7"/>
          <w:sz w:val="18"/>
        </w:rPr>
        <w:t> </w:t>
      </w:r>
      <w:r>
        <w:rPr>
          <w:sz w:val="18"/>
        </w:rPr>
        <w:t>safety</w:t>
      </w:r>
      <w:r>
        <w:rPr>
          <w:spacing w:val="-7"/>
          <w:sz w:val="18"/>
        </w:rPr>
        <w:t> </w:t>
      </w:r>
      <w:r>
        <w:rPr>
          <w:sz w:val="18"/>
        </w:rPr>
        <w:t>assessment.</w:t>
      </w:r>
      <w:r>
        <w:rPr>
          <w:spacing w:val="-7"/>
          <w:sz w:val="18"/>
        </w:rPr>
        <w:t> </w:t>
      </w:r>
      <w:r>
        <w:rPr>
          <w:sz w:val="18"/>
        </w:rPr>
        <w:t>Proceedings of the Paris Symposium on Safety Assessment of Radioactive </w:t>
      </w:r>
      <w:r>
        <w:rPr>
          <w:spacing w:val="-3"/>
          <w:sz w:val="18"/>
        </w:rPr>
        <w:t>Waste </w:t>
      </w:r>
      <w:r>
        <w:rPr>
          <w:sz w:val="18"/>
        </w:rPr>
        <w:t>Repositories, 9–13 October 1989, OECD Nuclear Energy Agency:</w:t>
      </w:r>
      <w:r>
        <w:rPr>
          <w:spacing w:val="-2"/>
          <w:sz w:val="18"/>
        </w:rPr>
        <w:t> </w:t>
      </w:r>
      <w:r>
        <w:rPr>
          <w:sz w:val="18"/>
        </w:rPr>
        <w:t>333–350.</w:t>
      </w:r>
    </w:p>
    <w:p>
      <w:pPr>
        <w:spacing w:line="278" w:lineRule="auto" w:before="0"/>
        <w:ind w:left="583" w:right="134" w:hanging="341"/>
        <w:jc w:val="both"/>
        <w:rPr>
          <w:sz w:val="18"/>
        </w:rPr>
      </w:pPr>
      <w:r>
        <w:rPr>
          <w:b/>
          <w:sz w:val="18"/>
        </w:rPr>
        <w:t>Holloway,</w:t>
      </w:r>
      <w:r>
        <w:rPr>
          <w:b/>
          <w:spacing w:val="-11"/>
          <w:sz w:val="18"/>
        </w:rPr>
        <w:t> </w:t>
      </w:r>
      <w:r>
        <w:rPr>
          <w:sz w:val="18"/>
        </w:rPr>
        <w:t>S.</w:t>
      </w:r>
      <w:r>
        <w:rPr>
          <w:spacing w:val="-11"/>
          <w:sz w:val="18"/>
        </w:rPr>
        <w:t> </w:t>
      </w:r>
      <w:r>
        <w:rPr>
          <w:sz w:val="18"/>
        </w:rPr>
        <w:t>(ed.),</w:t>
      </w:r>
      <w:r>
        <w:rPr>
          <w:spacing w:val="-11"/>
          <w:sz w:val="18"/>
        </w:rPr>
        <w:t> </w:t>
      </w:r>
      <w:r>
        <w:rPr>
          <w:sz w:val="18"/>
        </w:rPr>
        <w:t>1996:</w:t>
      </w:r>
      <w:r>
        <w:rPr>
          <w:spacing w:val="-14"/>
          <w:sz w:val="18"/>
        </w:rPr>
        <w:t> </w:t>
      </w:r>
      <w:r>
        <w:rPr>
          <w:sz w:val="18"/>
        </w:rPr>
        <w:t>The</w:t>
      </w:r>
      <w:r>
        <w:rPr>
          <w:spacing w:val="-11"/>
          <w:sz w:val="18"/>
        </w:rPr>
        <w:t> </w:t>
      </w:r>
      <w:r>
        <w:rPr>
          <w:sz w:val="18"/>
        </w:rPr>
        <w:t>underground</w:t>
      </w:r>
      <w:r>
        <w:rPr>
          <w:spacing w:val="-11"/>
          <w:sz w:val="18"/>
        </w:rPr>
        <w:t> </w:t>
      </w:r>
      <w:r>
        <w:rPr>
          <w:sz w:val="18"/>
        </w:rPr>
        <w:t>disposal</w:t>
      </w:r>
      <w:r>
        <w:rPr>
          <w:spacing w:val="-11"/>
          <w:sz w:val="18"/>
        </w:rPr>
        <w:t> </w:t>
      </w:r>
      <w:r>
        <w:rPr>
          <w:sz w:val="18"/>
        </w:rPr>
        <w:t>of</w:t>
      </w:r>
      <w:r>
        <w:rPr>
          <w:spacing w:val="-11"/>
          <w:sz w:val="18"/>
        </w:rPr>
        <w:t> </w:t>
      </w:r>
      <w:r>
        <w:rPr>
          <w:sz w:val="18"/>
        </w:rPr>
        <w:t>carbon</w:t>
      </w:r>
      <w:r>
        <w:rPr>
          <w:spacing w:val="-10"/>
          <w:sz w:val="18"/>
        </w:rPr>
        <w:t> </w:t>
      </w:r>
      <w:r>
        <w:rPr>
          <w:sz w:val="18"/>
        </w:rPr>
        <w:t>dioxide. Final</w:t>
      </w:r>
      <w:r>
        <w:rPr>
          <w:spacing w:val="-9"/>
          <w:sz w:val="18"/>
        </w:rPr>
        <w:t> </w:t>
      </w:r>
      <w:r>
        <w:rPr>
          <w:sz w:val="18"/>
        </w:rPr>
        <w:t>report</w:t>
      </w:r>
      <w:r>
        <w:rPr>
          <w:spacing w:val="-9"/>
          <w:sz w:val="18"/>
        </w:rPr>
        <w:t> </w:t>
      </w:r>
      <w:r>
        <w:rPr>
          <w:sz w:val="18"/>
        </w:rPr>
        <w:t>of</w:t>
      </w:r>
      <w:r>
        <w:rPr>
          <w:spacing w:val="-8"/>
          <w:sz w:val="18"/>
        </w:rPr>
        <w:t> </w:t>
      </w:r>
      <w:r>
        <w:rPr>
          <w:sz w:val="18"/>
        </w:rPr>
        <w:t>Joule</w:t>
      </w:r>
      <w:r>
        <w:rPr>
          <w:spacing w:val="-9"/>
          <w:sz w:val="18"/>
        </w:rPr>
        <w:t> </w:t>
      </w:r>
      <w:r>
        <w:rPr>
          <w:sz w:val="18"/>
        </w:rPr>
        <w:t>2</w:t>
      </w:r>
      <w:r>
        <w:rPr>
          <w:spacing w:val="-9"/>
          <w:sz w:val="18"/>
        </w:rPr>
        <w:t> </w:t>
      </w:r>
      <w:r>
        <w:rPr>
          <w:sz w:val="18"/>
        </w:rPr>
        <w:t>Project</w:t>
      </w:r>
      <w:r>
        <w:rPr>
          <w:spacing w:val="-8"/>
          <w:sz w:val="18"/>
        </w:rPr>
        <w:t> </w:t>
      </w:r>
      <w:r>
        <w:rPr>
          <w:sz w:val="18"/>
        </w:rPr>
        <w:t>No.</w:t>
      </w:r>
      <w:r>
        <w:rPr>
          <w:spacing w:val="-9"/>
          <w:sz w:val="18"/>
        </w:rPr>
        <w:t> </w:t>
      </w:r>
      <w:r>
        <w:rPr>
          <w:sz w:val="18"/>
        </w:rPr>
        <w:t>CT92-0031.</w:t>
      </w:r>
      <w:r>
        <w:rPr>
          <w:spacing w:val="-9"/>
          <w:sz w:val="18"/>
        </w:rPr>
        <w:t> </w:t>
      </w:r>
      <w:r>
        <w:rPr>
          <w:sz w:val="18"/>
        </w:rPr>
        <w:t>British</w:t>
      </w:r>
      <w:r>
        <w:rPr>
          <w:spacing w:val="-8"/>
          <w:sz w:val="18"/>
        </w:rPr>
        <w:t> </w:t>
      </w:r>
      <w:r>
        <w:rPr>
          <w:sz w:val="18"/>
        </w:rPr>
        <w:t>Geological </w:t>
      </w:r>
      <w:r>
        <w:rPr>
          <w:spacing w:val="-3"/>
          <w:sz w:val="18"/>
        </w:rPr>
        <w:t>Survey, </w:t>
      </w:r>
      <w:r>
        <w:rPr>
          <w:sz w:val="18"/>
        </w:rPr>
        <w:t>Keyworth, Nottingham, UK, 355</w:t>
      </w:r>
      <w:r>
        <w:rPr>
          <w:spacing w:val="-3"/>
          <w:sz w:val="18"/>
        </w:rPr>
        <w:t> </w:t>
      </w:r>
      <w:r>
        <w:rPr>
          <w:sz w:val="18"/>
        </w:rPr>
        <w:t>pp.</w:t>
      </w:r>
    </w:p>
    <w:p>
      <w:pPr>
        <w:spacing w:line="278" w:lineRule="auto" w:before="0"/>
        <w:ind w:left="583" w:right="135" w:hanging="341"/>
        <w:jc w:val="both"/>
        <w:rPr>
          <w:sz w:val="18"/>
        </w:rPr>
      </w:pPr>
      <w:r>
        <w:rPr>
          <w:b/>
          <w:sz w:val="18"/>
        </w:rPr>
        <w:t>Holloway, </w:t>
      </w:r>
      <w:r>
        <w:rPr>
          <w:sz w:val="18"/>
        </w:rPr>
        <w:t>S., 1997: Safety of the underground disposal of carbon dioxide. </w:t>
      </w:r>
      <w:r>
        <w:rPr>
          <w:i/>
          <w:sz w:val="18"/>
        </w:rPr>
        <w:t>Energy Conversion and Management</w:t>
      </w:r>
      <w:r>
        <w:rPr>
          <w:sz w:val="18"/>
        </w:rPr>
        <w:t>, </w:t>
      </w:r>
      <w:r>
        <w:rPr>
          <w:b/>
          <w:sz w:val="18"/>
        </w:rPr>
        <w:t>38</w:t>
      </w:r>
      <w:r>
        <w:rPr>
          <w:sz w:val="18"/>
        </w:rPr>
        <w:t>(Suppl.), S241–S245.</w:t>
      </w:r>
    </w:p>
    <w:p>
      <w:pPr>
        <w:spacing w:line="278" w:lineRule="auto" w:before="0"/>
        <w:ind w:left="583" w:right="135" w:hanging="341"/>
        <w:jc w:val="both"/>
        <w:rPr>
          <w:sz w:val="18"/>
        </w:rPr>
      </w:pPr>
      <w:r>
        <w:rPr>
          <w:b/>
          <w:sz w:val="18"/>
        </w:rPr>
        <w:t>Holloway,</w:t>
      </w:r>
      <w:r>
        <w:rPr>
          <w:b/>
          <w:spacing w:val="-15"/>
          <w:sz w:val="18"/>
        </w:rPr>
        <w:t> </w:t>
      </w:r>
      <w:r>
        <w:rPr>
          <w:sz w:val="18"/>
        </w:rPr>
        <w:t>S.</w:t>
      </w:r>
      <w:r>
        <w:rPr>
          <w:spacing w:val="-15"/>
          <w:sz w:val="18"/>
        </w:rPr>
        <w:t> </w:t>
      </w:r>
      <w:r>
        <w:rPr>
          <w:sz w:val="18"/>
        </w:rPr>
        <w:t>and</w:t>
      </w:r>
      <w:r>
        <w:rPr>
          <w:spacing w:val="-14"/>
          <w:sz w:val="18"/>
        </w:rPr>
        <w:t> </w:t>
      </w:r>
      <w:r>
        <w:rPr>
          <w:sz w:val="18"/>
        </w:rPr>
        <w:t>D.</w:t>
      </w:r>
      <w:r>
        <w:rPr>
          <w:spacing w:val="-15"/>
          <w:sz w:val="18"/>
        </w:rPr>
        <w:t> </w:t>
      </w:r>
      <w:r>
        <w:rPr>
          <w:sz w:val="18"/>
        </w:rPr>
        <w:t>Savage,</w:t>
      </w:r>
      <w:r>
        <w:rPr>
          <w:spacing w:val="-14"/>
          <w:sz w:val="18"/>
        </w:rPr>
        <w:t> </w:t>
      </w:r>
      <w:r>
        <w:rPr>
          <w:sz w:val="18"/>
        </w:rPr>
        <w:t>1993:</w:t>
      </w:r>
      <w:r>
        <w:rPr>
          <w:spacing w:val="-18"/>
          <w:sz w:val="18"/>
        </w:rPr>
        <w:t> </w:t>
      </w:r>
      <w:r>
        <w:rPr>
          <w:sz w:val="18"/>
        </w:rPr>
        <w:t>The</w:t>
      </w:r>
      <w:r>
        <w:rPr>
          <w:spacing w:val="-14"/>
          <w:sz w:val="18"/>
        </w:rPr>
        <w:t> </w:t>
      </w:r>
      <w:r>
        <w:rPr>
          <w:sz w:val="18"/>
        </w:rPr>
        <w:t>potential</w:t>
      </w:r>
      <w:r>
        <w:rPr>
          <w:spacing w:val="-15"/>
          <w:sz w:val="18"/>
        </w:rPr>
        <w:t> </w:t>
      </w:r>
      <w:r>
        <w:rPr>
          <w:sz w:val="18"/>
        </w:rPr>
        <w:t>for</w:t>
      </w:r>
      <w:r>
        <w:rPr>
          <w:spacing w:val="-15"/>
          <w:sz w:val="18"/>
        </w:rPr>
        <w:t> </w:t>
      </w:r>
      <w:r>
        <w:rPr>
          <w:sz w:val="18"/>
        </w:rPr>
        <w:t>aquifer</w:t>
      </w:r>
      <w:r>
        <w:rPr>
          <w:spacing w:val="-14"/>
          <w:sz w:val="18"/>
        </w:rPr>
        <w:t> </w:t>
      </w:r>
      <w:r>
        <w:rPr>
          <w:sz w:val="18"/>
        </w:rPr>
        <w:t>disposal</w:t>
      </w:r>
      <w:r>
        <w:rPr>
          <w:spacing w:val="-15"/>
          <w:sz w:val="18"/>
        </w:rPr>
        <w:t> </w:t>
      </w:r>
      <w:r>
        <w:rPr>
          <w:sz w:val="18"/>
        </w:rPr>
        <w:t>of carbon dioxide in the UK. </w:t>
      </w:r>
      <w:r>
        <w:rPr>
          <w:i/>
          <w:sz w:val="18"/>
        </w:rPr>
        <w:t>Energy Conversion and </w:t>
      </w:r>
      <w:r>
        <w:rPr>
          <w:i/>
          <w:spacing w:val="-3"/>
          <w:sz w:val="18"/>
        </w:rPr>
        <w:t>Management</w:t>
      </w:r>
      <w:r>
        <w:rPr>
          <w:spacing w:val="-3"/>
          <w:sz w:val="18"/>
        </w:rPr>
        <w:t>, </w:t>
      </w:r>
      <w:r>
        <w:rPr>
          <w:b/>
          <w:sz w:val="18"/>
        </w:rPr>
        <w:t>34</w:t>
      </w:r>
      <w:r>
        <w:rPr>
          <w:sz w:val="18"/>
        </w:rPr>
        <w:t>(9–11),</w:t>
      </w:r>
      <w:r>
        <w:rPr>
          <w:spacing w:val="-1"/>
          <w:sz w:val="18"/>
        </w:rPr>
        <w:t> </w:t>
      </w:r>
      <w:r>
        <w:rPr>
          <w:sz w:val="18"/>
        </w:rPr>
        <w:t>925–932.</w:t>
      </w:r>
    </w:p>
    <w:p>
      <w:pPr>
        <w:spacing w:line="278" w:lineRule="auto" w:before="0"/>
        <w:ind w:left="583" w:right="134" w:hanging="341"/>
        <w:jc w:val="both"/>
        <w:rPr>
          <w:i/>
          <w:sz w:val="18"/>
        </w:rPr>
      </w:pPr>
      <w:r>
        <w:rPr>
          <w:b/>
          <w:sz w:val="18"/>
        </w:rPr>
        <w:t>Holt, </w:t>
      </w:r>
      <w:r>
        <w:rPr>
          <w:spacing w:val="-5"/>
          <w:sz w:val="18"/>
        </w:rPr>
        <w:t>T., </w:t>
      </w:r>
      <w:r>
        <w:rPr>
          <w:sz w:val="18"/>
        </w:rPr>
        <w:t>J. L. Jensen and E. Lindeberg, 1995: Underground storage of</w:t>
      </w:r>
      <w:r>
        <w:rPr>
          <w:spacing w:val="33"/>
          <w:sz w:val="18"/>
        </w:rPr>
        <w:t> </w:t>
      </w:r>
      <w:r>
        <w:rPr>
          <w:sz w:val="18"/>
        </w:rPr>
        <w:t>CO</w:t>
      </w:r>
      <w:r>
        <w:rPr>
          <w:position w:val="-5"/>
          <w:sz w:val="10"/>
        </w:rPr>
        <w:t>2</w:t>
      </w:r>
      <w:r>
        <w:rPr>
          <w:spacing w:val="4"/>
          <w:position w:val="-5"/>
          <w:sz w:val="10"/>
        </w:rPr>
        <w:t> </w:t>
      </w:r>
      <w:r>
        <w:rPr>
          <w:sz w:val="18"/>
        </w:rPr>
        <w:t>in</w:t>
      </w:r>
      <w:r>
        <w:rPr>
          <w:spacing w:val="33"/>
          <w:sz w:val="18"/>
        </w:rPr>
        <w:t> </w:t>
      </w:r>
      <w:r>
        <w:rPr>
          <w:sz w:val="18"/>
        </w:rPr>
        <w:t>aquifers</w:t>
      </w:r>
      <w:r>
        <w:rPr>
          <w:spacing w:val="34"/>
          <w:sz w:val="18"/>
        </w:rPr>
        <w:t> </w:t>
      </w:r>
      <w:r>
        <w:rPr>
          <w:sz w:val="18"/>
        </w:rPr>
        <w:t>and</w:t>
      </w:r>
      <w:r>
        <w:rPr>
          <w:spacing w:val="34"/>
          <w:sz w:val="18"/>
        </w:rPr>
        <w:t> </w:t>
      </w:r>
      <w:r>
        <w:rPr>
          <w:sz w:val="18"/>
        </w:rPr>
        <w:t>oil</w:t>
      </w:r>
      <w:r>
        <w:rPr>
          <w:spacing w:val="33"/>
          <w:sz w:val="18"/>
        </w:rPr>
        <w:t> </w:t>
      </w:r>
      <w:r>
        <w:rPr>
          <w:sz w:val="18"/>
        </w:rPr>
        <w:t>reservoirs.</w:t>
      </w:r>
      <w:r>
        <w:rPr>
          <w:spacing w:val="33"/>
          <w:sz w:val="18"/>
        </w:rPr>
        <w:t> </w:t>
      </w:r>
      <w:r>
        <w:rPr>
          <w:i/>
          <w:sz w:val="18"/>
        </w:rPr>
        <w:t>Energy</w:t>
      </w:r>
      <w:r>
        <w:rPr>
          <w:i/>
          <w:spacing w:val="34"/>
          <w:sz w:val="18"/>
        </w:rPr>
        <w:t> </w:t>
      </w:r>
      <w:r>
        <w:rPr>
          <w:i/>
          <w:sz w:val="18"/>
        </w:rPr>
        <w:t>Conversion</w:t>
      </w:r>
      <w:r>
        <w:rPr>
          <w:i/>
          <w:spacing w:val="33"/>
          <w:sz w:val="18"/>
        </w:rPr>
        <w:t> </w:t>
      </w:r>
      <w:r>
        <w:rPr>
          <w:i/>
          <w:spacing w:val="-5"/>
          <w:sz w:val="18"/>
        </w:rPr>
        <w:t>and</w:t>
      </w:r>
    </w:p>
    <w:p>
      <w:pPr>
        <w:spacing w:line="164" w:lineRule="exact" w:before="0"/>
        <w:ind w:left="583" w:right="0" w:firstLine="0"/>
        <w:jc w:val="both"/>
        <w:rPr>
          <w:sz w:val="18"/>
        </w:rPr>
      </w:pPr>
      <w:r>
        <w:rPr>
          <w:i/>
          <w:sz w:val="18"/>
        </w:rPr>
        <w:t>Management</w:t>
      </w:r>
      <w:r>
        <w:rPr>
          <w:sz w:val="18"/>
        </w:rPr>
        <w:t>, </w:t>
      </w:r>
      <w:r>
        <w:rPr>
          <w:b/>
          <w:sz w:val="18"/>
        </w:rPr>
        <w:t>36</w:t>
      </w:r>
      <w:r>
        <w:rPr>
          <w:sz w:val="18"/>
        </w:rPr>
        <w:t>(6–9), 535–538.</w:t>
      </w:r>
    </w:p>
    <w:p>
      <w:pPr>
        <w:spacing w:line="278" w:lineRule="auto" w:before="31"/>
        <w:ind w:left="583" w:right="125" w:hanging="341"/>
        <w:jc w:val="both"/>
        <w:rPr>
          <w:sz w:val="18"/>
        </w:rPr>
      </w:pPr>
      <w:r>
        <w:rPr>
          <w:b/>
          <w:sz w:val="18"/>
        </w:rPr>
        <w:t>Holtz, </w:t>
      </w:r>
      <w:r>
        <w:rPr>
          <w:sz w:val="18"/>
        </w:rPr>
        <w:t>M.H., 2002: Residual gas saturation to aquifer influx: A calculation</w:t>
      </w:r>
      <w:r>
        <w:rPr>
          <w:spacing w:val="-20"/>
          <w:sz w:val="18"/>
        </w:rPr>
        <w:t> </w:t>
      </w:r>
      <w:r>
        <w:rPr>
          <w:sz w:val="18"/>
        </w:rPr>
        <w:t>method</w:t>
      </w:r>
      <w:r>
        <w:rPr>
          <w:spacing w:val="-20"/>
          <w:sz w:val="18"/>
        </w:rPr>
        <w:t> </w:t>
      </w:r>
      <w:r>
        <w:rPr>
          <w:sz w:val="18"/>
        </w:rPr>
        <w:t>for</w:t>
      </w:r>
      <w:r>
        <w:rPr>
          <w:spacing w:val="-20"/>
          <w:sz w:val="18"/>
        </w:rPr>
        <w:t> </w:t>
      </w:r>
      <w:r>
        <w:rPr>
          <w:sz w:val="18"/>
        </w:rPr>
        <w:t>3-D</w:t>
      </w:r>
      <w:r>
        <w:rPr>
          <w:spacing w:val="-20"/>
          <w:sz w:val="18"/>
        </w:rPr>
        <w:t> </w:t>
      </w:r>
      <w:r>
        <w:rPr>
          <w:sz w:val="18"/>
        </w:rPr>
        <w:t>computer</w:t>
      </w:r>
      <w:r>
        <w:rPr>
          <w:spacing w:val="-20"/>
          <w:sz w:val="18"/>
        </w:rPr>
        <w:t> </w:t>
      </w:r>
      <w:r>
        <w:rPr>
          <w:sz w:val="18"/>
        </w:rPr>
        <w:t>reservoir</w:t>
      </w:r>
      <w:r>
        <w:rPr>
          <w:spacing w:val="-20"/>
          <w:sz w:val="18"/>
        </w:rPr>
        <w:t> </w:t>
      </w:r>
      <w:r>
        <w:rPr>
          <w:sz w:val="18"/>
        </w:rPr>
        <w:t>model</w:t>
      </w:r>
      <w:r>
        <w:rPr>
          <w:spacing w:val="-20"/>
          <w:sz w:val="18"/>
        </w:rPr>
        <w:t> </w:t>
      </w:r>
      <w:r>
        <w:rPr>
          <w:sz w:val="18"/>
        </w:rPr>
        <w:t>construction. SPE Paper 75502, presented at the SPE Gas Technologies Symposium, Calgary, Alberta, Canada. April</w:t>
      </w:r>
      <w:r>
        <w:rPr>
          <w:spacing w:val="-30"/>
          <w:sz w:val="18"/>
        </w:rPr>
        <w:t> </w:t>
      </w:r>
      <w:r>
        <w:rPr>
          <w:sz w:val="18"/>
        </w:rPr>
        <w:t>2002.</w:t>
      </w:r>
    </w:p>
    <w:p>
      <w:pPr>
        <w:spacing w:line="278" w:lineRule="auto" w:before="0"/>
        <w:ind w:left="583" w:right="134" w:hanging="341"/>
        <w:jc w:val="both"/>
        <w:rPr>
          <w:i/>
          <w:sz w:val="18"/>
        </w:rPr>
      </w:pPr>
      <w:r>
        <w:rPr>
          <w:b/>
          <w:sz w:val="18"/>
        </w:rPr>
        <w:t>Holtz,</w:t>
      </w:r>
      <w:r>
        <w:rPr>
          <w:b/>
          <w:spacing w:val="-23"/>
          <w:sz w:val="18"/>
        </w:rPr>
        <w:t> </w:t>
      </w:r>
      <w:r>
        <w:rPr>
          <w:sz w:val="18"/>
        </w:rPr>
        <w:t>M.H.,</w:t>
      </w:r>
      <w:r>
        <w:rPr>
          <w:spacing w:val="-21"/>
          <w:sz w:val="18"/>
        </w:rPr>
        <w:t> </w:t>
      </w:r>
      <w:r>
        <w:rPr>
          <w:spacing w:val="-5"/>
          <w:sz w:val="18"/>
        </w:rPr>
        <w:t>P.K.</w:t>
      </w:r>
      <w:r>
        <w:rPr>
          <w:spacing w:val="-22"/>
          <w:sz w:val="18"/>
        </w:rPr>
        <w:t> </w:t>
      </w:r>
      <w:r>
        <w:rPr>
          <w:sz w:val="18"/>
        </w:rPr>
        <w:t>Nance</w:t>
      </w:r>
      <w:r>
        <w:rPr>
          <w:spacing w:val="-22"/>
          <w:sz w:val="18"/>
        </w:rPr>
        <w:t> </w:t>
      </w:r>
      <w:r>
        <w:rPr>
          <w:sz w:val="18"/>
        </w:rPr>
        <w:t>and</w:t>
      </w:r>
      <w:r>
        <w:rPr>
          <w:spacing w:val="-21"/>
          <w:sz w:val="18"/>
        </w:rPr>
        <w:t> </w:t>
      </w:r>
      <w:r>
        <w:rPr>
          <w:sz w:val="18"/>
        </w:rPr>
        <w:t>R.J.</w:t>
      </w:r>
      <w:r>
        <w:rPr>
          <w:spacing w:val="-22"/>
          <w:sz w:val="18"/>
        </w:rPr>
        <w:t> </w:t>
      </w:r>
      <w:r>
        <w:rPr>
          <w:spacing w:val="-3"/>
          <w:sz w:val="18"/>
        </w:rPr>
        <w:t>Finley,</w:t>
      </w:r>
      <w:r>
        <w:rPr>
          <w:spacing w:val="-22"/>
          <w:sz w:val="18"/>
        </w:rPr>
        <w:t> </w:t>
      </w:r>
      <w:r>
        <w:rPr>
          <w:sz w:val="18"/>
        </w:rPr>
        <w:t>2001:</w:t>
      </w:r>
      <w:r>
        <w:rPr>
          <w:spacing w:val="-22"/>
          <w:sz w:val="18"/>
        </w:rPr>
        <w:t> </w:t>
      </w:r>
      <w:r>
        <w:rPr>
          <w:sz w:val="18"/>
        </w:rPr>
        <w:t>Reduction</w:t>
      </w:r>
      <w:r>
        <w:rPr>
          <w:spacing w:val="-23"/>
          <w:sz w:val="18"/>
        </w:rPr>
        <w:t> </w:t>
      </w:r>
      <w:r>
        <w:rPr>
          <w:sz w:val="18"/>
        </w:rPr>
        <w:t>of</w:t>
      </w:r>
      <w:r>
        <w:rPr>
          <w:spacing w:val="-22"/>
          <w:sz w:val="18"/>
        </w:rPr>
        <w:t> </w:t>
      </w:r>
      <w:r>
        <w:rPr>
          <w:sz w:val="18"/>
        </w:rPr>
        <w:t>greenhouse gas emissions through CO</w:t>
      </w:r>
      <w:r>
        <w:rPr>
          <w:position w:val="-5"/>
          <w:sz w:val="10"/>
        </w:rPr>
        <w:t>2 </w:t>
      </w:r>
      <w:r>
        <w:rPr>
          <w:sz w:val="18"/>
        </w:rPr>
        <w:t>EOR in </w:t>
      </w:r>
      <w:r>
        <w:rPr>
          <w:spacing w:val="-3"/>
          <w:sz w:val="18"/>
        </w:rPr>
        <w:t>Texas.</w:t>
      </w:r>
      <w:r>
        <w:rPr>
          <w:spacing w:val="4"/>
          <w:sz w:val="18"/>
        </w:rPr>
        <w:t> </w:t>
      </w:r>
      <w:r>
        <w:rPr>
          <w:i/>
          <w:sz w:val="18"/>
        </w:rPr>
        <w:t>Environmental</w:t>
      </w:r>
    </w:p>
    <w:p>
      <w:pPr>
        <w:spacing w:line="164" w:lineRule="exact" w:before="0"/>
        <w:ind w:left="583" w:right="0" w:firstLine="0"/>
        <w:jc w:val="both"/>
        <w:rPr>
          <w:sz w:val="18"/>
        </w:rPr>
      </w:pPr>
      <w:r>
        <w:rPr>
          <w:i/>
          <w:sz w:val="18"/>
        </w:rPr>
        <w:t>Geosciences</w:t>
      </w:r>
      <w:r>
        <w:rPr>
          <w:sz w:val="18"/>
        </w:rPr>
        <w:t>, </w:t>
      </w:r>
      <w:r>
        <w:rPr>
          <w:b/>
          <w:sz w:val="18"/>
        </w:rPr>
        <w:t>8</w:t>
      </w:r>
      <w:r>
        <w:rPr>
          <w:sz w:val="18"/>
        </w:rPr>
        <w:t>(3) 187–199.</w:t>
      </w:r>
    </w:p>
    <w:p>
      <w:pPr>
        <w:spacing w:line="240" w:lineRule="exact" w:before="8"/>
        <w:ind w:left="583" w:right="134" w:hanging="341"/>
        <w:jc w:val="both"/>
        <w:rPr>
          <w:sz w:val="18"/>
        </w:rPr>
      </w:pPr>
      <w:r>
        <w:rPr>
          <w:b/>
          <w:sz w:val="18"/>
        </w:rPr>
        <w:t>Hoversten,</w:t>
      </w:r>
      <w:r>
        <w:rPr>
          <w:b/>
          <w:spacing w:val="-16"/>
          <w:sz w:val="18"/>
        </w:rPr>
        <w:t> </w:t>
      </w:r>
      <w:r>
        <w:rPr>
          <w:sz w:val="18"/>
        </w:rPr>
        <w:t>G.M.</w:t>
      </w:r>
      <w:r>
        <w:rPr>
          <w:spacing w:val="-16"/>
          <w:sz w:val="18"/>
        </w:rPr>
        <w:t> </w:t>
      </w:r>
      <w:r>
        <w:rPr>
          <w:sz w:val="18"/>
        </w:rPr>
        <w:t>and</w:t>
      </w:r>
      <w:r>
        <w:rPr>
          <w:spacing w:val="-15"/>
          <w:sz w:val="18"/>
        </w:rPr>
        <w:t> </w:t>
      </w:r>
      <w:r>
        <w:rPr>
          <w:sz w:val="18"/>
        </w:rPr>
        <w:t>E.</w:t>
      </w:r>
      <w:r>
        <w:rPr>
          <w:spacing w:val="-16"/>
          <w:sz w:val="18"/>
        </w:rPr>
        <w:t> </w:t>
      </w:r>
      <w:r>
        <w:rPr>
          <w:sz w:val="18"/>
        </w:rPr>
        <w:t>Gasperikova,</w:t>
      </w:r>
      <w:r>
        <w:rPr>
          <w:spacing w:val="-15"/>
          <w:sz w:val="18"/>
        </w:rPr>
        <w:t> </w:t>
      </w:r>
      <w:r>
        <w:rPr>
          <w:sz w:val="18"/>
        </w:rPr>
        <w:t>2005:</w:t>
      </w:r>
      <w:r>
        <w:rPr>
          <w:spacing w:val="-16"/>
          <w:sz w:val="18"/>
        </w:rPr>
        <w:t> </w:t>
      </w:r>
      <w:r>
        <w:rPr>
          <w:sz w:val="18"/>
        </w:rPr>
        <w:t>Non</w:t>
      </w:r>
      <w:r>
        <w:rPr>
          <w:spacing w:val="-15"/>
          <w:sz w:val="18"/>
        </w:rPr>
        <w:t> </w:t>
      </w:r>
      <w:r>
        <w:rPr>
          <w:sz w:val="18"/>
        </w:rPr>
        <w:t>Seismic</w:t>
      </w:r>
      <w:r>
        <w:rPr>
          <w:spacing w:val="-16"/>
          <w:sz w:val="18"/>
        </w:rPr>
        <w:t> </w:t>
      </w:r>
      <w:r>
        <w:rPr>
          <w:sz w:val="18"/>
        </w:rPr>
        <w:t>Geophysical Approaches to Monitoring, Carbon Dioxide Capture for Storage in Deep Geologic Formations - Results from the CO</w:t>
      </w:r>
      <w:r>
        <w:rPr>
          <w:position w:val="-5"/>
          <w:sz w:val="10"/>
        </w:rPr>
        <w:t>2 </w:t>
      </w:r>
      <w:r>
        <w:rPr>
          <w:sz w:val="18"/>
        </w:rPr>
        <w:t>Capture Project,</w:t>
      </w:r>
      <w:r>
        <w:rPr>
          <w:spacing w:val="-19"/>
          <w:sz w:val="18"/>
        </w:rPr>
        <w:t> </w:t>
      </w:r>
      <w:r>
        <w:rPr>
          <w:spacing w:val="-6"/>
          <w:sz w:val="18"/>
        </w:rPr>
        <w:t>v.</w:t>
      </w:r>
      <w:r>
        <w:rPr>
          <w:spacing w:val="-19"/>
          <w:sz w:val="18"/>
        </w:rPr>
        <w:t> </w:t>
      </w:r>
      <w:r>
        <w:rPr>
          <w:sz w:val="18"/>
        </w:rPr>
        <w:t>2:</w:t>
      </w:r>
      <w:r>
        <w:rPr>
          <w:spacing w:val="-19"/>
          <w:sz w:val="18"/>
        </w:rPr>
        <w:t> </w:t>
      </w:r>
      <w:r>
        <w:rPr>
          <w:sz w:val="18"/>
        </w:rPr>
        <w:t>Geologic</w:t>
      </w:r>
      <w:r>
        <w:rPr>
          <w:spacing w:val="-18"/>
          <w:sz w:val="18"/>
        </w:rPr>
        <w:t> </w:t>
      </w:r>
      <w:r>
        <w:rPr>
          <w:sz w:val="18"/>
        </w:rPr>
        <w:t>Storage</w:t>
      </w:r>
      <w:r>
        <w:rPr>
          <w:spacing w:val="-19"/>
          <w:sz w:val="18"/>
        </w:rPr>
        <w:t> </w:t>
      </w:r>
      <w:r>
        <w:rPr>
          <w:sz w:val="18"/>
        </w:rPr>
        <w:t>of</w:t>
      </w:r>
      <w:r>
        <w:rPr>
          <w:spacing w:val="-19"/>
          <w:sz w:val="18"/>
        </w:rPr>
        <w:t> </w:t>
      </w:r>
      <w:r>
        <w:rPr>
          <w:sz w:val="18"/>
        </w:rPr>
        <w:t>Carbon</w:t>
      </w:r>
      <w:r>
        <w:rPr>
          <w:spacing w:val="-18"/>
          <w:sz w:val="18"/>
        </w:rPr>
        <w:t> </w:t>
      </w:r>
      <w:r>
        <w:rPr>
          <w:sz w:val="18"/>
        </w:rPr>
        <w:t>Dioxide</w:t>
      </w:r>
      <w:r>
        <w:rPr>
          <w:spacing w:val="-19"/>
          <w:sz w:val="18"/>
        </w:rPr>
        <w:t> </w:t>
      </w:r>
      <w:r>
        <w:rPr>
          <w:sz w:val="18"/>
        </w:rPr>
        <w:t>with</w:t>
      </w:r>
      <w:r>
        <w:rPr>
          <w:spacing w:val="-19"/>
          <w:sz w:val="18"/>
        </w:rPr>
        <w:t> </w:t>
      </w:r>
      <w:r>
        <w:rPr>
          <w:sz w:val="18"/>
        </w:rPr>
        <w:t>Monitoring and Verification, S.M. Benson (ed.), Elsevier Science, London. pp.</w:t>
      </w:r>
      <w:r>
        <w:rPr>
          <w:spacing w:val="-1"/>
          <w:sz w:val="18"/>
        </w:rPr>
        <w:t> </w:t>
      </w:r>
      <w:r>
        <w:rPr>
          <w:sz w:val="18"/>
        </w:rPr>
        <w:t>1071–1112.</w:t>
      </w:r>
    </w:p>
    <w:p>
      <w:pPr>
        <w:spacing w:after="0" w:line="240" w:lineRule="exact"/>
        <w:jc w:val="both"/>
        <w:rPr>
          <w:sz w:val="18"/>
        </w:rPr>
        <w:sectPr>
          <w:type w:val="continuous"/>
          <w:pgSz w:w="12240" w:h="15840"/>
          <w:pgMar w:top="400" w:bottom="280" w:left="580" w:right="600"/>
          <w:cols w:num="2" w:equalWidth="0">
            <w:col w:w="5598" w:space="40"/>
            <w:col w:w="5422"/>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78" w:lineRule="auto" w:before="67"/>
        <w:ind w:left="497" w:right="38" w:hanging="341"/>
        <w:jc w:val="both"/>
        <w:rPr>
          <w:sz w:val="18"/>
        </w:rPr>
      </w:pPr>
      <w:r>
        <w:rPr>
          <w:b/>
          <w:sz w:val="18"/>
        </w:rPr>
        <w:t>Hoversten, </w:t>
      </w:r>
      <w:r>
        <w:rPr>
          <w:sz w:val="18"/>
        </w:rPr>
        <w:t>G. M., R. Gritto, J. Washbourne and </w:t>
      </w:r>
      <w:r>
        <w:rPr>
          <w:spacing w:val="-4"/>
          <w:sz w:val="18"/>
        </w:rPr>
        <w:t>T.M. </w:t>
      </w:r>
      <w:r>
        <w:rPr>
          <w:spacing w:val="-3"/>
          <w:sz w:val="18"/>
        </w:rPr>
        <w:t>Daley, </w:t>
      </w:r>
      <w:r>
        <w:rPr>
          <w:sz w:val="18"/>
        </w:rPr>
        <w:t>2003: Pressure and Fluid Saturation Prediction in a Multicomponent Reservoir,</w:t>
      </w:r>
      <w:r>
        <w:rPr>
          <w:spacing w:val="-20"/>
          <w:sz w:val="18"/>
        </w:rPr>
        <w:t> </w:t>
      </w:r>
      <w:r>
        <w:rPr>
          <w:sz w:val="18"/>
        </w:rPr>
        <w:t>using</w:t>
      </w:r>
      <w:r>
        <w:rPr>
          <w:spacing w:val="-19"/>
          <w:sz w:val="18"/>
        </w:rPr>
        <w:t> </w:t>
      </w:r>
      <w:r>
        <w:rPr>
          <w:sz w:val="18"/>
        </w:rPr>
        <w:t>Combined</w:t>
      </w:r>
      <w:r>
        <w:rPr>
          <w:spacing w:val="-19"/>
          <w:sz w:val="18"/>
        </w:rPr>
        <w:t> </w:t>
      </w:r>
      <w:r>
        <w:rPr>
          <w:sz w:val="18"/>
        </w:rPr>
        <w:t>Seismic</w:t>
      </w:r>
      <w:r>
        <w:rPr>
          <w:spacing w:val="-19"/>
          <w:sz w:val="18"/>
        </w:rPr>
        <w:t> </w:t>
      </w:r>
      <w:r>
        <w:rPr>
          <w:sz w:val="18"/>
        </w:rPr>
        <w:t>and</w:t>
      </w:r>
      <w:r>
        <w:rPr>
          <w:spacing w:val="-19"/>
          <w:sz w:val="18"/>
        </w:rPr>
        <w:t> </w:t>
      </w:r>
      <w:r>
        <w:rPr>
          <w:sz w:val="18"/>
        </w:rPr>
        <w:t>Electromagnetic</w:t>
      </w:r>
      <w:r>
        <w:rPr>
          <w:spacing w:val="-19"/>
          <w:sz w:val="18"/>
        </w:rPr>
        <w:t> </w:t>
      </w:r>
      <w:r>
        <w:rPr>
          <w:sz w:val="18"/>
        </w:rPr>
        <w:t>Imaging. </w:t>
      </w:r>
      <w:r>
        <w:rPr>
          <w:i/>
          <w:sz w:val="18"/>
        </w:rPr>
        <w:t>Geophysics</w:t>
      </w:r>
      <w:r>
        <w:rPr>
          <w:sz w:val="18"/>
        </w:rPr>
        <w:t>, (in press Sept–Oct</w:t>
      </w:r>
      <w:r>
        <w:rPr>
          <w:spacing w:val="-3"/>
          <w:sz w:val="18"/>
        </w:rPr>
        <w:t> </w:t>
      </w:r>
      <w:r>
        <w:rPr>
          <w:sz w:val="18"/>
        </w:rPr>
        <w:t>2003).</w:t>
      </w:r>
    </w:p>
    <w:p>
      <w:pPr>
        <w:spacing w:line="278" w:lineRule="auto" w:before="0"/>
        <w:ind w:left="497" w:right="38" w:hanging="341"/>
        <w:jc w:val="both"/>
        <w:rPr>
          <w:sz w:val="18"/>
        </w:rPr>
      </w:pPr>
      <w:r>
        <w:rPr>
          <w:b/>
          <w:sz w:val="18"/>
        </w:rPr>
        <w:t>Hovorka,</w:t>
      </w:r>
      <w:r>
        <w:rPr>
          <w:b/>
          <w:spacing w:val="-7"/>
          <w:sz w:val="18"/>
        </w:rPr>
        <w:t> </w:t>
      </w:r>
      <w:r>
        <w:rPr>
          <w:sz w:val="18"/>
        </w:rPr>
        <w:t>S.D.,</w:t>
      </w:r>
      <w:r>
        <w:rPr>
          <w:spacing w:val="-5"/>
          <w:sz w:val="18"/>
        </w:rPr>
        <w:t> </w:t>
      </w:r>
      <w:r>
        <w:rPr>
          <w:sz w:val="18"/>
        </w:rPr>
        <w:t>C.</w:t>
      </w:r>
      <w:r>
        <w:rPr>
          <w:spacing w:val="-5"/>
          <w:sz w:val="18"/>
        </w:rPr>
        <w:t> </w:t>
      </w:r>
      <w:r>
        <w:rPr>
          <w:sz w:val="18"/>
        </w:rPr>
        <w:t>Doughty</w:t>
      </w:r>
      <w:r>
        <w:rPr>
          <w:spacing w:val="-6"/>
          <w:sz w:val="18"/>
        </w:rPr>
        <w:t> </w:t>
      </w:r>
      <w:r>
        <w:rPr>
          <w:sz w:val="18"/>
        </w:rPr>
        <w:t>and</w:t>
      </w:r>
      <w:r>
        <w:rPr>
          <w:spacing w:val="-5"/>
          <w:sz w:val="18"/>
        </w:rPr>
        <w:t> </w:t>
      </w:r>
      <w:r>
        <w:rPr>
          <w:sz w:val="18"/>
        </w:rPr>
        <w:t>M.H.</w:t>
      </w:r>
      <w:r>
        <w:rPr>
          <w:spacing w:val="-5"/>
          <w:sz w:val="18"/>
        </w:rPr>
        <w:t> </w:t>
      </w:r>
      <w:r>
        <w:rPr>
          <w:sz w:val="18"/>
        </w:rPr>
        <w:t>Holtz,</w:t>
      </w:r>
      <w:r>
        <w:rPr>
          <w:spacing w:val="-5"/>
          <w:sz w:val="18"/>
        </w:rPr>
        <w:t> </w:t>
      </w:r>
      <w:r>
        <w:rPr>
          <w:sz w:val="18"/>
        </w:rPr>
        <w:t>2005:</w:t>
      </w:r>
      <w:r>
        <w:rPr>
          <w:spacing w:val="-8"/>
          <w:sz w:val="18"/>
        </w:rPr>
        <w:t> </w:t>
      </w:r>
      <w:r>
        <w:rPr>
          <w:sz w:val="18"/>
        </w:rPr>
        <w:t>Testing</w:t>
      </w:r>
      <w:r>
        <w:rPr>
          <w:spacing w:val="-6"/>
          <w:sz w:val="18"/>
        </w:rPr>
        <w:t> </w:t>
      </w:r>
      <w:r>
        <w:rPr>
          <w:sz w:val="18"/>
        </w:rPr>
        <w:t>Efficiency of Storage in the Subsurface: Frio Brine Pilot Experiment, Proceedings of the 7</w:t>
      </w:r>
      <w:r>
        <w:rPr>
          <w:position w:val="6"/>
          <w:sz w:val="10"/>
        </w:rPr>
        <w:t>th </w:t>
      </w:r>
      <w:r>
        <w:rPr>
          <w:sz w:val="18"/>
        </w:rPr>
        <w:t>International Conference on Greenhouse Gas Control Technologies (GHGT-7), </w:t>
      </w:r>
      <w:r>
        <w:rPr>
          <w:spacing w:val="-3"/>
          <w:sz w:val="18"/>
        </w:rPr>
        <w:t>Vancouver, </w:t>
      </w:r>
      <w:r>
        <w:rPr>
          <w:sz w:val="18"/>
        </w:rPr>
        <w:t>Canada. September 5–9, 2004, </w:t>
      </w:r>
      <w:r>
        <w:rPr>
          <w:spacing w:val="-3"/>
          <w:sz w:val="18"/>
        </w:rPr>
        <w:t>v.II,</w:t>
      </w:r>
      <w:r>
        <w:rPr>
          <w:spacing w:val="-2"/>
          <w:sz w:val="18"/>
        </w:rPr>
        <w:t> </w:t>
      </w:r>
      <w:r>
        <w:rPr>
          <w:sz w:val="18"/>
        </w:rPr>
        <w:t>1361-1366.</w:t>
      </w:r>
    </w:p>
    <w:p>
      <w:pPr>
        <w:spacing w:line="278" w:lineRule="auto" w:before="0"/>
        <w:ind w:left="497" w:right="40" w:hanging="341"/>
        <w:jc w:val="both"/>
        <w:rPr>
          <w:sz w:val="18"/>
        </w:rPr>
      </w:pPr>
      <w:r>
        <w:rPr>
          <w:b/>
          <w:sz w:val="18"/>
        </w:rPr>
        <w:t>Huijts,</w:t>
      </w:r>
      <w:r>
        <w:rPr>
          <w:b/>
          <w:spacing w:val="-19"/>
          <w:sz w:val="18"/>
        </w:rPr>
        <w:t> </w:t>
      </w:r>
      <w:r>
        <w:rPr>
          <w:sz w:val="18"/>
        </w:rPr>
        <w:t>N.</w:t>
      </w:r>
      <w:r>
        <w:rPr>
          <w:spacing w:val="-18"/>
          <w:sz w:val="18"/>
        </w:rPr>
        <w:t> </w:t>
      </w:r>
      <w:r>
        <w:rPr>
          <w:sz w:val="18"/>
        </w:rPr>
        <w:t>2003:</w:t>
      </w:r>
      <w:r>
        <w:rPr>
          <w:spacing w:val="-18"/>
          <w:sz w:val="18"/>
        </w:rPr>
        <w:t> </w:t>
      </w:r>
      <w:r>
        <w:rPr>
          <w:sz w:val="18"/>
        </w:rPr>
        <w:t>Public</w:t>
      </w:r>
      <w:r>
        <w:rPr>
          <w:spacing w:val="-19"/>
          <w:sz w:val="18"/>
        </w:rPr>
        <w:t> </w:t>
      </w:r>
      <w:r>
        <w:rPr>
          <w:sz w:val="18"/>
        </w:rPr>
        <w:t>Perception</w:t>
      </w:r>
      <w:r>
        <w:rPr>
          <w:spacing w:val="-18"/>
          <w:sz w:val="18"/>
        </w:rPr>
        <w:t> </w:t>
      </w:r>
      <w:r>
        <w:rPr>
          <w:sz w:val="18"/>
        </w:rPr>
        <w:t>of</w:t>
      </w:r>
      <w:r>
        <w:rPr>
          <w:spacing w:val="-18"/>
          <w:sz w:val="18"/>
        </w:rPr>
        <w:t> </w:t>
      </w:r>
      <w:r>
        <w:rPr>
          <w:sz w:val="18"/>
        </w:rPr>
        <w:t>Carbon</w:t>
      </w:r>
      <w:r>
        <w:rPr>
          <w:spacing w:val="-19"/>
          <w:sz w:val="18"/>
        </w:rPr>
        <w:t> </w:t>
      </w:r>
      <w:r>
        <w:rPr>
          <w:sz w:val="18"/>
        </w:rPr>
        <w:t>Dioxide</w:t>
      </w:r>
      <w:r>
        <w:rPr>
          <w:spacing w:val="-18"/>
          <w:sz w:val="18"/>
        </w:rPr>
        <w:t> </w:t>
      </w:r>
      <w:r>
        <w:rPr>
          <w:sz w:val="18"/>
        </w:rPr>
        <w:t>Storage,</w:t>
      </w:r>
      <w:r>
        <w:rPr>
          <w:spacing w:val="-18"/>
          <w:sz w:val="18"/>
        </w:rPr>
        <w:t> </w:t>
      </w:r>
      <w:r>
        <w:rPr>
          <w:sz w:val="18"/>
        </w:rPr>
        <w:t>Masters Thesis, Eindhoven University of </w:t>
      </w:r>
      <w:r>
        <w:rPr>
          <w:spacing w:val="-3"/>
          <w:sz w:val="18"/>
        </w:rPr>
        <w:t>Technology, </w:t>
      </w:r>
      <w:r>
        <w:rPr>
          <w:sz w:val="18"/>
        </w:rPr>
        <w:t>The</w:t>
      </w:r>
      <w:r>
        <w:rPr>
          <w:spacing w:val="-14"/>
          <w:sz w:val="18"/>
        </w:rPr>
        <w:t> </w:t>
      </w:r>
      <w:r>
        <w:rPr>
          <w:sz w:val="18"/>
        </w:rPr>
        <w:t>Netherlands.</w:t>
      </w:r>
    </w:p>
    <w:p>
      <w:pPr>
        <w:spacing w:line="245" w:lineRule="exact" w:before="0"/>
        <w:ind w:left="497" w:right="0" w:hanging="341"/>
        <w:jc w:val="both"/>
        <w:rPr>
          <w:sz w:val="10"/>
        </w:rPr>
      </w:pPr>
      <w:r>
        <w:rPr>
          <w:b/>
          <w:sz w:val="18"/>
        </w:rPr>
        <w:t>iEA-GHG, </w:t>
      </w:r>
      <w:r>
        <w:rPr>
          <w:sz w:val="18"/>
        </w:rPr>
        <w:t>1998: Enhanced Coal Bed Methane Recovery with CO</w:t>
      </w:r>
      <w:r>
        <w:rPr>
          <w:position w:val="-5"/>
          <w:sz w:val="10"/>
        </w:rPr>
        <w:t>2</w:t>
      </w:r>
    </w:p>
    <w:p>
      <w:pPr>
        <w:spacing w:line="278" w:lineRule="auto" w:before="0"/>
        <w:ind w:left="497" w:right="40" w:firstLine="0"/>
        <w:jc w:val="both"/>
        <w:rPr>
          <w:sz w:val="18"/>
        </w:rPr>
      </w:pPr>
      <w:r>
        <w:rPr>
          <w:sz w:val="18"/>
        </w:rPr>
        <w:t>Sequestration, IEA Greenhouse Gas R&amp;D Programme, Report No. PH3/3, August, 139 pp.</w:t>
      </w:r>
    </w:p>
    <w:p>
      <w:pPr>
        <w:spacing w:line="245" w:lineRule="exact" w:before="0"/>
        <w:ind w:left="497" w:right="0" w:hanging="341"/>
        <w:jc w:val="both"/>
        <w:rPr>
          <w:sz w:val="10"/>
        </w:rPr>
      </w:pPr>
      <w:r>
        <w:rPr>
          <w:b/>
          <w:sz w:val="18"/>
        </w:rPr>
        <w:t>iEA</w:t>
      </w:r>
      <w:r>
        <w:rPr>
          <w:sz w:val="18"/>
        </w:rPr>
        <w:t>-</w:t>
      </w:r>
      <w:r>
        <w:rPr>
          <w:b/>
          <w:sz w:val="18"/>
        </w:rPr>
        <w:t>GHG,</w:t>
      </w:r>
      <w:r>
        <w:rPr>
          <w:b/>
          <w:spacing w:val="29"/>
          <w:sz w:val="18"/>
        </w:rPr>
        <w:t> </w:t>
      </w:r>
      <w:r>
        <w:rPr>
          <w:sz w:val="18"/>
        </w:rPr>
        <w:t>2003:</w:t>
      </w:r>
      <w:r>
        <w:rPr>
          <w:spacing w:val="30"/>
          <w:sz w:val="18"/>
        </w:rPr>
        <w:t> </w:t>
      </w:r>
      <w:r>
        <w:rPr>
          <w:sz w:val="18"/>
        </w:rPr>
        <w:t>Barriers</w:t>
      </w:r>
      <w:r>
        <w:rPr>
          <w:spacing w:val="30"/>
          <w:sz w:val="18"/>
        </w:rPr>
        <w:t> </w:t>
      </w:r>
      <w:r>
        <w:rPr>
          <w:sz w:val="18"/>
        </w:rPr>
        <w:t>to</w:t>
      </w:r>
      <w:r>
        <w:rPr>
          <w:spacing w:val="30"/>
          <w:sz w:val="18"/>
        </w:rPr>
        <w:t> </w:t>
      </w:r>
      <w:r>
        <w:rPr>
          <w:sz w:val="18"/>
        </w:rPr>
        <w:t>Overcome</w:t>
      </w:r>
      <w:r>
        <w:rPr>
          <w:spacing w:val="30"/>
          <w:sz w:val="18"/>
        </w:rPr>
        <w:t> </w:t>
      </w:r>
      <w:r>
        <w:rPr>
          <w:sz w:val="18"/>
        </w:rPr>
        <w:t>in</w:t>
      </w:r>
      <w:r>
        <w:rPr>
          <w:spacing w:val="29"/>
          <w:sz w:val="18"/>
        </w:rPr>
        <w:t> </w:t>
      </w:r>
      <w:r>
        <w:rPr>
          <w:sz w:val="18"/>
        </w:rPr>
        <w:t>Implementation</w:t>
      </w:r>
      <w:r>
        <w:rPr>
          <w:spacing w:val="30"/>
          <w:sz w:val="18"/>
        </w:rPr>
        <w:t> </w:t>
      </w:r>
      <w:r>
        <w:rPr>
          <w:sz w:val="18"/>
        </w:rPr>
        <w:t>of</w:t>
      </w:r>
      <w:r>
        <w:rPr>
          <w:spacing w:val="30"/>
          <w:sz w:val="18"/>
        </w:rPr>
        <w:t> </w:t>
      </w:r>
      <w:r>
        <w:rPr>
          <w:sz w:val="18"/>
        </w:rPr>
        <w:t>CO</w:t>
      </w:r>
      <w:r>
        <w:rPr>
          <w:position w:val="-5"/>
          <w:sz w:val="10"/>
        </w:rPr>
        <w:t>2</w:t>
      </w:r>
    </w:p>
    <w:p>
      <w:pPr>
        <w:spacing w:line="278" w:lineRule="auto" w:before="0"/>
        <w:ind w:left="497" w:right="39" w:firstLine="0"/>
        <w:jc w:val="both"/>
        <w:rPr>
          <w:sz w:val="18"/>
        </w:rPr>
      </w:pPr>
      <w:r>
        <w:rPr>
          <w:sz w:val="18"/>
        </w:rPr>
        <w:t>Capture</w:t>
      </w:r>
      <w:r>
        <w:rPr>
          <w:spacing w:val="-12"/>
          <w:sz w:val="18"/>
        </w:rPr>
        <w:t> </w:t>
      </w:r>
      <w:r>
        <w:rPr>
          <w:sz w:val="18"/>
        </w:rPr>
        <w:t>and</w:t>
      </w:r>
      <w:r>
        <w:rPr>
          <w:spacing w:val="-11"/>
          <w:sz w:val="18"/>
        </w:rPr>
        <w:t> </w:t>
      </w:r>
      <w:r>
        <w:rPr>
          <w:sz w:val="18"/>
        </w:rPr>
        <w:t>Storage</w:t>
      </w:r>
      <w:r>
        <w:rPr>
          <w:spacing w:val="-12"/>
          <w:sz w:val="18"/>
        </w:rPr>
        <w:t> </w:t>
      </w:r>
      <w:r>
        <w:rPr>
          <w:sz w:val="18"/>
        </w:rPr>
        <w:t>(2):Rules</w:t>
      </w:r>
      <w:r>
        <w:rPr>
          <w:spacing w:val="-11"/>
          <w:sz w:val="18"/>
        </w:rPr>
        <w:t> </w:t>
      </w:r>
      <w:r>
        <w:rPr>
          <w:sz w:val="18"/>
        </w:rPr>
        <w:t>and</w:t>
      </w:r>
      <w:r>
        <w:rPr>
          <w:spacing w:val="-12"/>
          <w:sz w:val="18"/>
        </w:rPr>
        <w:t> </w:t>
      </w:r>
      <w:r>
        <w:rPr>
          <w:sz w:val="18"/>
        </w:rPr>
        <w:t>Standards</w:t>
      </w:r>
      <w:r>
        <w:rPr>
          <w:spacing w:val="-11"/>
          <w:sz w:val="18"/>
        </w:rPr>
        <w:t> </w:t>
      </w:r>
      <w:r>
        <w:rPr>
          <w:sz w:val="18"/>
        </w:rPr>
        <w:t>for</w:t>
      </w:r>
      <w:r>
        <w:rPr>
          <w:spacing w:val="-12"/>
          <w:sz w:val="18"/>
        </w:rPr>
        <w:t> </w:t>
      </w:r>
      <w:r>
        <w:rPr>
          <w:sz w:val="18"/>
        </w:rPr>
        <w:t>the</w:t>
      </w:r>
      <w:r>
        <w:rPr>
          <w:spacing w:val="-14"/>
          <w:sz w:val="18"/>
        </w:rPr>
        <w:t> </w:t>
      </w:r>
      <w:r>
        <w:rPr>
          <w:sz w:val="18"/>
        </w:rPr>
        <w:t>Transmission and  Storage  of  CO</w:t>
      </w:r>
      <w:r>
        <w:rPr>
          <w:position w:val="-5"/>
          <w:sz w:val="10"/>
        </w:rPr>
        <w:t>2</w:t>
      </w:r>
      <w:r>
        <w:rPr>
          <w:sz w:val="18"/>
        </w:rPr>
        <w:t>,  IEA Greenhouse  Gas  R&amp;D</w:t>
      </w:r>
      <w:r>
        <w:rPr>
          <w:spacing w:val="23"/>
          <w:sz w:val="18"/>
        </w:rPr>
        <w:t> </w:t>
      </w:r>
      <w:r>
        <w:rPr>
          <w:sz w:val="18"/>
        </w:rPr>
        <w:t>Programme,</w:t>
      </w:r>
    </w:p>
    <w:p>
      <w:pPr>
        <w:spacing w:line="164" w:lineRule="exact" w:before="0"/>
        <w:ind w:left="497" w:right="0" w:firstLine="0"/>
        <w:jc w:val="both"/>
        <w:rPr>
          <w:sz w:val="18"/>
        </w:rPr>
      </w:pPr>
      <w:r>
        <w:rPr>
          <w:sz w:val="18"/>
        </w:rPr>
        <w:t>Report No. PH4/23. Cheltenham, U.K.</w:t>
      </w:r>
    </w:p>
    <w:p>
      <w:pPr>
        <w:spacing w:line="278" w:lineRule="auto" w:before="22"/>
        <w:ind w:left="497" w:right="38" w:hanging="341"/>
        <w:jc w:val="both"/>
        <w:rPr>
          <w:sz w:val="18"/>
        </w:rPr>
      </w:pPr>
      <w:r>
        <w:rPr>
          <w:b/>
          <w:sz w:val="18"/>
        </w:rPr>
        <w:t>iEA-GHG, </w:t>
      </w:r>
      <w:r>
        <w:rPr>
          <w:sz w:val="18"/>
        </w:rPr>
        <w:t>2004: A Review of Global Capacity Estimates for the Geological Storage of Carbon Dioxide, IEA Greenhouse Gas R&amp;D Programme Technical Review (TR4), March 23, 2004, 27 pp.</w:t>
      </w:r>
    </w:p>
    <w:p>
      <w:pPr>
        <w:spacing w:line="278" w:lineRule="auto" w:before="0"/>
        <w:ind w:left="497" w:right="38" w:hanging="341"/>
        <w:jc w:val="both"/>
        <w:rPr>
          <w:sz w:val="18"/>
        </w:rPr>
      </w:pPr>
      <w:r>
        <w:rPr>
          <w:b/>
          <w:sz w:val="18"/>
        </w:rPr>
        <w:t>iOGCC (interstate Oil and Gas Compact Commission), </w:t>
      </w:r>
      <w:r>
        <w:rPr>
          <w:sz w:val="18"/>
        </w:rPr>
        <w:t>2005: Carbon</w:t>
      </w:r>
      <w:r>
        <w:rPr>
          <w:spacing w:val="-9"/>
          <w:sz w:val="18"/>
        </w:rPr>
        <w:t> </w:t>
      </w:r>
      <w:r>
        <w:rPr>
          <w:sz w:val="18"/>
        </w:rPr>
        <w:t>Capture</w:t>
      </w:r>
      <w:r>
        <w:rPr>
          <w:spacing w:val="-9"/>
          <w:sz w:val="18"/>
        </w:rPr>
        <w:t> </w:t>
      </w:r>
      <w:r>
        <w:rPr>
          <w:sz w:val="18"/>
        </w:rPr>
        <w:t>and</w:t>
      </w:r>
      <w:r>
        <w:rPr>
          <w:spacing w:val="-8"/>
          <w:sz w:val="18"/>
        </w:rPr>
        <w:t> </w:t>
      </w:r>
      <w:r>
        <w:rPr>
          <w:sz w:val="18"/>
        </w:rPr>
        <w:t>Storage:</w:t>
      </w:r>
      <w:r>
        <w:rPr>
          <w:spacing w:val="-18"/>
          <w:sz w:val="18"/>
        </w:rPr>
        <w:t> </w:t>
      </w:r>
      <w:r>
        <w:rPr>
          <w:sz w:val="18"/>
        </w:rPr>
        <w:t>A</w:t>
      </w:r>
      <w:r>
        <w:rPr>
          <w:spacing w:val="-18"/>
          <w:sz w:val="18"/>
        </w:rPr>
        <w:t> </w:t>
      </w:r>
      <w:r>
        <w:rPr>
          <w:sz w:val="18"/>
        </w:rPr>
        <w:t>Regulatory</w:t>
      </w:r>
      <w:r>
        <w:rPr>
          <w:spacing w:val="-9"/>
          <w:sz w:val="18"/>
        </w:rPr>
        <w:t> </w:t>
      </w:r>
      <w:r>
        <w:rPr>
          <w:sz w:val="18"/>
        </w:rPr>
        <w:t>Framework</w:t>
      </w:r>
      <w:r>
        <w:rPr>
          <w:spacing w:val="-9"/>
          <w:sz w:val="18"/>
        </w:rPr>
        <w:t> </w:t>
      </w:r>
      <w:r>
        <w:rPr>
          <w:sz w:val="18"/>
        </w:rPr>
        <w:t>for</w:t>
      </w:r>
      <w:r>
        <w:rPr>
          <w:spacing w:val="-8"/>
          <w:sz w:val="18"/>
        </w:rPr>
        <w:t> </w:t>
      </w:r>
      <w:r>
        <w:rPr>
          <w:sz w:val="18"/>
        </w:rPr>
        <w:t>States. Report to USDOE, 80</w:t>
      </w:r>
      <w:r>
        <w:rPr>
          <w:spacing w:val="-2"/>
          <w:sz w:val="18"/>
        </w:rPr>
        <w:t> </w:t>
      </w:r>
      <w:r>
        <w:rPr>
          <w:sz w:val="18"/>
        </w:rPr>
        <w:t>pp.</w:t>
      </w:r>
    </w:p>
    <w:p>
      <w:pPr>
        <w:spacing w:line="278" w:lineRule="auto" w:before="0"/>
        <w:ind w:left="497" w:right="38" w:hanging="341"/>
        <w:jc w:val="both"/>
        <w:rPr>
          <w:sz w:val="18"/>
        </w:rPr>
      </w:pPr>
      <w:r>
        <w:rPr>
          <w:b/>
          <w:sz w:val="18"/>
        </w:rPr>
        <w:t>ispen, </w:t>
      </w:r>
      <w:r>
        <w:rPr>
          <w:sz w:val="18"/>
        </w:rPr>
        <w:t>K.H. and F.L. Jacobsen, 1996: The Linde structure, Denmark: an example of a CO</w:t>
      </w:r>
      <w:r>
        <w:rPr>
          <w:position w:val="-5"/>
          <w:sz w:val="10"/>
        </w:rPr>
        <w:t>2 </w:t>
      </w:r>
      <w:r>
        <w:rPr>
          <w:sz w:val="18"/>
        </w:rPr>
        <w:t>depository with a secondary chalk cap rock.</w:t>
      </w:r>
    </w:p>
    <w:p>
      <w:pPr>
        <w:spacing w:line="164" w:lineRule="exact" w:before="0"/>
        <w:ind w:left="497" w:right="0" w:firstLine="0"/>
        <w:jc w:val="both"/>
        <w:rPr>
          <w:sz w:val="18"/>
        </w:rPr>
      </w:pPr>
      <w:r>
        <w:rPr>
          <w:i/>
          <w:sz w:val="18"/>
        </w:rPr>
        <w:t>Energy and Conversion and Management</w:t>
      </w:r>
      <w:r>
        <w:rPr>
          <w:sz w:val="18"/>
        </w:rPr>
        <w:t>, </w:t>
      </w:r>
      <w:r>
        <w:rPr>
          <w:b/>
          <w:sz w:val="18"/>
        </w:rPr>
        <w:t>37</w:t>
      </w:r>
      <w:r>
        <w:rPr>
          <w:sz w:val="18"/>
        </w:rPr>
        <w:t>(6–8), 1161–1166.</w:t>
      </w:r>
    </w:p>
    <w:p>
      <w:pPr>
        <w:spacing w:line="240" w:lineRule="exact" w:before="9"/>
        <w:ind w:left="497" w:right="38" w:hanging="341"/>
        <w:jc w:val="both"/>
        <w:rPr>
          <w:sz w:val="18"/>
        </w:rPr>
      </w:pPr>
      <w:r>
        <w:rPr>
          <w:b/>
          <w:sz w:val="18"/>
        </w:rPr>
        <w:t>itaoka, </w:t>
      </w:r>
      <w:r>
        <w:rPr>
          <w:sz w:val="18"/>
        </w:rPr>
        <w:t>K., A. Saito and M. Akai, 2005: Public acceptance of CO</w:t>
      </w:r>
      <w:r>
        <w:rPr>
          <w:position w:val="-5"/>
          <w:sz w:val="10"/>
        </w:rPr>
        <w:t>2 </w:t>
      </w:r>
      <w:r>
        <w:rPr>
          <w:sz w:val="18"/>
        </w:rPr>
        <w:t>capture and storage technology: A survey of public opinion to explore influential factors. Proceedings of the 7</w:t>
      </w:r>
      <w:r>
        <w:rPr>
          <w:position w:val="6"/>
          <w:sz w:val="10"/>
        </w:rPr>
        <w:t>th </w:t>
      </w:r>
      <w:r>
        <w:rPr>
          <w:sz w:val="18"/>
        </w:rPr>
        <w:t>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(GHGT-7), September 5–9, 2004, </w:t>
      </w:r>
      <w:r>
        <w:rPr>
          <w:spacing w:val="-3"/>
          <w:sz w:val="18"/>
        </w:rPr>
        <w:t>Vancouver, </w:t>
      </w:r>
      <w:r>
        <w:rPr>
          <w:sz w:val="18"/>
        </w:rPr>
        <w:t>Canada, </w:t>
      </w:r>
      <w:r>
        <w:rPr>
          <w:spacing w:val="-3"/>
          <w:sz w:val="18"/>
        </w:rPr>
        <w:t>v.I,</w:t>
      </w:r>
      <w:r>
        <w:rPr>
          <w:spacing w:val="-6"/>
          <w:sz w:val="18"/>
        </w:rPr>
        <w:t> </w:t>
      </w:r>
      <w:r>
        <w:rPr>
          <w:sz w:val="18"/>
        </w:rPr>
        <w:t>p.1011.</w:t>
      </w:r>
    </w:p>
    <w:p>
      <w:pPr>
        <w:spacing w:line="240" w:lineRule="exact" w:before="0"/>
        <w:ind w:left="497" w:right="39" w:hanging="341"/>
        <w:jc w:val="both"/>
        <w:rPr>
          <w:sz w:val="18"/>
        </w:rPr>
      </w:pPr>
      <w:r>
        <w:rPr>
          <w:b/>
          <w:sz w:val="18"/>
        </w:rPr>
        <w:t>Jarrell, </w:t>
      </w:r>
      <w:r>
        <w:rPr>
          <w:sz w:val="18"/>
        </w:rPr>
        <w:t>P.M., C.E. Fox, M.H. Stein and S.L. Webb, 2002: Practical Aspects of CO</w:t>
      </w:r>
      <w:r>
        <w:rPr>
          <w:position w:val="-5"/>
          <w:sz w:val="10"/>
        </w:rPr>
        <w:t>2 </w:t>
      </w:r>
      <w:r>
        <w:rPr>
          <w:sz w:val="18"/>
        </w:rPr>
        <w:t>Flooding. SPE Monograph Series No. 22, Richardson, TX, 220 pp.</w:t>
      </w:r>
    </w:p>
    <w:p>
      <w:pPr>
        <w:spacing w:line="240" w:lineRule="exact" w:before="0"/>
        <w:ind w:left="497" w:right="38" w:hanging="341"/>
        <w:jc w:val="both"/>
        <w:rPr>
          <w:sz w:val="18"/>
        </w:rPr>
      </w:pPr>
      <w:r>
        <w:rPr>
          <w:b/>
          <w:sz w:val="18"/>
        </w:rPr>
        <w:t>Jimenez, </w:t>
      </w:r>
      <w:r>
        <w:rPr>
          <w:sz w:val="18"/>
        </w:rPr>
        <w:t>J.A and R.J. Chalaturnyk, 2003: Are disused hydrocarbon reservoirs safe for geological storage of CO</w:t>
      </w:r>
      <w:r>
        <w:rPr>
          <w:position w:val="-5"/>
          <w:sz w:val="10"/>
        </w:rPr>
        <w:t>2</w:t>
      </w:r>
      <w:r>
        <w:rPr>
          <w:sz w:val="18"/>
        </w:rPr>
        <w:t>? Proceedings of  the 6</w:t>
      </w:r>
      <w:r>
        <w:rPr>
          <w:position w:val="6"/>
          <w:sz w:val="10"/>
        </w:rPr>
        <w:t>th </w:t>
      </w:r>
      <w:r>
        <w:rPr>
          <w:sz w:val="18"/>
        </w:rPr>
        <w:t>International Conference on Greenhouse Gas Control Technologies</w:t>
      </w:r>
      <w:r>
        <w:rPr>
          <w:spacing w:val="-5"/>
          <w:sz w:val="18"/>
        </w:rPr>
        <w:t> </w:t>
      </w:r>
      <w:r>
        <w:rPr>
          <w:sz w:val="18"/>
        </w:rPr>
        <w:t>(GHGT-6),</w:t>
      </w:r>
      <w:r>
        <w:rPr>
          <w:spacing w:val="-5"/>
          <w:sz w:val="18"/>
        </w:rPr>
        <w:t> </w:t>
      </w:r>
      <w:r>
        <w:rPr>
          <w:sz w:val="18"/>
        </w:rPr>
        <w:t>J.</w:t>
      </w:r>
      <w:r>
        <w:rPr>
          <w:spacing w:val="-5"/>
          <w:sz w:val="18"/>
        </w:rPr>
        <w:t> </w:t>
      </w:r>
      <w:r>
        <w:rPr>
          <w:sz w:val="18"/>
        </w:rPr>
        <w:t>Gale</w:t>
      </w:r>
      <w:r>
        <w:rPr>
          <w:spacing w:val="-4"/>
          <w:sz w:val="18"/>
        </w:rPr>
        <w:t> </w:t>
      </w:r>
      <w:r>
        <w:rPr>
          <w:sz w:val="18"/>
        </w:rPr>
        <w:t>and</w:t>
      </w:r>
      <w:r>
        <w:rPr>
          <w:spacing w:val="-11"/>
          <w:sz w:val="18"/>
        </w:rPr>
        <w:t> </w:t>
      </w:r>
      <w:r>
        <w:rPr>
          <w:spacing w:val="-12"/>
          <w:sz w:val="18"/>
        </w:rPr>
        <w:t>Y.</w:t>
      </w:r>
      <w:r>
        <w:rPr>
          <w:spacing w:val="-5"/>
          <w:sz w:val="18"/>
        </w:rPr>
        <w:t> </w:t>
      </w:r>
      <w:r>
        <w:rPr>
          <w:sz w:val="18"/>
        </w:rPr>
        <w:t>Kaya</w:t>
      </w:r>
      <w:r>
        <w:rPr>
          <w:spacing w:val="-5"/>
          <w:sz w:val="18"/>
        </w:rPr>
        <w:t> </w:t>
      </w:r>
      <w:r>
        <w:rPr>
          <w:sz w:val="18"/>
        </w:rPr>
        <w:t>(eds.),</w:t>
      </w:r>
      <w:r>
        <w:rPr>
          <w:spacing w:val="-4"/>
          <w:sz w:val="18"/>
        </w:rPr>
        <w:t> </w:t>
      </w:r>
      <w:r>
        <w:rPr>
          <w:sz w:val="18"/>
        </w:rPr>
        <w:t>1–4</w:t>
      </w:r>
      <w:r>
        <w:rPr>
          <w:spacing w:val="-5"/>
          <w:sz w:val="18"/>
        </w:rPr>
        <w:t> </w:t>
      </w:r>
      <w:r>
        <w:rPr>
          <w:sz w:val="18"/>
        </w:rPr>
        <w:t>October 2002, Kyoto, Japan, Pergamon, </w:t>
      </w:r>
      <w:r>
        <w:rPr>
          <w:spacing w:val="-3"/>
          <w:sz w:val="18"/>
        </w:rPr>
        <w:t>v.I,</w:t>
      </w:r>
      <w:r>
        <w:rPr>
          <w:spacing w:val="-5"/>
          <w:sz w:val="18"/>
        </w:rPr>
        <w:t> </w:t>
      </w:r>
      <w:r>
        <w:rPr>
          <w:sz w:val="18"/>
        </w:rPr>
        <w:t>471–476.</w:t>
      </w:r>
    </w:p>
    <w:p>
      <w:pPr>
        <w:spacing w:line="240" w:lineRule="exact" w:before="0"/>
        <w:ind w:left="497" w:right="38" w:hanging="341"/>
        <w:jc w:val="both"/>
        <w:rPr>
          <w:sz w:val="18"/>
        </w:rPr>
      </w:pPr>
      <w:r>
        <w:rPr>
          <w:b/>
          <w:sz w:val="18"/>
        </w:rPr>
        <w:t>Johnson, </w:t>
      </w:r>
      <w:r>
        <w:rPr>
          <w:spacing w:val="-4"/>
          <w:sz w:val="18"/>
        </w:rPr>
        <w:t>J.W., </w:t>
      </w:r>
      <w:r>
        <w:rPr>
          <w:sz w:val="18"/>
        </w:rPr>
        <w:t>J.J. Nitao and </w:t>
      </w:r>
      <w:r>
        <w:rPr>
          <w:spacing w:val="-6"/>
          <w:sz w:val="18"/>
        </w:rPr>
        <w:t>J.P. </w:t>
      </w:r>
      <w:r>
        <w:rPr>
          <w:sz w:val="18"/>
        </w:rPr>
        <w:t>Morris, 2005: Reactive transport modeling of cap rock integrity during natural and engineered</w:t>
      </w:r>
      <w:r>
        <w:rPr>
          <w:spacing w:val="-31"/>
          <w:sz w:val="18"/>
        </w:rPr>
        <w:t> </w:t>
      </w:r>
      <w:r>
        <w:rPr>
          <w:spacing w:val="-6"/>
          <w:sz w:val="18"/>
        </w:rPr>
        <w:t>CO</w:t>
      </w:r>
      <w:r>
        <w:rPr>
          <w:spacing w:val="-6"/>
          <w:position w:val="-5"/>
          <w:sz w:val="10"/>
        </w:rPr>
        <w:t>2 </w:t>
      </w:r>
      <w:r>
        <w:rPr>
          <w:sz w:val="18"/>
        </w:rPr>
        <w:t>storage, Carbon Dioxide Capture for Storage in Deep Geologic Formations</w:t>
      </w:r>
      <w:r>
        <w:rPr>
          <w:spacing w:val="-10"/>
          <w:sz w:val="18"/>
        </w:rPr>
        <w:t> </w:t>
      </w:r>
      <w:r>
        <w:rPr>
          <w:sz w:val="18"/>
        </w:rPr>
        <w:t>-</w:t>
      </w:r>
      <w:r>
        <w:rPr>
          <w:spacing w:val="-10"/>
          <w:sz w:val="18"/>
        </w:rPr>
        <w:t> </w:t>
      </w:r>
      <w:r>
        <w:rPr>
          <w:sz w:val="18"/>
        </w:rPr>
        <w:t>Results</w:t>
      </w:r>
      <w:r>
        <w:rPr>
          <w:spacing w:val="-10"/>
          <w:sz w:val="18"/>
        </w:rPr>
        <w:t> </w:t>
      </w:r>
      <w:r>
        <w:rPr>
          <w:sz w:val="18"/>
        </w:rPr>
        <w:t>from</w:t>
      </w:r>
      <w:r>
        <w:rPr>
          <w:spacing w:val="-10"/>
          <w:sz w:val="18"/>
        </w:rPr>
        <w:t> </w:t>
      </w:r>
      <w:r>
        <w:rPr>
          <w:sz w:val="18"/>
        </w:rPr>
        <w:t>the</w:t>
      </w:r>
      <w:r>
        <w:rPr>
          <w:spacing w:val="-10"/>
          <w:sz w:val="18"/>
        </w:rPr>
        <w:t> </w:t>
      </w:r>
      <w:r>
        <w:rPr>
          <w:sz w:val="18"/>
        </w:rPr>
        <w:t>CO</w:t>
      </w:r>
      <w:r>
        <w:rPr>
          <w:position w:val="-5"/>
          <w:sz w:val="10"/>
        </w:rPr>
        <w:t>2</w:t>
      </w:r>
      <w:r>
        <w:rPr>
          <w:spacing w:val="10"/>
          <w:position w:val="-5"/>
          <w:sz w:val="10"/>
        </w:rPr>
        <w:t> </w:t>
      </w:r>
      <w:r>
        <w:rPr>
          <w:sz w:val="18"/>
        </w:rPr>
        <w:t>Capture</w:t>
      </w:r>
      <w:r>
        <w:rPr>
          <w:spacing w:val="-10"/>
          <w:sz w:val="18"/>
        </w:rPr>
        <w:t> </w:t>
      </w:r>
      <w:r>
        <w:rPr>
          <w:sz w:val="18"/>
        </w:rPr>
        <w:t>Project,</w:t>
      </w:r>
      <w:r>
        <w:rPr>
          <w:spacing w:val="-10"/>
          <w:sz w:val="18"/>
        </w:rPr>
        <w:t> </w:t>
      </w:r>
      <w:r>
        <w:rPr>
          <w:spacing w:val="-6"/>
          <w:sz w:val="18"/>
        </w:rPr>
        <w:t>v.</w:t>
      </w:r>
      <w:r>
        <w:rPr>
          <w:spacing w:val="-10"/>
          <w:sz w:val="18"/>
        </w:rPr>
        <w:t> </w:t>
      </w:r>
      <w:r>
        <w:rPr>
          <w:sz w:val="18"/>
        </w:rPr>
        <w:t>2:</w:t>
      </w:r>
      <w:r>
        <w:rPr>
          <w:spacing w:val="-10"/>
          <w:sz w:val="18"/>
        </w:rPr>
        <w:t> </w:t>
      </w:r>
      <w:r>
        <w:rPr>
          <w:sz w:val="18"/>
        </w:rPr>
        <w:t>Geologic Storage of Carbon Dioxide with Monitoring</w:t>
      </w:r>
      <w:r>
        <w:rPr>
          <w:spacing w:val="13"/>
          <w:sz w:val="18"/>
        </w:rPr>
        <w:t> </w:t>
      </w:r>
      <w:r>
        <w:rPr>
          <w:sz w:val="18"/>
        </w:rPr>
        <w:t>and Verification,</w:t>
      </w:r>
    </w:p>
    <w:p>
      <w:pPr>
        <w:spacing w:before="24"/>
        <w:ind w:left="497" w:right="0" w:firstLine="0"/>
        <w:jc w:val="both"/>
        <w:rPr>
          <w:sz w:val="18"/>
        </w:rPr>
      </w:pPr>
      <w:r>
        <w:rPr>
          <w:sz w:val="18"/>
        </w:rPr>
        <w:t>S.M. Benson, (ed.), Elsevier, London, pp. 787–814.</w:t>
      </w:r>
    </w:p>
    <w:p>
      <w:pPr>
        <w:spacing w:line="278" w:lineRule="auto" w:before="33"/>
        <w:ind w:left="497" w:right="38" w:hanging="341"/>
        <w:jc w:val="both"/>
        <w:rPr>
          <w:sz w:val="18"/>
        </w:rPr>
      </w:pPr>
      <w:r>
        <w:rPr>
          <w:b/>
          <w:sz w:val="18"/>
        </w:rPr>
        <w:t>Kaarstad,</w:t>
      </w:r>
      <w:r>
        <w:rPr>
          <w:b/>
          <w:spacing w:val="-12"/>
          <w:sz w:val="18"/>
        </w:rPr>
        <w:t> </w:t>
      </w:r>
      <w:r>
        <w:rPr>
          <w:sz w:val="18"/>
        </w:rPr>
        <w:t>O.,</w:t>
      </w:r>
      <w:r>
        <w:rPr>
          <w:spacing w:val="-11"/>
          <w:sz w:val="18"/>
        </w:rPr>
        <w:t> </w:t>
      </w:r>
      <w:r>
        <w:rPr>
          <w:sz w:val="18"/>
        </w:rPr>
        <w:t>1992:</w:t>
      </w:r>
      <w:r>
        <w:rPr>
          <w:spacing w:val="-11"/>
          <w:sz w:val="18"/>
        </w:rPr>
        <w:t> </w:t>
      </w:r>
      <w:r>
        <w:rPr>
          <w:sz w:val="18"/>
        </w:rPr>
        <w:t>Emission-free</w:t>
      </w:r>
      <w:r>
        <w:rPr>
          <w:spacing w:val="-11"/>
          <w:sz w:val="18"/>
        </w:rPr>
        <w:t> </w:t>
      </w:r>
      <w:r>
        <w:rPr>
          <w:sz w:val="18"/>
        </w:rPr>
        <w:t>fossil</w:t>
      </w:r>
      <w:r>
        <w:rPr>
          <w:spacing w:val="-11"/>
          <w:sz w:val="18"/>
        </w:rPr>
        <w:t> </w:t>
      </w:r>
      <w:r>
        <w:rPr>
          <w:sz w:val="18"/>
        </w:rPr>
        <w:t>energy</w:t>
      </w:r>
      <w:r>
        <w:rPr>
          <w:spacing w:val="-11"/>
          <w:sz w:val="18"/>
        </w:rPr>
        <w:t> </w:t>
      </w:r>
      <w:r>
        <w:rPr>
          <w:sz w:val="18"/>
        </w:rPr>
        <w:t>from</w:t>
      </w:r>
      <w:r>
        <w:rPr>
          <w:spacing w:val="-11"/>
          <w:sz w:val="18"/>
        </w:rPr>
        <w:t> </w:t>
      </w:r>
      <w:r>
        <w:rPr>
          <w:spacing w:val="-3"/>
          <w:sz w:val="18"/>
        </w:rPr>
        <w:t>Norway.</w:t>
      </w:r>
      <w:r>
        <w:rPr>
          <w:spacing w:val="-11"/>
          <w:sz w:val="18"/>
        </w:rPr>
        <w:t> </w:t>
      </w:r>
      <w:r>
        <w:rPr>
          <w:i/>
          <w:sz w:val="18"/>
        </w:rPr>
        <w:t>Energy </w:t>
      </w:r>
      <w:r>
        <w:rPr>
          <w:i/>
          <w:sz w:val="18"/>
        </w:rPr>
        <w:t>Conversion and Management</w:t>
      </w:r>
      <w:r>
        <w:rPr>
          <w:sz w:val="18"/>
        </w:rPr>
        <w:t>, </w:t>
      </w:r>
      <w:r>
        <w:rPr>
          <w:b/>
          <w:sz w:val="18"/>
        </w:rPr>
        <w:t>33</w:t>
      </w:r>
      <w:r>
        <w:rPr>
          <w:sz w:val="18"/>
        </w:rPr>
        <w:t>(5–8),</w:t>
      </w:r>
      <w:r>
        <w:rPr>
          <w:spacing w:val="-1"/>
          <w:sz w:val="18"/>
        </w:rPr>
        <w:t> </w:t>
      </w:r>
      <w:r>
        <w:rPr>
          <w:sz w:val="18"/>
        </w:rPr>
        <w:t>619–626.</w:t>
      </w:r>
    </w:p>
    <w:p>
      <w:pPr>
        <w:spacing w:line="278" w:lineRule="auto" w:before="0"/>
        <w:ind w:left="497" w:right="39" w:hanging="341"/>
        <w:jc w:val="both"/>
        <w:rPr>
          <w:sz w:val="18"/>
        </w:rPr>
      </w:pPr>
      <w:r>
        <w:rPr>
          <w:b/>
          <w:sz w:val="18"/>
        </w:rPr>
        <w:t>Kaarstad, </w:t>
      </w:r>
      <w:r>
        <w:rPr>
          <w:sz w:val="18"/>
        </w:rPr>
        <w:t>O., 2002: Geological storage including costs and risks,    in saline aquifers, Proceedings of workshop on Carbon Dioxide Capture and Storage, Regina Canada,</w:t>
      </w:r>
      <w:r>
        <w:rPr>
          <w:spacing w:val="-2"/>
          <w:sz w:val="18"/>
        </w:rPr>
        <w:t> </w:t>
      </w:r>
      <w:r>
        <w:rPr>
          <w:sz w:val="18"/>
        </w:rPr>
        <w:t>2002.</w:t>
      </w:r>
    </w:p>
    <w:p>
      <w:pPr>
        <w:spacing w:line="278" w:lineRule="auto" w:before="0"/>
        <w:ind w:left="497" w:right="39" w:hanging="341"/>
        <w:jc w:val="both"/>
        <w:rPr>
          <w:sz w:val="18"/>
        </w:rPr>
      </w:pPr>
      <w:r>
        <w:rPr>
          <w:b/>
          <w:sz w:val="18"/>
        </w:rPr>
        <w:t>Katzung,</w:t>
      </w:r>
      <w:r>
        <w:rPr>
          <w:b/>
          <w:spacing w:val="-9"/>
          <w:sz w:val="18"/>
        </w:rPr>
        <w:t> </w:t>
      </w:r>
      <w:r>
        <w:rPr>
          <w:sz w:val="18"/>
        </w:rPr>
        <w:t>G.,</w:t>
      </w:r>
      <w:r>
        <w:rPr>
          <w:spacing w:val="-8"/>
          <w:sz w:val="18"/>
        </w:rPr>
        <w:t> </w:t>
      </w:r>
      <w:r>
        <w:rPr>
          <w:spacing w:val="-10"/>
          <w:sz w:val="18"/>
        </w:rPr>
        <w:t>P.</w:t>
      </w:r>
      <w:r>
        <w:rPr>
          <w:spacing w:val="-8"/>
          <w:sz w:val="18"/>
        </w:rPr>
        <w:t> </w:t>
      </w:r>
      <w:r>
        <w:rPr>
          <w:sz w:val="18"/>
        </w:rPr>
        <w:t>Krull</w:t>
      </w:r>
      <w:r>
        <w:rPr>
          <w:spacing w:val="-8"/>
          <w:sz w:val="18"/>
        </w:rPr>
        <w:t> </w:t>
      </w:r>
      <w:r>
        <w:rPr>
          <w:sz w:val="18"/>
        </w:rPr>
        <w:t>and</w:t>
      </w:r>
      <w:r>
        <w:rPr>
          <w:spacing w:val="-8"/>
          <w:sz w:val="18"/>
        </w:rPr>
        <w:t> F. </w:t>
      </w:r>
      <w:r>
        <w:rPr>
          <w:sz w:val="18"/>
        </w:rPr>
        <w:t>Kühn,</w:t>
      </w:r>
      <w:r>
        <w:rPr>
          <w:spacing w:val="-9"/>
          <w:sz w:val="18"/>
        </w:rPr>
        <w:t> </w:t>
      </w:r>
      <w:r>
        <w:rPr>
          <w:sz w:val="18"/>
        </w:rPr>
        <w:t>1996:</w:t>
      </w:r>
      <w:r>
        <w:rPr>
          <w:spacing w:val="-8"/>
          <w:sz w:val="18"/>
        </w:rPr>
        <w:t> </w:t>
      </w:r>
      <w:r>
        <w:rPr>
          <w:sz w:val="18"/>
        </w:rPr>
        <w:t>Die</w:t>
      </w:r>
      <w:r>
        <w:rPr>
          <w:spacing w:val="-8"/>
          <w:sz w:val="18"/>
        </w:rPr>
        <w:t> </w:t>
      </w:r>
      <w:r>
        <w:rPr>
          <w:sz w:val="18"/>
        </w:rPr>
        <w:t>Havarie</w:t>
      </w:r>
      <w:r>
        <w:rPr>
          <w:spacing w:val="-8"/>
          <w:sz w:val="18"/>
        </w:rPr>
        <w:t> </w:t>
      </w:r>
      <w:r>
        <w:rPr>
          <w:sz w:val="18"/>
        </w:rPr>
        <w:t>der</w:t>
      </w:r>
      <w:r>
        <w:rPr>
          <w:spacing w:val="-8"/>
          <w:sz w:val="18"/>
        </w:rPr>
        <w:t> </w:t>
      </w:r>
      <w:r>
        <w:rPr>
          <w:sz w:val="18"/>
        </w:rPr>
        <w:t>UGS-Sonde Lauchstädt 5 im Jahre 1988 - Auswirkungen und geologische Bedingungen. </w:t>
      </w:r>
      <w:r>
        <w:rPr>
          <w:i/>
          <w:sz w:val="18"/>
        </w:rPr>
        <w:t>Zeitschrift für Angewandte Geologie</w:t>
      </w:r>
      <w:r>
        <w:rPr>
          <w:sz w:val="18"/>
        </w:rPr>
        <w:t>, </w:t>
      </w:r>
      <w:r>
        <w:rPr>
          <w:b/>
          <w:sz w:val="18"/>
        </w:rPr>
        <w:t>42</w:t>
      </w:r>
      <w:r>
        <w:rPr>
          <w:sz w:val="18"/>
        </w:rPr>
        <w:t>,</w:t>
      </w:r>
      <w:r>
        <w:rPr>
          <w:spacing w:val="-16"/>
          <w:sz w:val="18"/>
        </w:rPr>
        <w:t> </w:t>
      </w:r>
      <w:r>
        <w:rPr>
          <w:sz w:val="18"/>
        </w:rPr>
        <w:t>19–26.</w:t>
      </w:r>
    </w:p>
    <w:p>
      <w:pPr>
        <w:spacing w:line="240" w:lineRule="exact" w:before="43"/>
        <w:ind w:left="497" w:right="532" w:hanging="341"/>
        <w:jc w:val="both"/>
        <w:rPr>
          <w:sz w:val="18"/>
        </w:rPr>
      </w:pPr>
      <w:r>
        <w:rPr/>
        <w:br w:type="column"/>
      </w:r>
      <w:r>
        <w:rPr>
          <w:b/>
          <w:sz w:val="18"/>
        </w:rPr>
        <w:t>Keith, </w:t>
      </w:r>
      <w:r>
        <w:rPr>
          <w:spacing w:val="-5"/>
          <w:sz w:val="18"/>
        </w:rPr>
        <w:t>D.W. </w:t>
      </w:r>
      <w:r>
        <w:rPr>
          <w:sz w:val="18"/>
        </w:rPr>
        <w:t>and M. Wilson, 2002: Developing recommendations for the</w:t>
      </w:r>
      <w:r>
        <w:rPr>
          <w:spacing w:val="-10"/>
          <w:sz w:val="18"/>
        </w:rPr>
        <w:t> </w:t>
      </w:r>
      <w:r>
        <w:rPr>
          <w:sz w:val="18"/>
        </w:rPr>
        <w:t>management</w:t>
      </w:r>
      <w:r>
        <w:rPr>
          <w:spacing w:val="-9"/>
          <w:sz w:val="18"/>
        </w:rPr>
        <w:t> </w:t>
      </w:r>
      <w:r>
        <w:rPr>
          <w:sz w:val="18"/>
        </w:rPr>
        <w:t>of</w:t>
      </w:r>
      <w:r>
        <w:rPr>
          <w:spacing w:val="-10"/>
          <w:sz w:val="18"/>
        </w:rPr>
        <w:t> </w:t>
      </w:r>
      <w:r>
        <w:rPr>
          <w:sz w:val="18"/>
        </w:rPr>
        <w:t>geologic</w:t>
      </w:r>
      <w:r>
        <w:rPr>
          <w:spacing w:val="-9"/>
          <w:sz w:val="18"/>
        </w:rPr>
        <w:t> </w:t>
      </w:r>
      <w:r>
        <w:rPr>
          <w:sz w:val="18"/>
        </w:rPr>
        <w:t>storage</w:t>
      </w:r>
      <w:r>
        <w:rPr>
          <w:spacing w:val="-10"/>
          <w:sz w:val="18"/>
        </w:rPr>
        <w:t> </w:t>
      </w:r>
      <w:r>
        <w:rPr>
          <w:sz w:val="18"/>
        </w:rPr>
        <w:t>of</w:t>
      </w:r>
      <w:r>
        <w:rPr>
          <w:spacing w:val="-9"/>
          <w:sz w:val="18"/>
        </w:rPr>
        <w:t> </w:t>
      </w:r>
      <w:r>
        <w:rPr>
          <w:sz w:val="18"/>
        </w:rPr>
        <w:t>CO</w:t>
      </w:r>
      <w:r>
        <w:rPr>
          <w:position w:val="-5"/>
          <w:sz w:val="10"/>
        </w:rPr>
        <w:t>2</w:t>
      </w:r>
      <w:r>
        <w:rPr>
          <w:spacing w:val="11"/>
          <w:position w:val="-5"/>
          <w:sz w:val="10"/>
        </w:rPr>
        <w:t> </w:t>
      </w:r>
      <w:r>
        <w:rPr>
          <w:sz w:val="18"/>
        </w:rPr>
        <w:t>in</w:t>
      </w:r>
      <w:r>
        <w:rPr>
          <w:spacing w:val="-10"/>
          <w:sz w:val="18"/>
        </w:rPr>
        <w:t> </w:t>
      </w:r>
      <w:r>
        <w:rPr>
          <w:sz w:val="18"/>
        </w:rPr>
        <w:t>Canada.</w:t>
      </w:r>
      <w:r>
        <w:rPr>
          <w:spacing w:val="-9"/>
          <w:sz w:val="18"/>
        </w:rPr>
        <w:t> </w:t>
      </w:r>
      <w:r>
        <w:rPr>
          <w:sz w:val="18"/>
        </w:rPr>
        <w:t>University of Regina, </w:t>
      </w:r>
      <w:r>
        <w:rPr>
          <w:spacing w:val="-4"/>
          <w:sz w:val="18"/>
        </w:rPr>
        <w:t>PARC, </w:t>
      </w:r>
      <w:r>
        <w:rPr>
          <w:sz w:val="18"/>
        </w:rPr>
        <w:t>Regina,</w:t>
      </w:r>
      <w:r>
        <w:rPr>
          <w:spacing w:val="1"/>
          <w:sz w:val="18"/>
        </w:rPr>
        <w:t> </w:t>
      </w:r>
      <w:r>
        <w:rPr>
          <w:sz w:val="18"/>
        </w:rPr>
        <w:t>Saskatchewan.</w:t>
      </w:r>
    </w:p>
    <w:p>
      <w:pPr>
        <w:spacing w:line="240" w:lineRule="exact" w:before="0"/>
        <w:ind w:left="497" w:right="531" w:hanging="341"/>
        <w:jc w:val="both"/>
        <w:rPr>
          <w:sz w:val="18"/>
        </w:rPr>
      </w:pPr>
      <w:r>
        <w:rPr>
          <w:b/>
          <w:sz w:val="18"/>
        </w:rPr>
        <w:t>Keith, </w:t>
      </w:r>
      <w:r>
        <w:rPr>
          <w:sz w:val="18"/>
        </w:rPr>
        <w:t>D., H. Hassanzadeh and M. Pooladi-Darvish, 2005: Reservoir Engineering To Accelerate Dissolution of Stored CO</w:t>
      </w:r>
      <w:r>
        <w:rPr>
          <w:position w:val="-5"/>
          <w:sz w:val="10"/>
        </w:rPr>
        <w:t>2 </w:t>
      </w:r>
      <w:r>
        <w:rPr>
          <w:sz w:val="18"/>
        </w:rPr>
        <w:t>In Brines. Proceedings of the 7</w:t>
      </w:r>
      <w:r>
        <w:rPr>
          <w:position w:val="6"/>
          <w:sz w:val="10"/>
        </w:rPr>
        <w:t>th </w:t>
      </w:r>
      <w:r>
        <w:rPr>
          <w:sz w:val="18"/>
        </w:rPr>
        <w:t>International Conference on Greenhouse Gas Control Technologies (GHGT-7), September 5–9, 2004, Vancouver, Canada, v.II, 2163-2168.</w:t>
      </w:r>
    </w:p>
    <w:p>
      <w:pPr>
        <w:spacing w:line="278" w:lineRule="auto" w:before="24"/>
        <w:ind w:left="497" w:right="531" w:hanging="341"/>
        <w:jc w:val="both"/>
        <w:rPr>
          <w:sz w:val="18"/>
        </w:rPr>
      </w:pPr>
      <w:r>
        <w:rPr>
          <w:b/>
          <w:sz w:val="18"/>
        </w:rPr>
        <w:t>Kempton,</w:t>
      </w:r>
      <w:r>
        <w:rPr>
          <w:b/>
          <w:spacing w:val="-8"/>
          <w:sz w:val="18"/>
        </w:rPr>
        <w:t> </w:t>
      </w:r>
      <w:r>
        <w:rPr>
          <w:spacing w:val="-6"/>
          <w:sz w:val="18"/>
        </w:rPr>
        <w:t>W.,</w:t>
      </w:r>
      <w:r>
        <w:rPr>
          <w:spacing w:val="-4"/>
          <w:sz w:val="18"/>
        </w:rPr>
        <w:t> </w:t>
      </w:r>
      <w:r>
        <w:rPr>
          <w:sz w:val="18"/>
        </w:rPr>
        <w:t>J.</w:t>
      </w:r>
      <w:r>
        <w:rPr>
          <w:spacing w:val="-4"/>
          <w:sz w:val="18"/>
        </w:rPr>
        <w:t> </w:t>
      </w:r>
      <w:r>
        <w:rPr>
          <w:sz w:val="18"/>
        </w:rPr>
        <w:t>Boster</w:t>
      </w:r>
      <w:r>
        <w:rPr>
          <w:spacing w:val="-4"/>
          <w:sz w:val="18"/>
        </w:rPr>
        <w:t> </w:t>
      </w:r>
      <w:r>
        <w:rPr>
          <w:sz w:val="18"/>
        </w:rPr>
        <w:t>and</w:t>
      </w:r>
      <w:r>
        <w:rPr>
          <w:spacing w:val="-5"/>
          <w:sz w:val="18"/>
        </w:rPr>
        <w:t> </w:t>
      </w:r>
      <w:r>
        <w:rPr>
          <w:sz w:val="18"/>
        </w:rPr>
        <w:t>J.</w:t>
      </w:r>
      <w:r>
        <w:rPr>
          <w:spacing w:val="-4"/>
          <w:sz w:val="18"/>
        </w:rPr>
        <w:t> </w:t>
      </w:r>
      <w:r>
        <w:rPr>
          <w:spacing w:val="-3"/>
          <w:sz w:val="18"/>
        </w:rPr>
        <w:t>Hartley,</w:t>
      </w:r>
      <w:r>
        <w:rPr>
          <w:spacing w:val="-4"/>
          <w:sz w:val="18"/>
        </w:rPr>
        <w:t> </w:t>
      </w:r>
      <w:r>
        <w:rPr>
          <w:sz w:val="18"/>
        </w:rPr>
        <w:t>1995:</w:t>
      </w:r>
      <w:r>
        <w:rPr>
          <w:spacing w:val="-4"/>
          <w:sz w:val="18"/>
        </w:rPr>
        <w:t> </w:t>
      </w:r>
      <w:r>
        <w:rPr>
          <w:sz w:val="18"/>
        </w:rPr>
        <w:t>Environmental</w:t>
      </w:r>
      <w:r>
        <w:rPr>
          <w:spacing w:val="-8"/>
          <w:sz w:val="18"/>
        </w:rPr>
        <w:t> </w:t>
      </w:r>
      <w:r>
        <w:rPr>
          <w:spacing w:val="-4"/>
          <w:sz w:val="18"/>
        </w:rPr>
        <w:t>Values </w:t>
      </w:r>
      <w:r>
        <w:rPr>
          <w:sz w:val="18"/>
        </w:rPr>
        <w:t>in American Culture. MIT Press, Boston, MA, 320</w:t>
      </w:r>
      <w:r>
        <w:rPr>
          <w:spacing w:val="-11"/>
          <w:sz w:val="18"/>
        </w:rPr>
        <w:t> </w:t>
      </w:r>
      <w:r>
        <w:rPr>
          <w:sz w:val="18"/>
        </w:rPr>
        <w:t>pp.</w:t>
      </w:r>
    </w:p>
    <w:p>
      <w:pPr>
        <w:spacing w:before="0"/>
        <w:ind w:left="156" w:right="0" w:firstLine="0"/>
        <w:jc w:val="both"/>
        <w:rPr>
          <w:sz w:val="18"/>
        </w:rPr>
      </w:pPr>
      <w:r>
        <w:rPr>
          <w:b/>
          <w:sz w:val="18"/>
        </w:rPr>
        <w:t>Kling, </w:t>
      </w:r>
      <w:r>
        <w:rPr>
          <w:sz w:val="18"/>
        </w:rPr>
        <w:t>G.W., M.A. Clark, H.R. Compton, J.D. Devine, W.C. Evans,</w:t>
      </w:r>
    </w:p>
    <w:p>
      <w:pPr>
        <w:spacing w:line="278" w:lineRule="auto" w:before="33"/>
        <w:ind w:left="497" w:right="531" w:firstLine="0"/>
        <w:jc w:val="both"/>
        <w:rPr>
          <w:sz w:val="18"/>
        </w:rPr>
      </w:pPr>
      <w:r>
        <w:rPr>
          <w:sz w:val="18"/>
        </w:rPr>
        <w:t>A.M. </w:t>
      </w:r>
      <w:r>
        <w:rPr>
          <w:spacing w:val="-3"/>
          <w:sz w:val="18"/>
        </w:rPr>
        <w:t>Humphrey, </w:t>
      </w:r>
      <w:r>
        <w:rPr>
          <w:sz w:val="18"/>
        </w:rPr>
        <w:t>E.J. Doenigsberg, </w:t>
      </w:r>
      <w:r>
        <w:rPr>
          <w:spacing w:val="-6"/>
          <w:sz w:val="18"/>
        </w:rPr>
        <w:t>J.P. </w:t>
      </w:r>
      <w:r>
        <w:rPr>
          <w:sz w:val="18"/>
        </w:rPr>
        <w:t>Lockword, M.L. Tuttle and </w:t>
      </w:r>
      <w:r>
        <w:rPr>
          <w:spacing w:val="-5"/>
          <w:sz w:val="18"/>
        </w:rPr>
        <w:t>G.W. </w:t>
      </w:r>
      <w:r>
        <w:rPr>
          <w:spacing w:val="-4"/>
          <w:sz w:val="18"/>
        </w:rPr>
        <w:t>Wagner, </w:t>
      </w:r>
      <w:r>
        <w:rPr>
          <w:sz w:val="18"/>
        </w:rPr>
        <w:t>1987: The lake gas disaster in Cameroon,</w:t>
      </w:r>
      <w:r>
        <w:rPr>
          <w:spacing w:val="-34"/>
          <w:sz w:val="18"/>
        </w:rPr>
        <w:t> </w:t>
      </w:r>
      <w:r>
        <w:rPr>
          <w:spacing w:val="-4"/>
          <w:sz w:val="18"/>
        </w:rPr>
        <w:t>West </w:t>
      </w:r>
      <w:r>
        <w:rPr>
          <w:sz w:val="18"/>
        </w:rPr>
        <w:t>Africa, </w:t>
      </w:r>
      <w:r>
        <w:rPr>
          <w:i/>
          <w:sz w:val="18"/>
        </w:rPr>
        <w:t>Science</w:t>
      </w:r>
      <w:r>
        <w:rPr>
          <w:sz w:val="18"/>
        </w:rPr>
        <w:t>, </w:t>
      </w:r>
      <w:r>
        <w:rPr>
          <w:b/>
          <w:sz w:val="18"/>
        </w:rPr>
        <w:t>236</w:t>
      </w:r>
      <w:r>
        <w:rPr>
          <w:sz w:val="18"/>
        </w:rPr>
        <w:t>, 4798,</w:t>
      </w:r>
      <w:r>
        <w:rPr>
          <w:spacing w:val="-1"/>
          <w:sz w:val="18"/>
        </w:rPr>
        <w:t> </w:t>
      </w:r>
      <w:r>
        <w:rPr>
          <w:sz w:val="18"/>
        </w:rPr>
        <w:t>169–175.</w:t>
      </w:r>
    </w:p>
    <w:p>
      <w:pPr>
        <w:spacing w:line="278" w:lineRule="auto" w:before="0"/>
        <w:ind w:left="497" w:right="533" w:hanging="341"/>
        <w:jc w:val="both"/>
        <w:rPr>
          <w:sz w:val="18"/>
        </w:rPr>
      </w:pPr>
      <w:r>
        <w:rPr>
          <w:b/>
          <w:sz w:val="18"/>
        </w:rPr>
        <w:t>Klins, </w:t>
      </w:r>
      <w:r>
        <w:rPr>
          <w:sz w:val="18"/>
        </w:rPr>
        <w:t>M.A., 1984: Carbon Dioxide Flooding, D. Reidel Publishing Co., Boston, MA, 267</w:t>
      </w:r>
      <w:r>
        <w:rPr>
          <w:spacing w:val="-2"/>
          <w:sz w:val="18"/>
        </w:rPr>
        <w:t> </w:t>
      </w:r>
      <w:r>
        <w:rPr>
          <w:sz w:val="18"/>
        </w:rPr>
        <w:t>pp.</w:t>
      </w:r>
    </w:p>
    <w:p>
      <w:pPr>
        <w:spacing w:line="278" w:lineRule="auto" w:before="0"/>
        <w:ind w:left="497" w:right="531" w:hanging="341"/>
        <w:jc w:val="both"/>
        <w:rPr>
          <w:sz w:val="18"/>
        </w:rPr>
      </w:pPr>
      <w:r>
        <w:rPr>
          <w:b/>
          <w:sz w:val="18"/>
        </w:rPr>
        <w:t>Klins, </w:t>
      </w:r>
      <w:r>
        <w:rPr>
          <w:sz w:val="18"/>
        </w:rPr>
        <w:t>M.A. and  S.M.  Farouq  Ali,  1982:  Heavy  oil  production  by carbon dioxide injection. </w:t>
      </w:r>
      <w:r>
        <w:rPr>
          <w:i/>
          <w:sz w:val="18"/>
        </w:rPr>
        <w:t>Journal of Canadian </w:t>
      </w:r>
      <w:r>
        <w:rPr>
          <w:i/>
          <w:spacing w:val="-3"/>
          <w:sz w:val="18"/>
        </w:rPr>
        <w:t>Petroleum </w:t>
      </w:r>
      <w:r>
        <w:rPr>
          <w:i/>
          <w:sz w:val="18"/>
        </w:rPr>
        <w:t>Technology</w:t>
      </w:r>
      <w:r>
        <w:rPr>
          <w:sz w:val="18"/>
        </w:rPr>
        <w:t>, </w:t>
      </w:r>
      <w:r>
        <w:rPr>
          <w:b/>
          <w:sz w:val="18"/>
        </w:rPr>
        <w:t>21</w:t>
      </w:r>
      <w:r>
        <w:rPr>
          <w:sz w:val="18"/>
        </w:rPr>
        <w:t>(5),</w:t>
      </w:r>
      <w:r>
        <w:rPr>
          <w:spacing w:val="-1"/>
          <w:sz w:val="18"/>
        </w:rPr>
        <w:t> </w:t>
      </w:r>
      <w:r>
        <w:rPr>
          <w:sz w:val="18"/>
        </w:rPr>
        <w:t>64–72.</w:t>
      </w:r>
    </w:p>
    <w:p>
      <w:pPr>
        <w:spacing w:line="278" w:lineRule="auto" w:before="0"/>
        <w:ind w:left="497" w:right="530" w:hanging="341"/>
        <w:jc w:val="both"/>
        <w:rPr>
          <w:sz w:val="18"/>
        </w:rPr>
      </w:pPr>
      <w:r>
        <w:rPr>
          <w:b/>
          <w:sz w:val="18"/>
        </w:rPr>
        <w:t>Klusman, </w:t>
      </w:r>
      <w:r>
        <w:rPr>
          <w:spacing w:val="-4"/>
          <w:sz w:val="18"/>
        </w:rPr>
        <w:t>R.W., </w:t>
      </w:r>
      <w:r>
        <w:rPr>
          <w:sz w:val="18"/>
        </w:rPr>
        <w:t>2003: A geochemical perspective  and  assessment of leakage potential  for  a  mature  carbon  dioxide-enhanced  oil recovery project and as a prototype for carbon </w:t>
      </w:r>
      <w:r>
        <w:rPr>
          <w:spacing w:val="-3"/>
          <w:sz w:val="18"/>
        </w:rPr>
        <w:t>dioxide </w:t>
      </w:r>
      <w:r>
        <w:rPr>
          <w:sz w:val="18"/>
        </w:rPr>
        <w:t>sequestration; Rangely field, Colorado. </w:t>
      </w:r>
      <w:r>
        <w:rPr>
          <w:i/>
          <w:sz w:val="18"/>
        </w:rPr>
        <w:t>American Association of </w:t>
      </w:r>
      <w:r>
        <w:rPr>
          <w:i/>
          <w:sz w:val="18"/>
        </w:rPr>
        <w:t>Petroleum Geologists Bulletin</w:t>
      </w:r>
      <w:r>
        <w:rPr>
          <w:sz w:val="18"/>
        </w:rPr>
        <w:t>, </w:t>
      </w:r>
      <w:r>
        <w:rPr>
          <w:b/>
          <w:sz w:val="18"/>
        </w:rPr>
        <w:t>87</w:t>
      </w:r>
      <w:r>
        <w:rPr>
          <w:sz w:val="18"/>
        </w:rPr>
        <w:t>(9),</w:t>
      </w:r>
      <w:r>
        <w:rPr>
          <w:spacing w:val="-4"/>
          <w:sz w:val="18"/>
        </w:rPr>
        <w:t> </w:t>
      </w:r>
      <w:r>
        <w:rPr>
          <w:sz w:val="18"/>
        </w:rPr>
        <w:t>1485–1507.</w:t>
      </w:r>
    </w:p>
    <w:p>
      <w:pPr>
        <w:spacing w:line="278" w:lineRule="auto" w:before="0"/>
        <w:ind w:left="497" w:right="531" w:hanging="341"/>
        <w:jc w:val="both"/>
        <w:rPr>
          <w:sz w:val="18"/>
        </w:rPr>
      </w:pPr>
      <w:r>
        <w:rPr>
          <w:b/>
          <w:sz w:val="18"/>
        </w:rPr>
        <w:t>Knauss, </w:t>
      </w:r>
      <w:r>
        <w:rPr>
          <w:sz w:val="18"/>
        </w:rPr>
        <w:t>K.G., </w:t>
      </w:r>
      <w:r>
        <w:rPr>
          <w:spacing w:val="-5"/>
          <w:sz w:val="18"/>
        </w:rPr>
        <w:t>J.W. </w:t>
      </w:r>
      <w:r>
        <w:rPr>
          <w:sz w:val="18"/>
        </w:rPr>
        <w:t>Johnson and C.I Steefel, 2005: Evaluation of the impact</w:t>
      </w:r>
      <w:r>
        <w:rPr>
          <w:spacing w:val="14"/>
          <w:sz w:val="18"/>
        </w:rPr>
        <w:t> </w:t>
      </w:r>
      <w:r>
        <w:rPr>
          <w:sz w:val="18"/>
        </w:rPr>
        <w:t>of</w:t>
      </w:r>
      <w:r>
        <w:rPr>
          <w:spacing w:val="14"/>
          <w:sz w:val="18"/>
        </w:rPr>
        <w:t> </w:t>
      </w:r>
      <w:r>
        <w:rPr>
          <w:sz w:val="18"/>
        </w:rPr>
        <w:t>CO</w:t>
      </w:r>
      <w:r>
        <w:rPr>
          <w:position w:val="-5"/>
          <w:sz w:val="10"/>
        </w:rPr>
        <w:t>2</w:t>
      </w:r>
      <w:r>
        <w:rPr>
          <w:sz w:val="18"/>
        </w:rPr>
        <w:t>,</w:t>
      </w:r>
      <w:r>
        <w:rPr>
          <w:spacing w:val="15"/>
          <w:sz w:val="18"/>
        </w:rPr>
        <w:t> </w:t>
      </w:r>
      <w:r>
        <w:rPr>
          <w:sz w:val="18"/>
        </w:rPr>
        <w:t>co-contaminant</w:t>
      </w:r>
      <w:r>
        <w:rPr>
          <w:spacing w:val="14"/>
          <w:sz w:val="18"/>
        </w:rPr>
        <w:t> </w:t>
      </w:r>
      <w:r>
        <w:rPr>
          <w:sz w:val="18"/>
        </w:rPr>
        <w:t>gas,</w:t>
      </w:r>
      <w:r>
        <w:rPr>
          <w:spacing w:val="15"/>
          <w:sz w:val="18"/>
        </w:rPr>
        <w:t> </w:t>
      </w:r>
      <w:r>
        <w:rPr>
          <w:sz w:val="18"/>
        </w:rPr>
        <w:t>aqueous</w:t>
      </w:r>
      <w:r>
        <w:rPr>
          <w:spacing w:val="14"/>
          <w:sz w:val="18"/>
        </w:rPr>
        <w:t> </w:t>
      </w:r>
      <w:r>
        <w:rPr>
          <w:sz w:val="18"/>
        </w:rPr>
        <w:t>fluid</w:t>
      </w:r>
      <w:r>
        <w:rPr>
          <w:spacing w:val="15"/>
          <w:sz w:val="18"/>
        </w:rPr>
        <w:t> </w:t>
      </w:r>
      <w:r>
        <w:rPr>
          <w:sz w:val="18"/>
        </w:rPr>
        <w:t>and</w:t>
      </w:r>
      <w:r>
        <w:rPr>
          <w:spacing w:val="14"/>
          <w:sz w:val="18"/>
        </w:rPr>
        <w:t> </w:t>
      </w:r>
      <w:r>
        <w:rPr>
          <w:sz w:val="18"/>
        </w:rPr>
        <w:t>reservoir</w:t>
      </w:r>
    </w:p>
    <w:p>
      <w:pPr>
        <w:spacing w:line="177" w:lineRule="auto" w:before="0"/>
        <w:ind w:left="497" w:right="0" w:firstLine="0"/>
        <w:jc w:val="both"/>
        <w:rPr>
          <w:i/>
          <w:sz w:val="18"/>
        </w:rPr>
      </w:pPr>
      <w:r>
        <w:rPr>
          <w:sz w:val="18"/>
        </w:rPr>
        <w:t>rock interactions on the geologic sequestration of CO</w:t>
      </w:r>
      <w:r>
        <w:rPr>
          <w:position w:val="-5"/>
          <w:sz w:val="10"/>
        </w:rPr>
        <w:t>2</w:t>
      </w:r>
      <w:r>
        <w:rPr>
          <w:sz w:val="18"/>
        </w:rPr>
        <w:t>.</w:t>
      </w:r>
      <w:r>
        <w:rPr>
          <w:spacing w:val="14"/>
          <w:sz w:val="18"/>
        </w:rPr>
        <w:t> </w:t>
      </w:r>
      <w:r>
        <w:rPr>
          <w:i/>
          <w:sz w:val="18"/>
        </w:rPr>
        <w:t>Chemical</w:t>
      </w:r>
    </w:p>
    <w:p>
      <w:pPr>
        <w:spacing w:before="0"/>
        <w:ind w:left="497" w:right="0" w:firstLine="0"/>
        <w:jc w:val="both"/>
        <w:rPr>
          <w:sz w:val="18"/>
        </w:rPr>
      </w:pPr>
      <w:r>
        <w:rPr>
          <w:i/>
          <w:sz w:val="18"/>
        </w:rPr>
        <w:t>Geology, </w:t>
      </w:r>
      <w:r>
        <w:rPr>
          <w:sz w:val="18"/>
        </w:rPr>
        <w:t>Elsevier, </w:t>
      </w:r>
      <w:r>
        <w:rPr>
          <w:b/>
          <w:sz w:val="18"/>
        </w:rPr>
        <w:t>217</w:t>
      </w:r>
      <w:r>
        <w:rPr>
          <w:sz w:val="18"/>
        </w:rPr>
        <w:t>, 339–350.</w:t>
      </w:r>
    </w:p>
    <w:p>
      <w:pPr>
        <w:spacing w:line="240" w:lineRule="exact" w:before="9"/>
        <w:ind w:left="497" w:right="531" w:hanging="341"/>
        <w:jc w:val="both"/>
        <w:rPr>
          <w:sz w:val="18"/>
        </w:rPr>
      </w:pPr>
      <w:r>
        <w:rPr>
          <w:b/>
          <w:sz w:val="18"/>
        </w:rPr>
        <w:t>Koide, </w:t>
      </w:r>
      <w:r>
        <w:rPr>
          <w:sz w:val="18"/>
        </w:rPr>
        <w:t>H. and K. Yamazaki, 2001: Subsurface CO</w:t>
      </w:r>
      <w:r>
        <w:rPr>
          <w:position w:val="-5"/>
          <w:sz w:val="10"/>
        </w:rPr>
        <w:t>2 </w:t>
      </w:r>
      <w:r>
        <w:rPr>
          <w:sz w:val="18"/>
        </w:rPr>
        <w:t>disposal with enhanced gas recovery and biogeochemical carbon recycling. </w:t>
      </w:r>
      <w:r>
        <w:rPr>
          <w:i/>
          <w:sz w:val="18"/>
        </w:rPr>
        <w:t>Environmental Geosciences</w:t>
      </w:r>
      <w:r>
        <w:rPr>
          <w:sz w:val="18"/>
        </w:rPr>
        <w:t>, </w:t>
      </w:r>
      <w:r>
        <w:rPr>
          <w:b/>
          <w:sz w:val="18"/>
        </w:rPr>
        <w:t>8</w:t>
      </w:r>
      <w:r>
        <w:rPr>
          <w:sz w:val="18"/>
        </w:rPr>
        <w:t>(3), 218–224.</w:t>
      </w:r>
    </w:p>
    <w:p>
      <w:pPr>
        <w:spacing w:line="278" w:lineRule="auto" w:before="24"/>
        <w:ind w:left="497" w:right="531" w:hanging="341"/>
        <w:jc w:val="both"/>
        <w:rPr>
          <w:sz w:val="18"/>
        </w:rPr>
      </w:pPr>
      <w:r>
        <w:rPr>
          <w:b/>
          <w:sz w:val="18"/>
        </w:rPr>
        <w:t>Koide, </w:t>
      </w:r>
      <w:r>
        <w:rPr>
          <w:sz w:val="18"/>
        </w:rPr>
        <w:t>H.G., Y. Tazaki, Y. Noguchi, S. Nakayama, M. Iijima, K. Ito and Y. Shindo, 1992: Subterranean containment and long-term storage of carbon dioxide in unused aquifers and in depleted natural gas reservoirs. </w:t>
      </w:r>
      <w:r>
        <w:rPr>
          <w:i/>
          <w:sz w:val="18"/>
        </w:rPr>
        <w:t>Energy Conversion and Management</w:t>
      </w:r>
      <w:r>
        <w:rPr>
          <w:sz w:val="18"/>
        </w:rPr>
        <w:t>, </w:t>
      </w:r>
      <w:r>
        <w:rPr>
          <w:b/>
          <w:sz w:val="18"/>
        </w:rPr>
        <w:t>33</w:t>
      </w:r>
      <w:r>
        <w:rPr>
          <w:sz w:val="18"/>
        </w:rPr>
        <w:t>(5–8), 619–626.</w:t>
      </w:r>
    </w:p>
    <w:p>
      <w:pPr>
        <w:spacing w:line="278" w:lineRule="auto" w:before="0"/>
        <w:ind w:left="497" w:right="531" w:hanging="341"/>
        <w:jc w:val="both"/>
        <w:rPr>
          <w:sz w:val="18"/>
        </w:rPr>
      </w:pPr>
      <w:r>
        <w:rPr>
          <w:b/>
          <w:sz w:val="18"/>
        </w:rPr>
        <w:t>Koide, </w:t>
      </w:r>
      <w:r>
        <w:rPr>
          <w:sz w:val="18"/>
        </w:rPr>
        <w:t>H.G., M. Takahashi and H. Tsukamoto, 1995: Self-trapping mechanisms of carbon dioxide. </w:t>
      </w:r>
      <w:r>
        <w:rPr>
          <w:i/>
          <w:sz w:val="18"/>
        </w:rPr>
        <w:t>Energy Conversion and </w:t>
      </w:r>
      <w:r>
        <w:rPr>
          <w:i/>
          <w:sz w:val="18"/>
        </w:rPr>
        <w:t>Management</w:t>
      </w:r>
      <w:r>
        <w:rPr>
          <w:sz w:val="18"/>
        </w:rPr>
        <w:t>, </w:t>
      </w:r>
      <w:r>
        <w:rPr>
          <w:b/>
          <w:sz w:val="18"/>
        </w:rPr>
        <w:t>36</w:t>
      </w:r>
      <w:r>
        <w:rPr>
          <w:sz w:val="18"/>
        </w:rPr>
        <w:t>(6–9), 505–508.</w:t>
      </w:r>
    </w:p>
    <w:p>
      <w:pPr>
        <w:spacing w:line="278" w:lineRule="auto" w:before="0"/>
        <w:ind w:left="497" w:right="531" w:hanging="341"/>
        <w:jc w:val="both"/>
        <w:rPr>
          <w:i/>
          <w:sz w:val="18"/>
        </w:rPr>
      </w:pPr>
      <w:r>
        <w:rPr>
          <w:b/>
          <w:sz w:val="18"/>
        </w:rPr>
        <w:t>Koide, </w:t>
      </w:r>
      <w:r>
        <w:rPr>
          <w:sz w:val="18"/>
        </w:rPr>
        <w:t>H., M. Takahashi, </w:t>
      </w:r>
      <w:r>
        <w:rPr>
          <w:spacing w:val="-12"/>
          <w:sz w:val="18"/>
        </w:rPr>
        <w:t>Y. </w:t>
      </w:r>
      <w:r>
        <w:rPr>
          <w:sz w:val="18"/>
        </w:rPr>
        <w:t>Shindo, </w:t>
      </w:r>
      <w:r>
        <w:rPr>
          <w:spacing w:val="-12"/>
          <w:sz w:val="18"/>
        </w:rPr>
        <w:t>Y. </w:t>
      </w:r>
      <w:r>
        <w:rPr>
          <w:sz w:val="18"/>
        </w:rPr>
        <w:t>Tazaki, M. Iijima, K. Ito, N. Kimura and K. Omata, 1997: Hydrate formation in sediments    in the sub-seabed disposal of CO</w:t>
      </w:r>
      <w:r>
        <w:rPr>
          <w:position w:val="-5"/>
          <w:sz w:val="10"/>
        </w:rPr>
        <w:t>2</w:t>
      </w:r>
      <w:r>
        <w:rPr>
          <w:i/>
          <w:sz w:val="18"/>
        </w:rPr>
        <w:t>. Energy-The</w:t>
      </w:r>
      <w:r>
        <w:rPr>
          <w:i/>
          <w:spacing w:val="14"/>
          <w:sz w:val="18"/>
        </w:rPr>
        <w:t> </w:t>
      </w:r>
      <w:r>
        <w:rPr>
          <w:i/>
          <w:sz w:val="18"/>
        </w:rPr>
        <w:t>International</w:t>
      </w:r>
    </w:p>
    <w:p>
      <w:pPr>
        <w:spacing w:line="164" w:lineRule="exact" w:before="0"/>
        <w:ind w:left="497" w:right="0" w:firstLine="0"/>
        <w:jc w:val="both"/>
        <w:rPr>
          <w:sz w:val="18"/>
        </w:rPr>
      </w:pPr>
      <w:r>
        <w:rPr>
          <w:i/>
          <w:sz w:val="18"/>
        </w:rPr>
        <w:t>Journal</w:t>
      </w:r>
      <w:r>
        <w:rPr>
          <w:sz w:val="18"/>
        </w:rPr>
        <w:t>, </w:t>
      </w:r>
      <w:r>
        <w:rPr>
          <w:b/>
          <w:sz w:val="18"/>
        </w:rPr>
        <w:t>22</w:t>
      </w:r>
      <w:r>
        <w:rPr>
          <w:sz w:val="18"/>
        </w:rPr>
        <w:t>(2/3), 279–283.</w:t>
      </w:r>
    </w:p>
    <w:p>
      <w:pPr>
        <w:spacing w:line="230" w:lineRule="auto" w:before="37"/>
        <w:ind w:left="497" w:right="531" w:hanging="341"/>
        <w:jc w:val="both"/>
        <w:rPr>
          <w:sz w:val="18"/>
        </w:rPr>
      </w:pPr>
      <w:r>
        <w:rPr>
          <w:b/>
          <w:sz w:val="18"/>
        </w:rPr>
        <w:t>Korbol, </w:t>
      </w:r>
      <w:r>
        <w:rPr>
          <w:sz w:val="18"/>
        </w:rPr>
        <w:t>R. and A. Kaddour, 1994: Sleipner West CO</w:t>
      </w:r>
      <w:r>
        <w:rPr>
          <w:position w:val="-5"/>
          <w:sz w:val="10"/>
        </w:rPr>
        <w:t>2 </w:t>
      </w:r>
      <w:r>
        <w:rPr>
          <w:sz w:val="18"/>
        </w:rPr>
        <w:t>disposal: injection of removed CO</w:t>
      </w:r>
      <w:r>
        <w:rPr>
          <w:position w:val="-5"/>
          <w:sz w:val="10"/>
        </w:rPr>
        <w:t>2 </w:t>
      </w:r>
      <w:r>
        <w:rPr>
          <w:sz w:val="18"/>
        </w:rPr>
        <w:t>into the Utsira formation. </w:t>
      </w:r>
      <w:r>
        <w:rPr>
          <w:i/>
          <w:sz w:val="18"/>
        </w:rPr>
        <w:t>Energy </w:t>
      </w:r>
      <w:r>
        <w:rPr>
          <w:i/>
          <w:sz w:val="18"/>
        </w:rPr>
        <w:t>Conversion and Management</w:t>
      </w:r>
      <w:r>
        <w:rPr>
          <w:sz w:val="18"/>
        </w:rPr>
        <w:t>, </w:t>
      </w:r>
      <w:r>
        <w:rPr>
          <w:b/>
          <w:sz w:val="18"/>
        </w:rPr>
        <w:t>36</w:t>
      </w:r>
      <w:r>
        <w:rPr>
          <w:sz w:val="18"/>
        </w:rPr>
        <w:t>(6–9), 509–512.</w:t>
      </w:r>
    </w:p>
    <w:p>
      <w:pPr>
        <w:spacing w:line="245" w:lineRule="exact" w:before="33"/>
        <w:ind w:left="156" w:right="0" w:firstLine="0"/>
        <w:jc w:val="both"/>
        <w:rPr>
          <w:sz w:val="18"/>
        </w:rPr>
      </w:pPr>
      <w:r>
        <w:rPr>
          <w:b/>
          <w:sz w:val="18"/>
        </w:rPr>
        <w:t>Kovscek,</w:t>
      </w:r>
      <w:r>
        <w:rPr>
          <w:sz w:val="18"/>
        </w:rPr>
        <w:t>A.R., 2002: Screening criteria for CO</w:t>
      </w:r>
      <w:r>
        <w:rPr>
          <w:position w:val="-5"/>
          <w:sz w:val="10"/>
        </w:rPr>
        <w:t>2 </w:t>
      </w:r>
      <w:r>
        <w:rPr>
          <w:sz w:val="18"/>
        </w:rPr>
        <w:t>storage in oil reservoirs.</w:t>
      </w:r>
    </w:p>
    <w:p>
      <w:pPr>
        <w:spacing w:line="202" w:lineRule="exact" w:before="0"/>
        <w:ind w:left="497" w:right="0" w:firstLine="0"/>
        <w:jc w:val="both"/>
        <w:rPr>
          <w:sz w:val="18"/>
        </w:rPr>
      </w:pPr>
      <w:r>
        <w:rPr>
          <w:i/>
          <w:sz w:val="18"/>
        </w:rPr>
        <w:t>Petroleum Science and Technology</w:t>
      </w:r>
      <w:r>
        <w:rPr>
          <w:sz w:val="18"/>
        </w:rPr>
        <w:t>, </w:t>
      </w:r>
      <w:r>
        <w:rPr>
          <w:b/>
          <w:sz w:val="18"/>
        </w:rPr>
        <w:t>20</w:t>
      </w:r>
      <w:r>
        <w:rPr>
          <w:sz w:val="18"/>
        </w:rPr>
        <w:t>(7–8), 841–866.</w:t>
      </w:r>
    </w:p>
    <w:p>
      <w:pPr>
        <w:spacing w:line="278" w:lineRule="auto" w:before="33"/>
        <w:ind w:left="497" w:right="531" w:hanging="341"/>
        <w:jc w:val="both"/>
        <w:rPr>
          <w:sz w:val="18"/>
        </w:rPr>
      </w:pPr>
      <w:r>
        <w:rPr>
          <w:b/>
          <w:sz w:val="18"/>
        </w:rPr>
        <w:t>Krom,</w:t>
      </w:r>
      <w:r>
        <w:rPr>
          <w:b/>
          <w:spacing w:val="-16"/>
          <w:sz w:val="18"/>
        </w:rPr>
        <w:t> </w:t>
      </w:r>
      <w:r>
        <w:rPr>
          <w:spacing w:val="-3"/>
          <w:sz w:val="18"/>
        </w:rPr>
        <w:t>T.D.,</w:t>
      </w:r>
      <w:r>
        <w:rPr>
          <w:spacing w:val="-13"/>
          <w:sz w:val="18"/>
        </w:rPr>
        <w:t> </w:t>
      </w:r>
      <w:r>
        <w:rPr>
          <w:spacing w:val="-4"/>
          <w:sz w:val="18"/>
        </w:rPr>
        <w:t>F.L.</w:t>
      </w:r>
      <w:r>
        <w:rPr>
          <w:spacing w:val="-13"/>
          <w:sz w:val="18"/>
        </w:rPr>
        <w:t> </w:t>
      </w:r>
      <w:r>
        <w:rPr>
          <w:sz w:val="18"/>
        </w:rPr>
        <w:t>Jacobsen</w:t>
      </w:r>
      <w:r>
        <w:rPr>
          <w:spacing w:val="-12"/>
          <w:sz w:val="18"/>
        </w:rPr>
        <w:t> </w:t>
      </w:r>
      <w:r>
        <w:rPr>
          <w:sz w:val="18"/>
        </w:rPr>
        <w:t>and</w:t>
      </w:r>
      <w:r>
        <w:rPr>
          <w:spacing w:val="-13"/>
          <w:sz w:val="18"/>
        </w:rPr>
        <w:t> </w:t>
      </w:r>
      <w:r>
        <w:rPr>
          <w:sz w:val="18"/>
        </w:rPr>
        <w:t>K.H.</w:t>
      </w:r>
      <w:r>
        <w:rPr>
          <w:spacing w:val="-13"/>
          <w:sz w:val="18"/>
        </w:rPr>
        <w:t> </w:t>
      </w:r>
      <w:r>
        <w:rPr>
          <w:sz w:val="18"/>
        </w:rPr>
        <w:t>Ipsen,</w:t>
      </w:r>
      <w:r>
        <w:rPr>
          <w:spacing w:val="-12"/>
          <w:sz w:val="18"/>
        </w:rPr>
        <w:t> </w:t>
      </w:r>
      <w:r>
        <w:rPr>
          <w:sz w:val="18"/>
        </w:rPr>
        <w:t>1993:</w:t>
      </w:r>
      <w:r>
        <w:rPr>
          <w:spacing w:val="-23"/>
          <w:sz w:val="18"/>
        </w:rPr>
        <w:t> </w:t>
      </w:r>
      <w:r>
        <w:rPr>
          <w:sz w:val="18"/>
        </w:rPr>
        <w:t>Aquifer</w:t>
      </w:r>
      <w:r>
        <w:rPr>
          <w:spacing w:val="-12"/>
          <w:sz w:val="18"/>
        </w:rPr>
        <w:t> </w:t>
      </w:r>
      <w:r>
        <w:rPr>
          <w:sz w:val="18"/>
        </w:rPr>
        <w:t>based</w:t>
      </w:r>
      <w:r>
        <w:rPr>
          <w:spacing w:val="-13"/>
          <w:sz w:val="18"/>
        </w:rPr>
        <w:t> </w:t>
      </w:r>
      <w:r>
        <w:rPr>
          <w:sz w:val="18"/>
        </w:rPr>
        <w:t>carbon dioxide disposal in Denmark: capacities, feasibility, implications and state of readiness. </w:t>
      </w:r>
      <w:r>
        <w:rPr>
          <w:i/>
          <w:sz w:val="18"/>
        </w:rPr>
        <w:t>Energy Conversion and Management</w:t>
      </w:r>
      <w:r>
        <w:rPr>
          <w:sz w:val="18"/>
        </w:rPr>
        <w:t>, </w:t>
      </w:r>
      <w:r>
        <w:rPr>
          <w:b/>
          <w:sz w:val="18"/>
        </w:rPr>
        <w:t>34</w:t>
      </w:r>
      <w:r>
        <w:rPr>
          <w:sz w:val="18"/>
        </w:rPr>
        <w:t>(9–11),</w:t>
      </w:r>
      <w:r>
        <w:rPr>
          <w:spacing w:val="-1"/>
          <w:sz w:val="18"/>
        </w:rPr>
        <w:t> </w:t>
      </w:r>
      <w:r>
        <w:rPr>
          <w:sz w:val="18"/>
        </w:rPr>
        <w:t>933–940.</w:t>
      </w:r>
    </w:p>
    <w:p>
      <w:pPr>
        <w:spacing w:line="278" w:lineRule="auto" w:before="0"/>
        <w:ind w:left="497" w:right="531" w:hanging="341"/>
        <w:jc w:val="both"/>
        <w:rPr>
          <w:sz w:val="18"/>
        </w:rPr>
      </w:pPr>
      <w:r>
        <w:rPr>
          <w:b/>
          <w:sz w:val="18"/>
        </w:rPr>
        <w:t>Krooss, </w:t>
      </w:r>
      <w:r>
        <w:rPr>
          <w:sz w:val="18"/>
        </w:rPr>
        <w:t>B.M., </w:t>
      </w:r>
      <w:r>
        <w:rPr>
          <w:spacing w:val="-8"/>
          <w:sz w:val="18"/>
        </w:rPr>
        <w:t>F. </w:t>
      </w:r>
      <w:r>
        <w:rPr>
          <w:sz w:val="18"/>
        </w:rPr>
        <w:t>van Bergen, </w:t>
      </w:r>
      <w:r>
        <w:rPr>
          <w:spacing w:val="-12"/>
          <w:sz w:val="18"/>
        </w:rPr>
        <w:t>Y. </w:t>
      </w:r>
      <w:r>
        <w:rPr>
          <w:sz w:val="18"/>
        </w:rPr>
        <w:t>Gensterblum, N. Siemons, H.J.M. Pagnier and </w:t>
      </w:r>
      <w:r>
        <w:rPr>
          <w:spacing w:val="-10"/>
          <w:sz w:val="18"/>
        </w:rPr>
        <w:t>P. </w:t>
      </w:r>
      <w:r>
        <w:rPr>
          <w:sz w:val="18"/>
        </w:rPr>
        <w:t>David, 2002: High-pressure methane and carbon dioxide</w:t>
      </w:r>
      <w:r>
        <w:rPr>
          <w:spacing w:val="-27"/>
          <w:sz w:val="18"/>
        </w:rPr>
        <w:t> </w:t>
      </w:r>
      <w:r>
        <w:rPr>
          <w:sz w:val="18"/>
        </w:rPr>
        <w:t>adsorption</w:t>
      </w:r>
      <w:r>
        <w:rPr>
          <w:spacing w:val="-27"/>
          <w:sz w:val="18"/>
        </w:rPr>
        <w:t> </w:t>
      </w:r>
      <w:r>
        <w:rPr>
          <w:sz w:val="18"/>
        </w:rPr>
        <w:t>on</w:t>
      </w:r>
      <w:r>
        <w:rPr>
          <w:spacing w:val="-27"/>
          <w:sz w:val="18"/>
        </w:rPr>
        <w:t> </w:t>
      </w:r>
      <w:r>
        <w:rPr>
          <w:sz w:val="18"/>
        </w:rPr>
        <w:t>dry</w:t>
      </w:r>
      <w:r>
        <w:rPr>
          <w:spacing w:val="-27"/>
          <w:sz w:val="18"/>
        </w:rPr>
        <w:t> </w:t>
      </w:r>
      <w:r>
        <w:rPr>
          <w:sz w:val="18"/>
        </w:rPr>
        <w:t>and</w:t>
      </w:r>
      <w:r>
        <w:rPr>
          <w:spacing w:val="-27"/>
          <w:sz w:val="18"/>
        </w:rPr>
        <w:t> </w:t>
      </w:r>
      <w:r>
        <w:rPr>
          <w:sz w:val="18"/>
        </w:rPr>
        <w:t>moisture-equilibrated</w:t>
      </w:r>
      <w:r>
        <w:rPr>
          <w:spacing w:val="-27"/>
          <w:sz w:val="18"/>
        </w:rPr>
        <w:t> </w:t>
      </w:r>
      <w:r>
        <w:rPr>
          <w:sz w:val="18"/>
        </w:rPr>
        <w:t>Pennsylvanian coals. </w:t>
      </w:r>
      <w:r>
        <w:rPr>
          <w:i/>
          <w:sz w:val="18"/>
        </w:rPr>
        <w:t>International Journal of Coal Geology</w:t>
      </w:r>
      <w:r>
        <w:rPr>
          <w:sz w:val="18"/>
        </w:rPr>
        <w:t>, </w:t>
      </w:r>
      <w:r>
        <w:rPr>
          <w:b/>
          <w:sz w:val="18"/>
        </w:rPr>
        <w:t>51</w:t>
      </w:r>
      <w:r>
        <w:rPr>
          <w:sz w:val="18"/>
        </w:rPr>
        <w:t>(2),</w:t>
      </w:r>
      <w:r>
        <w:rPr>
          <w:spacing w:val="-5"/>
          <w:sz w:val="18"/>
        </w:rPr>
        <w:t> </w:t>
      </w:r>
      <w:r>
        <w:rPr>
          <w:sz w:val="18"/>
        </w:rPr>
        <w:t>69–92.</w:t>
      </w:r>
    </w:p>
    <w:p>
      <w:pPr>
        <w:spacing w:after="0" w:line="278" w:lineRule="auto"/>
        <w:jc w:val="both"/>
        <w:rPr>
          <w:sz w:val="18"/>
        </w:rPr>
        <w:sectPr>
          <w:type w:val="continuous"/>
          <w:pgSz w:w="12240" w:h="15840"/>
          <w:pgMar w:top="400" w:bottom="280" w:left="580" w:right="600"/>
          <w:cols w:num="2" w:equalWidth="0">
            <w:col w:w="5241" w:space="85"/>
            <w:col w:w="5734"/>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before="67"/>
        <w:ind w:left="553" w:right="0" w:firstLine="0"/>
        <w:jc w:val="both"/>
        <w:rPr>
          <w:sz w:val="18"/>
        </w:rPr>
      </w:pPr>
      <w:r>
        <w:rPr>
          <w:b/>
          <w:spacing w:val="-3"/>
          <w:sz w:val="18"/>
        </w:rPr>
        <w:t>Kumar,</w:t>
      </w:r>
      <w:r>
        <w:rPr>
          <w:b/>
          <w:spacing w:val="4"/>
          <w:sz w:val="18"/>
        </w:rPr>
        <w:t> </w:t>
      </w:r>
      <w:r>
        <w:rPr>
          <w:sz w:val="18"/>
        </w:rPr>
        <w:t>A.,</w:t>
      </w:r>
      <w:r>
        <w:rPr>
          <w:spacing w:val="14"/>
          <w:sz w:val="18"/>
        </w:rPr>
        <w:t> </w:t>
      </w:r>
      <w:r>
        <w:rPr>
          <w:sz w:val="18"/>
        </w:rPr>
        <w:t>M.H.</w:t>
      </w:r>
      <w:r>
        <w:rPr>
          <w:spacing w:val="14"/>
          <w:sz w:val="18"/>
        </w:rPr>
        <w:t> </w:t>
      </w:r>
      <w:r>
        <w:rPr>
          <w:sz w:val="18"/>
        </w:rPr>
        <w:t>Noh,</w:t>
      </w:r>
      <w:r>
        <w:rPr>
          <w:spacing w:val="14"/>
          <w:sz w:val="18"/>
        </w:rPr>
        <w:t> </w:t>
      </w:r>
      <w:r>
        <w:rPr>
          <w:sz w:val="18"/>
        </w:rPr>
        <w:t>K.</w:t>
      </w:r>
      <w:r>
        <w:rPr>
          <w:spacing w:val="14"/>
          <w:sz w:val="18"/>
        </w:rPr>
        <w:t> </w:t>
      </w:r>
      <w:r>
        <w:rPr>
          <w:sz w:val="18"/>
        </w:rPr>
        <w:t>Sepehrnoori,</w:t>
      </w:r>
      <w:r>
        <w:rPr>
          <w:spacing w:val="14"/>
          <w:sz w:val="18"/>
        </w:rPr>
        <w:t> </w:t>
      </w:r>
      <w:r>
        <w:rPr>
          <w:sz w:val="18"/>
        </w:rPr>
        <w:t>G.A.</w:t>
      </w:r>
      <w:r>
        <w:rPr>
          <w:spacing w:val="14"/>
          <w:sz w:val="18"/>
        </w:rPr>
        <w:t> </w:t>
      </w:r>
      <w:r>
        <w:rPr>
          <w:sz w:val="18"/>
        </w:rPr>
        <w:t>Pope,</w:t>
      </w:r>
      <w:r>
        <w:rPr>
          <w:spacing w:val="14"/>
          <w:sz w:val="18"/>
        </w:rPr>
        <w:t> </w:t>
      </w:r>
      <w:r>
        <w:rPr>
          <w:sz w:val="18"/>
        </w:rPr>
        <w:t>S.L.</w:t>
      </w:r>
      <w:r>
        <w:rPr>
          <w:spacing w:val="14"/>
          <w:sz w:val="18"/>
        </w:rPr>
        <w:t> </w:t>
      </w:r>
      <w:r>
        <w:rPr>
          <w:sz w:val="18"/>
        </w:rPr>
        <w:t>Bryant</w:t>
      </w:r>
      <w:r>
        <w:rPr>
          <w:spacing w:val="15"/>
          <w:sz w:val="18"/>
        </w:rPr>
        <w:t> </w:t>
      </w:r>
      <w:r>
        <w:rPr>
          <w:sz w:val="18"/>
        </w:rPr>
        <w:t>and</w:t>
      </w:r>
    </w:p>
    <w:p>
      <w:pPr>
        <w:spacing w:line="230" w:lineRule="auto" w:before="38"/>
        <w:ind w:left="894" w:right="7" w:firstLine="0"/>
        <w:jc w:val="both"/>
        <w:rPr>
          <w:sz w:val="18"/>
        </w:rPr>
      </w:pPr>
      <w:r>
        <w:rPr>
          <w:spacing w:val="-5"/>
          <w:sz w:val="18"/>
        </w:rPr>
        <w:t>L.W. </w:t>
      </w:r>
      <w:r>
        <w:rPr>
          <w:sz w:val="18"/>
        </w:rPr>
        <w:t>Lake, 2005: Simulating CO</w:t>
      </w:r>
      <w:r>
        <w:rPr>
          <w:position w:val="-5"/>
          <w:sz w:val="10"/>
        </w:rPr>
        <w:t>2 </w:t>
      </w:r>
      <w:r>
        <w:rPr>
          <w:sz w:val="18"/>
        </w:rPr>
        <w:t>storage in deep saline aquifers, Carbon</w:t>
      </w:r>
      <w:r>
        <w:rPr>
          <w:spacing w:val="-14"/>
          <w:sz w:val="18"/>
        </w:rPr>
        <w:t> </w:t>
      </w:r>
      <w:r>
        <w:rPr>
          <w:sz w:val="18"/>
        </w:rPr>
        <w:t>Dioxide</w:t>
      </w:r>
      <w:r>
        <w:rPr>
          <w:spacing w:val="-14"/>
          <w:sz w:val="18"/>
        </w:rPr>
        <w:t> </w:t>
      </w:r>
      <w:r>
        <w:rPr>
          <w:sz w:val="18"/>
        </w:rPr>
        <w:t>Capture</w:t>
      </w:r>
      <w:r>
        <w:rPr>
          <w:spacing w:val="-14"/>
          <w:sz w:val="18"/>
        </w:rPr>
        <w:t> </w:t>
      </w:r>
      <w:r>
        <w:rPr>
          <w:sz w:val="18"/>
        </w:rPr>
        <w:t>for</w:t>
      </w:r>
      <w:r>
        <w:rPr>
          <w:spacing w:val="-14"/>
          <w:sz w:val="18"/>
        </w:rPr>
        <w:t> </w:t>
      </w:r>
      <w:r>
        <w:rPr>
          <w:sz w:val="18"/>
        </w:rPr>
        <w:t>Storage</w:t>
      </w:r>
      <w:r>
        <w:rPr>
          <w:spacing w:val="-14"/>
          <w:sz w:val="18"/>
        </w:rPr>
        <w:t> </w:t>
      </w:r>
      <w:r>
        <w:rPr>
          <w:sz w:val="18"/>
        </w:rPr>
        <w:t>in</w:t>
      </w:r>
      <w:r>
        <w:rPr>
          <w:spacing w:val="-14"/>
          <w:sz w:val="18"/>
        </w:rPr>
        <w:t> </w:t>
      </w:r>
      <w:r>
        <w:rPr>
          <w:sz w:val="18"/>
        </w:rPr>
        <w:t>Deep</w:t>
      </w:r>
      <w:r>
        <w:rPr>
          <w:spacing w:val="-14"/>
          <w:sz w:val="18"/>
        </w:rPr>
        <w:t> </w:t>
      </w:r>
      <w:r>
        <w:rPr>
          <w:sz w:val="18"/>
        </w:rPr>
        <w:t>Geologic</w:t>
      </w:r>
      <w:r>
        <w:rPr>
          <w:spacing w:val="-14"/>
          <w:sz w:val="18"/>
        </w:rPr>
        <w:t> </w:t>
      </w:r>
      <w:r>
        <w:rPr>
          <w:sz w:val="18"/>
        </w:rPr>
        <w:t>Formations</w:t>
      </w:r>
    </w:p>
    <w:p>
      <w:pPr>
        <w:spacing w:line="240" w:lineRule="exact" w:before="11"/>
        <w:ind w:left="894" w:right="8" w:firstLine="0"/>
        <w:jc w:val="both"/>
        <w:rPr>
          <w:sz w:val="18"/>
        </w:rPr>
      </w:pPr>
      <w:r>
        <w:rPr>
          <w:sz w:val="18"/>
        </w:rPr>
        <w:t>- Results from the CO</w:t>
      </w:r>
      <w:r>
        <w:rPr>
          <w:position w:val="-5"/>
          <w:sz w:val="10"/>
        </w:rPr>
        <w:t>2 </w:t>
      </w:r>
      <w:r>
        <w:rPr>
          <w:sz w:val="18"/>
        </w:rPr>
        <w:t>Capture Project, v.2: Geologic Storage of Carbon Dioxide with Monitoring and Verification, S.M. Benson, (ed.), Elsevier, London. pp. 977–898.</w:t>
      </w:r>
    </w:p>
    <w:p>
      <w:pPr>
        <w:spacing w:line="230" w:lineRule="auto" w:before="29"/>
        <w:ind w:left="894" w:right="7" w:hanging="341"/>
        <w:jc w:val="both"/>
        <w:rPr>
          <w:sz w:val="18"/>
        </w:rPr>
      </w:pPr>
      <w:r>
        <w:rPr>
          <w:b/>
          <w:sz w:val="18"/>
        </w:rPr>
        <w:t>Larsen, </w:t>
      </w:r>
      <w:r>
        <w:rPr>
          <w:spacing w:val="-4"/>
          <w:sz w:val="18"/>
        </w:rPr>
        <w:t>J.W., </w:t>
      </w:r>
      <w:r>
        <w:rPr>
          <w:sz w:val="18"/>
        </w:rPr>
        <w:t>2003: The effects of dissolved CO</w:t>
      </w:r>
      <w:r>
        <w:rPr>
          <w:position w:val="-5"/>
          <w:sz w:val="10"/>
        </w:rPr>
        <w:t>2 </w:t>
      </w:r>
      <w:r>
        <w:rPr>
          <w:sz w:val="18"/>
        </w:rPr>
        <w:t>on coal structure</w:t>
      </w:r>
      <w:r>
        <w:rPr>
          <w:spacing w:val="-32"/>
          <w:sz w:val="18"/>
        </w:rPr>
        <w:t> </w:t>
      </w:r>
      <w:r>
        <w:rPr>
          <w:sz w:val="18"/>
        </w:rPr>
        <w:t>and properties. </w:t>
      </w:r>
      <w:r>
        <w:rPr>
          <w:i/>
          <w:sz w:val="18"/>
        </w:rPr>
        <w:t>International Journal of Coal Geology</w:t>
      </w:r>
      <w:r>
        <w:rPr>
          <w:sz w:val="18"/>
        </w:rPr>
        <w:t>, </w:t>
      </w:r>
      <w:r>
        <w:rPr>
          <w:b/>
          <w:sz w:val="18"/>
        </w:rPr>
        <w:t>57</w:t>
      </w:r>
      <w:r>
        <w:rPr>
          <w:sz w:val="18"/>
        </w:rPr>
        <w:t>,</w:t>
      </w:r>
      <w:r>
        <w:rPr>
          <w:spacing w:val="-4"/>
          <w:sz w:val="18"/>
        </w:rPr>
        <w:t> </w:t>
      </w:r>
      <w:r>
        <w:rPr>
          <w:sz w:val="18"/>
        </w:rPr>
        <w:t>63–70.</w:t>
      </w:r>
    </w:p>
    <w:p>
      <w:pPr>
        <w:spacing w:line="278" w:lineRule="auto" w:before="35"/>
        <w:ind w:left="894" w:right="7" w:hanging="341"/>
        <w:jc w:val="both"/>
        <w:rPr>
          <w:sz w:val="18"/>
        </w:rPr>
      </w:pPr>
      <w:r>
        <w:rPr/>
        <w:pict>
          <v:shape style="position:absolute;margin-left:86.203201pt;margin-top:45.214092pt;width:2.65pt;height:5.25pt;mso-position-horizontal-relative:page;mso-position-vertical-relative:paragraph;z-index:-258811904"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Larsen, </w:t>
      </w:r>
      <w:r>
        <w:rPr>
          <w:sz w:val="18"/>
        </w:rPr>
        <w:t>M., </w:t>
      </w:r>
      <w:r>
        <w:rPr>
          <w:spacing w:val="-6"/>
          <w:sz w:val="18"/>
        </w:rPr>
        <w:t>N.P. </w:t>
      </w:r>
      <w:r>
        <w:rPr>
          <w:sz w:val="18"/>
        </w:rPr>
        <w:t>Christensen, B. Reidulv, D. Bonijoly, M. </w:t>
      </w:r>
      <w:r>
        <w:rPr>
          <w:spacing w:val="-2"/>
          <w:sz w:val="18"/>
        </w:rPr>
        <w:t>Dusar, </w:t>
      </w:r>
      <w:r>
        <w:rPr>
          <w:sz w:val="18"/>
        </w:rPr>
        <w:t>G. Hatziyannis,</w:t>
      </w:r>
      <w:r>
        <w:rPr>
          <w:spacing w:val="-17"/>
          <w:sz w:val="18"/>
        </w:rPr>
        <w:t> </w:t>
      </w:r>
      <w:r>
        <w:rPr>
          <w:sz w:val="18"/>
        </w:rPr>
        <w:t>C.</w:t>
      </w:r>
      <w:r>
        <w:rPr>
          <w:spacing w:val="-17"/>
          <w:sz w:val="18"/>
        </w:rPr>
        <w:t> </w:t>
      </w:r>
      <w:r>
        <w:rPr>
          <w:sz w:val="18"/>
        </w:rPr>
        <w:t>Hendriks,</w:t>
      </w:r>
      <w:r>
        <w:rPr>
          <w:spacing w:val="-16"/>
          <w:sz w:val="18"/>
        </w:rPr>
        <w:t> </w:t>
      </w:r>
      <w:r>
        <w:rPr>
          <w:sz w:val="18"/>
        </w:rPr>
        <w:t>S.</w:t>
      </w:r>
      <w:r>
        <w:rPr>
          <w:spacing w:val="-17"/>
          <w:sz w:val="18"/>
        </w:rPr>
        <w:t> </w:t>
      </w:r>
      <w:r>
        <w:rPr>
          <w:spacing w:val="-3"/>
          <w:sz w:val="18"/>
        </w:rPr>
        <w:t>Holloway,</w:t>
      </w:r>
      <w:r>
        <w:rPr>
          <w:spacing w:val="-17"/>
          <w:sz w:val="18"/>
        </w:rPr>
        <w:t> </w:t>
      </w:r>
      <w:r>
        <w:rPr>
          <w:spacing w:val="-8"/>
          <w:sz w:val="18"/>
        </w:rPr>
        <w:t>F.</w:t>
      </w:r>
      <w:r>
        <w:rPr>
          <w:spacing w:val="-16"/>
          <w:sz w:val="18"/>
        </w:rPr>
        <w:t> </w:t>
      </w:r>
      <w:r>
        <w:rPr>
          <w:sz w:val="18"/>
        </w:rPr>
        <w:t>May</w:t>
      </w:r>
      <w:r>
        <w:rPr>
          <w:spacing w:val="-17"/>
          <w:sz w:val="18"/>
        </w:rPr>
        <w:t> </w:t>
      </w:r>
      <w:r>
        <w:rPr>
          <w:sz w:val="18"/>
        </w:rPr>
        <w:t>and</w:t>
      </w:r>
      <w:r>
        <w:rPr>
          <w:spacing w:val="-26"/>
          <w:sz w:val="18"/>
        </w:rPr>
        <w:t> </w:t>
      </w:r>
      <w:r>
        <w:rPr>
          <w:sz w:val="18"/>
        </w:rPr>
        <w:t>A.</w:t>
      </w:r>
      <w:r>
        <w:rPr>
          <w:spacing w:val="-19"/>
          <w:sz w:val="18"/>
        </w:rPr>
        <w:t> </w:t>
      </w:r>
      <w:r>
        <w:rPr>
          <w:sz w:val="18"/>
        </w:rPr>
        <w:t>Wildenborg, 2005: Assessing European potential for geological storage  of CO - the GESTCO project. Proceedings of the 7</w:t>
      </w:r>
      <w:r>
        <w:rPr>
          <w:position w:val="6"/>
          <w:sz w:val="10"/>
        </w:rPr>
        <w:t>th </w:t>
      </w:r>
      <w:r>
        <w:rPr>
          <w:sz w:val="18"/>
        </w:rPr>
        <w:t>International Conference</w:t>
      </w:r>
      <w:r>
        <w:rPr>
          <w:spacing w:val="-7"/>
          <w:sz w:val="18"/>
        </w:rPr>
        <w:t> </w:t>
      </w:r>
      <w:r>
        <w:rPr>
          <w:sz w:val="18"/>
        </w:rPr>
        <w:t>on</w:t>
      </w:r>
      <w:r>
        <w:rPr>
          <w:spacing w:val="-6"/>
          <w:sz w:val="18"/>
        </w:rPr>
        <w:t> </w:t>
      </w:r>
      <w:r>
        <w:rPr>
          <w:sz w:val="18"/>
        </w:rPr>
        <w:t>Greenhouse</w:t>
      </w:r>
      <w:r>
        <w:rPr>
          <w:spacing w:val="-7"/>
          <w:sz w:val="18"/>
        </w:rPr>
        <w:t> </w:t>
      </w:r>
      <w:r>
        <w:rPr>
          <w:sz w:val="18"/>
        </w:rPr>
        <w:t>Gas</w:t>
      </w:r>
      <w:r>
        <w:rPr>
          <w:spacing w:val="-6"/>
          <w:sz w:val="18"/>
        </w:rPr>
        <w:t> </w:t>
      </w:r>
      <w:r>
        <w:rPr>
          <w:sz w:val="18"/>
        </w:rPr>
        <w:t>Control</w:t>
      </w:r>
      <w:r>
        <w:rPr>
          <w:spacing w:val="-9"/>
          <w:sz w:val="18"/>
        </w:rPr>
        <w:t> </w:t>
      </w:r>
      <w:r>
        <w:rPr>
          <w:sz w:val="18"/>
        </w:rPr>
        <w:t>Technologies</w:t>
      </w:r>
      <w:r>
        <w:rPr>
          <w:spacing w:val="-7"/>
          <w:sz w:val="18"/>
        </w:rPr>
        <w:t> </w:t>
      </w:r>
      <w:r>
        <w:rPr>
          <w:sz w:val="18"/>
        </w:rPr>
        <w:t>(GHGT-7), September 5–9, 2004, </w:t>
      </w:r>
      <w:r>
        <w:rPr>
          <w:spacing w:val="-3"/>
          <w:sz w:val="18"/>
        </w:rPr>
        <w:t>Vancouver,</w:t>
      </w:r>
      <w:r>
        <w:rPr>
          <w:spacing w:val="-6"/>
          <w:sz w:val="18"/>
        </w:rPr>
        <w:t> </w:t>
      </w:r>
      <w:r>
        <w:rPr>
          <w:sz w:val="18"/>
        </w:rPr>
        <w:t>Canada.</w:t>
      </w:r>
    </w:p>
    <w:p>
      <w:pPr>
        <w:spacing w:line="230" w:lineRule="auto" w:before="4"/>
        <w:ind w:left="894" w:right="0" w:hanging="341"/>
        <w:jc w:val="both"/>
        <w:rPr>
          <w:sz w:val="18"/>
        </w:rPr>
      </w:pPr>
      <w:r>
        <w:rPr>
          <w:b/>
          <w:sz w:val="18"/>
        </w:rPr>
        <w:t>Law, </w:t>
      </w:r>
      <w:r>
        <w:rPr>
          <w:sz w:val="18"/>
        </w:rPr>
        <w:t>D. (ed.), 2005: Theme 3: CO</w:t>
      </w:r>
      <w:r>
        <w:rPr>
          <w:position w:val="-5"/>
          <w:sz w:val="10"/>
        </w:rPr>
        <w:t>2 </w:t>
      </w:r>
      <w:r>
        <w:rPr>
          <w:sz w:val="18"/>
        </w:rPr>
        <w:t>Storage Capacity and Distribution Predictions and the Application of Economic Limits. In: IEA</w:t>
      </w:r>
    </w:p>
    <w:p>
      <w:pPr>
        <w:spacing w:line="240" w:lineRule="exact" w:before="11"/>
        <w:ind w:left="894" w:right="8" w:firstLine="0"/>
        <w:jc w:val="both"/>
        <w:rPr>
          <w:sz w:val="18"/>
        </w:rPr>
      </w:pPr>
      <w:r>
        <w:rPr>
          <w:sz w:val="18"/>
        </w:rPr>
        <w:t>GHG Weyburn CO</w:t>
      </w:r>
      <w:r>
        <w:rPr>
          <w:position w:val="-5"/>
          <w:sz w:val="10"/>
        </w:rPr>
        <w:t>2 </w:t>
      </w:r>
      <w:r>
        <w:rPr>
          <w:sz w:val="18"/>
        </w:rPr>
        <w:t>Monitoring and Storage Project Summary Report 2000–2004, M. Wilson and M. Monea (eds.), Proceedings of the 7</w:t>
      </w:r>
      <w:r>
        <w:rPr>
          <w:position w:val="6"/>
          <w:sz w:val="10"/>
        </w:rPr>
        <w:t>th </w:t>
      </w:r>
      <w:r>
        <w:rPr>
          <w:sz w:val="18"/>
        </w:rPr>
        <w:t>International Conference on Greenhouse Gas Control Technologies (GHGT7), Volume III, p 151–209.</w:t>
      </w:r>
    </w:p>
    <w:p>
      <w:pPr>
        <w:spacing w:line="278" w:lineRule="auto" w:before="24"/>
        <w:ind w:left="894" w:right="7" w:hanging="341"/>
        <w:jc w:val="both"/>
        <w:rPr>
          <w:sz w:val="18"/>
        </w:rPr>
      </w:pPr>
      <w:r>
        <w:rPr>
          <w:b/>
          <w:spacing w:val="-3"/>
          <w:sz w:val="18"/>
        </w:rPr>
        <w:t>Law,</w:t>
      </w:r>
      <w:r>
        <w:rPr>
          <w:b/>
          <w:spacing w:val="-22"/>
          <w:sz w:val="18"/>
        </w:rPr>
        <w:t> </w:t>
      </w:r>
      <w:r>
        <w:rPr>
          <w:sz w:val="18"/>
        </w:rPr>
        <w:t>D.H.-S.,</w:t>
      </w:r>
      <w:r>
        <w:rPr>
          <w:spacing w:val="-22"/>
          <w:sz w:val="18"/>
        </w:rPr>
        <w:t> </w:t>
      </w:r>
      <w:r>
        <w:rPr>
          <w:sz w:val="18"/>
        </w:rPr>
        <w:t>L.G.H.</w:t>
      </w:r>
      <w:r>
        <w:rPr>
          <w:spacing w:val="-21"/>
          <w:sz w:val="18"/>
        </w:rPr>
        <w:t> </w:t>
      </w:r>
      <w:r>
        <w:rPr>
          <w:sz w:val="18"/>
        </w:rPr>
        <w:t>van</w:t>
      </w:r>
      <w:r>
        <w:rPr>
          <w:spacing w:val="-22"/>
          <w:sz w:val="18"/>
        </w:rPr>
        <w:t> </w:t>
      </w:r>
      <w:r>
        <w:rPr>
          <w:sz w:val="18"/>
        </w:rPr>
        <w:t>der</w:t>
      </w:r>
      <w:r>
        <w:rPr>
          <w:spacing w:val="-22"/>
          <w:sz w:val="18"/>
        </w:rPr>
        <w:t> </w:t>
      </w:r>
      <w:r>
        <w:rPr>
          <w:sz w:val="18"/>
        </w:rPr>
        <w:t>Meer</w:t>
      </w:r>
      <w:r>
        <w:rPr>
          <w:spacing w:val="-21"/>
          <w:sz w:val="18"/>
        </w:rPr>
        <w:t> </w:t>
      </w:r>
      <w:r>
        <w:rPr>
          <w:sz w:val="18"/>
        </w:rPr>
        <w:t>and</w:t>
      </w:r>
      <w:r>
        <w:rPr>
          <w:spacing w:val="-25"/>
          <w:sz w:val="18"/>
        </w:rPr>
        <w:t> </w:t>
      </w:r>
      <w:r>
        <w:rPr>
          <w:spacing w:val="-5"/>
          <w:sz w:val="18"/>
        </w:rPr>
        <w:t>W.D.</w:t>
      </w:r>
      <w:r>
        <w:rPr>
          <w:spacing w:val="-21"/>
          <w:sz w:val="18"/>
        </w:rPr>
        <w:t> </w:t>
      </w:r>
      <w:r>
        <w:rPr>
          <w:sz w:val="18"/>
        </w:rPr>
        <w:t>Gunter,</w:t>
      </w:r>
      <w:r>
        <w:rPr>
          <w:spacing w:val="-22"/>
          <w:sz w:val="18"/>
        </w:rPr>
        <w:t> </w:t>
      </w:r>
      <w:r>
        <w:rPr>
          <w:sz w:val="18"/>
        </w:rPr>
        <w:t>2003:</w:t>
      </w:r>
      <w:r>
        <w:rPr>
          <w:spacing w:val="-22"/>
          <w:sz w:val="18"/>
        </w:rPr>
        <w:t> </w:t>
      </w:r>
      <w:r>
        <w:rPr>
          <w:sz w:val="18"/>
        </w:rPr>
        <w:t>Comparison of numerical simulators for greenhouse gas storage in coal beds, Part II: Flue gas injection. Proceedings of the 6</w:t>
      </w:r>
      <w:r>
        <w:rPr>
          <w:position w:val="6"/>
          <w:sz w:val="10"/>
        </w:rPr>
        <w:t>th </w:t>
      </w:r>
      <w:r>
        <w:rPr>
          <w:sz w:val="18"/>
        </w:rPr>
        <w:t>International Conference on Greenhouse Gas Control Technologies </w:t>
      </w:r>
      <w:r>
        <w:rPr>
          <w:spacing w:val="-3"/>
          <w:sz w:val="18"/>
        </w:rPr>
        <w:t>(GHGT- </w:t>
      </w:r>
      <w:r>
        <w:rPr>
          <w:sz w:val="18"/>
        </w:rPr>
        <w:t>6), J. Gale and </w:t>
      </w:r>
      <w:r>
        <w:rPr>
          <w:spacing w:val="-12"/>
          <w:sz w:val="18"/>
        </w:rPr>
        <w:t>Y. </w:t>
      </w:r>
      <w:r>
        <w:rPr>
          <w:sz w:val="18"/>
        </w:rPr>
        <w:t>Kaya (eds.), 1–4 October 2002, Kyoto, Japan, Pergamon, </w:t>
      </w:r>
      <w:r>
        <w:rPr>
          <w:spacing w:val="-3"/>
          <w:sz w:val="18"/>
        </w:rPr>
        <w:t>v.I,</w:t>
      </w:r>
      <w:r>
        <w:rPr>
          <w:spacing w:val="-1"/>
          <w:sz w:val="18"/>
        </w:rPr>
        <w:t> </w:t>
      </w:r>
      <w:r>
        <w:rPr>
          <w:sz w:val="18"/>
        </w:rPr>
        <w:t>563–568.</w:t>
      </w:r>
    </w:p>
    <w:p>
      <w:pPr>
        <w:spacing w:line="278" w:lineRule="auto" w:before="0"/>
        <w:ind w:left="894" w:right="7" w:hanging="341"/>
        <w:jc w:val="both"/>
        <w:rPr>
          <w:sz w:val="18"/>
        </w:rPr>
      </w:pPr>
      <w:r>
        <w:rPr>
          <w:b/>
          <w:sz w:val="18"/>
        </w:rPr>
        <w:t>Lee, </w:t>
      </w:r>
      <w:r>
        <w:rPr>
          <w:sz w:val="18"/>
        </w:rPr>
        <w:t>A.M., 2001: The Hutchinson Gas Explosions: Unravelling a Geologic Mystery, Kansas Bar Association, 26</w:t>
      </w:r>
      <w:r>
        <w:rPr>
          <w:position w:val="6"/>
          <w:sz w:val="10"/>
        </w:rPr>
        <w:t>th </w:t>
      </w:r>
      <w:r>
        <w:rPr>
          <w:sz w:val="18"/>
        </w:rPr>
        <w:t>Annual KBA/ KIOGA Oil and Gas Law Conference, v1, p3-1 to 3-29.</w:t>
      </w:r>
    </w:p>
    <w:p>
      <w:pPr>
        <w:spacing w:line="278" w:lineRule="auto" w:before="0"/>
        <w:ind w:left="894" w:right="6" w:hanging="341"/>
        <w:jc w:val="both"/>
        <w:rPr>
          <w:sz w:val="18"/>
        </w:rPr>
      </w:pPr>
      <w:r>
        <w:rPr>
          <w:b/>
          <w:sz w:val="18"/>
        </w:rPr>
        <w:t>Lenstra, </w:t>
      </w:r>
      <w:r>
        <w:rPr>
          <w:spacing w:val="-5"/>
          <w:sz w:val="18"/>
        </w:rPr>
        <w:t>W.J. </w:t>
      </w:r>
      <w:r>
        <w:rPr>
          <w:sz w:val="18"/>
        </w:rPr>
        <w:t>and </w:t>
      </w:r>
      <w:r>
        <w:rPr>
          <w:spacing w:val="-3"/>
          <w:sz w:val="18"/>
        </w:rPr>
        <w:t>B.C.W. </w:t>
      </w:r>
      <w:r>
        <w:rPr>
          <w:sz w:val="18"/>
        </w:rPr>
        <w:t>van Engelenburg, 2002: Legal and </w:t>
      </w:r>
      <w:r>
        <w:rPr>
          <w:spacing w:val="-3"/>
          <w:sz w:val="18"/>
        </w:rPr>
        <w:t>policy </w:t>
      </w:r>
      <w:r>
        <w:rPr>
          <w:sz w:val="18"/>
        </w:rPr>
        <w:t>aspects: impact on the development of CO</w:t>
      </w:r>
      <w:r>
        <w:rPr>
          <w:position w:val="-5"/>
          <w:sz w:val="10"/>
        </w:rPr>
        <w:t>2  </w:t>
      </w:r>
      <w:r>
        <w:rPr>
          <w:sz w:val="18"/>
        </w:rPr>
        <w:t>storage. </w:t>
      </w:r>
      <w:r>
        <w:rPr>
          <w:spacing w:val="5"/>
          <w:sz w:val="18"/>
        </w:rPr>
        <w:t> </w:t>
      </w:r>
      <w:r>
        <w:rPr>
          <w:sz w:val="18"/>
        </w:rPr>
        <w:t>Proceedings</w:t>
      </w:r>
    </w:p>
    <w:p>
      <w:pPr>
        <w:spacing w:line="164" w:lineRule="exact" w:before="0"/>
        <w:ind w:left="894" w:right="0" w:firstLine="0"/>
        <w:jc w:val="both"/>
        <w:rPr>
          <w:sz w:val="18"/>
        </w:rPr>
      </w:pPr>
      <w:r>
        <w:rPr>
          <w:sz w:val="18"/>
        </w:rPr>
        <w:t>of  IPCC  </w:t>
      </w:r>
      <w:r>
        <w:rPr>
          <w:spacing w:val="-3"/>
          <w:sz w:val="18"/>
        </w:rPr>
        <w:t>Working   </w:t>
      </w:r>
      <w:r>
        <w:rPr>
          <w:sz w:val="18"/>
        </w:rPr>
        <w:t>Group  III:  Mitigation  of  Climate  </w:t>
      </w:r>
      <w:r>
        <w:rPr>
          <w:spacing w:val="17"/>
          <w:sz w:val="18"/>
        </w:rPr>
        <w:t> </w:t>
      </w:r>
      <w:r>
        <w:rPr>
          <w:sz w:val="18"/>
        </w:rPr>
        <w:t>Change</w:t>
      </w:r>
    </w:p>
    <w:p>
      <w:pPr>
        <w:spacing w:line="278" w:lineRule="auto" w:before="32"/>
        <w:ind w:left="894" w:right="9" w:firstLine="0"/>
        <w:jc w:val="both"/>
        <w:rPr>
          <w:sz w:val="18"/>
        </w:rPr>
      </w:pPr>
      <w:r>
        <w:rPr>
          <w:sz w:val="18"/>
        </w:rPr>
        <w:t>Workshop on Carbon Dioxide Capture and Storage, Regina, Canada, 18–21, November, 2002.</w:t>
      </w:r>
    </w:p>
    <w:p>
      <w:pPr>
        <w:spacing w:line="278" w:lineRule="auto" w:before="0"/>
        <w:ind w:left="894" w:right="6" w:hanging="341"/>
        <w:jc w:val="both"/>
        <w:rPr>
          <w:sz w:val="18"/>
        </w:rPr>
      </w:pPr>
      <w:r>
        <w:rPr>
          <w:b/>
          <w:sz w:val="18"/>
        </w:rPr>
        <w:t>Leone, </w:t>
      </w:r>
      <w:r>
        <w:rPr>
          <w:sz w:val="18"/>
        </w:rPr>
        <w:t>I.A., F.B. Flower, J.J. Arthur and E.F. Gilman, 1977: Damage To Woody Species By Anaerobic Landfill Gases. </w:t>
      </w:r>
      <w:r>
        <w:rPr>
          <w:i/>
          <w:sz w:val="18"/>
        </w:rPr>
        <w:t>Journal of </w:t>
      </w:r>
      <w:r>
        <w:rPr>
          <w:i/>
          <w:sz w:val="18"/>
        </w:rPr>
        <w:t>Arboriculture</w:t>
      </w:r>
      <w:r>
        <w:rPr>
          <w:sz w:val="18"/>
        </w:rPr>
        <w:t>, </w:t>
      </w:r>
      <w:r>
        <w:rPr>
          <w:b/>
          <w:sz w:val="18"/>
        </w:rPr>
        <w:t>3</w:t>
      </w:r>
      <w:r>
        <w:rPr>
          <w:sz w:val="18"/>
        </w:rPr>
        <w:t>(12), 221–225.</w:t>
      </w:r>
    </w:p>
    <w:p>
      <w:pPr>
        <w:spacing w:line="278" w:lineRule="auto" w:before="0"/>
        <w:ind w:left="894" w:right="8" w:hanging="341"/>
        <w:jc w:val="both"/>
        <w:rPr>
          <w:sz w:val="18"/>
        </w:rPr>
      </w:pPr>
      <w:r>
        <w:rPr>
          <w:b/>
          <w:sz w:val="18"/>
        </w:rPr>
        <w:t>Lichtner,</w:t>
      </w:r>
      <w:r>
        <w:rPr>
          <w:b/>
          <w:spacing w:val="-15"/>
          <w:sz w:val="18"/>
        </w:rPr>
        <w:t> </w:t>
      </w:r>
      <w:r>
        <w:rPr>
          <w:spacing w:val="-4"/>
          <w:sz w:val="18"/>
        </w:rPr>
        <w:t>P.C.,</w:t>
      </w:r>
      <w:r>
        <w:rPr>
          <w:spacing w:val="-15"/>
          <w:sz w:val="18"/>
        </w:rPr>
        <w:t> </w:t>
      </w:r>
      <w:r>
        <w:rPr>
          <w:sz w:val="18"/>
        </w:rPr>
        <w:t>2001:</w:t>
      </w:r>
      <w:r>
        <w:rPr>
          <w:spacing w:val="-14"/>
          <w:sz w:val="18"/>
        </w:rPr>
        <w:t> </w:t>
      </w:r>
      <w:r>
        <w:rPr>
          <w:sz w:val="18"/>
        </w:rPr>
        <w:t>FLOTRAN</w:t>
      </w:r>
      <w:r>
        <w:rPr>
          <w:spacing w:val="-15"/>
          <w:sz w:val="18"/>
        </w:rPr>
        <w:t> </w:t>
      </w:r>
      <w:r>
        <w:rPr>
          <w:sz w:val="18"/>
        </w:rPr>
        <w:t>User’s</w:t>
      </w:r>
      <w:r>
        <w:rPr>
          <w:spacing w:val="-15"/>
          <w:sz w:val="18"/>
        </w:rPr>
        <w:t> </w:t>
      </w:r>
      <w:r>
        <w:rPr>
          <w:sz w:val="18"/>
        </w:rPr>
        <w:t>Manual.</w:t>
      </w:r>
      <w:r>
        <w:rPr>
          <w:spacing w:val="-14"/>
          <w:sz w:val="18"/>
        </w:rPr>
        <w:t> </w:t>
      </w:r>
      <w:r>
        <w:rPr>
          <w:sz w:val="18"/>
        </w:rPr>
        <w:t>Los</w:t>
      </w:r>
      <w:r>
        <w:rPr>
          <w:spacing w:val="-24"/>
          <w:sz w:val="18"/>
        </w:rPr>
        <w:t> </w:t>
      </w:r>
      <w:r>
        <w:rPr>
          <w:sz w:val="18"/>
        </w:rPr>
        <w:t>Alamos</w:t>
      </w:r>
      <w:r>
        <w:rPr>
          <w:spacing w:val="-14"/>
          <w:sz w:val="18"/>
        </w:rPr>
        <w:t> </w:t>
      </w:r>
      <w:r>
        <w:rPr>
          <w:sz w:val="18"/>
        </w:rPr>
        <w:t>National Laboratory Report LA-UR-01-2349, Los Alamos, NM,</w:t>
      </w:r>
      <w:r>
        <w:rPr>
          <w:spacing w:val="-16"/>
          <w:sz w:val="18"/>
        </w:rPr>
        <w:t> </w:t>
      </w:r>
      <w:r>
        <w:rPr>
          <w:sz w:val="18"/>
        </w:rPr>
        <w:t>2001.</w:t>
      </w:r>
    </w:p>
    <w:p>
      <w:pPr>
        <w:spacing w:line="230" w:lineRule="auto" w:before="4"/>
        <w:ind w:left="894" w:right="6" w:hanging="341"/>
        <w:jc w:val="both"/>
        <w:rPr>
          <w:sz w:val="18"/>
        </w:rPr>
      </w:pPr>
      <w:r>
        <w:rPr>
          <w:b/>
          <w:sz w:val="18"/>
        </w:rPr>
        <w:t>Lindeberg,</w:t>
      </w:r>
      <w:r>
        <w:rPr>
          <w:b/>
          <w:spacing w:val="-13"/>
          <w:sz w:val="18"/>
        </w:rPr>
        <w:t> </w:t>
      </w:r>
      <w:r>
        <w:rPr>
          <w:sz w:val="18"/>
        </w:rPr>
        <w:t>E.</w:t>
      </w:r>
      <w:r>
        <w:rPr>
          <w:spacing w:val="-12"/>
          <w:sz w:val="18"/>
        </w:rPr>
        <w:t> </w:t>
      </w:r>
      <w:r>
        <w:rPr>
          <w:sz w:val="18"/>
        </w:rPr>
        <w:t>and</w:t>
      </w:r>
      <w:r>
        <w:rPr>
          <w:spacing w:val="-12"/>
          <w:sz w:val="18"/>
        </w:rPr>
        <w:t> </w:t>
      </w:r>
      <w:r>
        <w:rPr>
          <w:spacing w:val="-10"/>
          <w:sz w:val="18"/>
        </w:rPr>
        <w:t>P.</w:t>
      </w:r>
      <w:r>
        <w:rPr>
          <w:spacing w:val="-12"/>
          <w:sz w:val="18"/>
        </w:rPr>
        <w:t> </w:t>
      </w:r>
      <w:r>
        <w:rPr>
          <w:sz w:val="18"/>
        </w:rPr>
        <w:t>Bergmo,</w:t>
      </w:r>
      <w:r>
        <w:rPr>
          <w:spacing w:val="-13"/>
          <w:sz w:val="18"/>
        </w:rPr>
        <w:t> </w:t>
      </w:r>
      <w:r>
        <w:rPr>
          <w:sz w:val="18"/>
        </w:rPr>
        <w:t>2003:</w:t>
      </w:r>
      <w:r>
        <w:rPr>
          <w:spacing w:val="-15"/>
          <w:sz w:val="18"/>
        </w:rPr>
        <w:t> </w:t>
      </w:r>
      <w:r>
        <w:rPr>
          <w:sz w:val="18"/>
        </w:rPr>
        <w:t>The</w:t>
      </w:r>
      <w:r>
        <w:rPr>
          <w:spacing w:val="-12"/>
          <w:sz w:val="18"/>
        </w:rPr>
        <w:t> </w:t>
      </w:r>
      <w:r>
        <w:rPr>
          <w:sz w:val="18"/>
        </w:rPr>
        <w:t>long-term</w:t>
      </w:r>
      <w:r>
        <w:rPr>
          <w:spacing w:val="-12"/>
          <w:sz w:val="18"/>
        </w:rPr>
        <w:t> </w:t>
      </w:r>
      <w:r>
        <w:rPr>
          <w:sz w:val="18"/>
        </w:rPr>
        <w:t>fate</w:t>
      </w:r>
      <w:r>
        <w:rPr>
          <w:spacing w:val="-12"/>
          <w:sz w:val="18"/>
        </w:rPr>
        <w:t> </w:t>
      </w:r>
      <w:r>
        <w:rPr>
          <w:sz w:val="18"/>
        </w:rPr>
        <w:t>of</w:t>
      </w:r>
      <w:r>
        <w:rPr>
          <w:spacing w:val="-13"/>
          <w:sz w:val="18"/>
        </w:rPr>
        <w:t> </w:t>
      </w:r>
      <w:r>
        <w:rPr>
          <w:sz w:val="18"/>
        </w:rPr>
        <w:t>CO</w:t>
      </w:r>
      <w:r>
        <w:rPr>
          <w:position w:val="-5"/>
          <w:sz w:val="10"/>
        </w:rPr>
        <w:t>2</w:t>
      </w:r>
      <w:r>
        <w:rPr>
          <w:spacing w:val="8"/>
          <w:position w:val="-5"/>
          <w:sz w:val="10"/>
        </w:rPr>
        <w:t> </w:t>
      </w:r>
      <w:r>
        <w:rPr>
          <w:sz w:val="18"/>
        </w:rPr>
        <w:t>injected into</w:t>
      </w:r>
      <w:r>
        <w:rPr>
          <w:spacing w:val="21"/>
          <w:sz w:val="18"/>
        </w:rPr>
        <w:t> </w:t>
      </w:r>
      <w:r>
        <w:rPr>
          <w:sz w:val="18"/>
        </w:rPr>
        <w:t>an</w:t>
      </w:r>
      <w:r>
        <w:rPr>
          <w:spacing w:val="22"/>
          <w:sz w:val="18"/>
        </w:rPr>
        <w:t> </w:t>
      </w:r>
      <w:r>
        <w:rPr>
          <w:sz w:val="18"/>
        </w:rPr>
        <w:t>aquifer.</w:t>
      </w:r>
      <w:r>
        <w:rPr>
          <w:spacing w:val="22"/>
          <w:sz w:val="18"/>
        </w:rPr>
        <w:t> </w:t>
      </w:r>
      <w:r>
        <w:rPr>
          <w:sz w:val="18"/>
        </w:rPr>
        <w:t>Proceedings</w:t>
      </w:r>
      <w:r>
        <w:rPr>
          <w:spacing w:val="22"/>
          <w:sz w:val="18"/>
        </w:rPr>
        <w:t> </w:t>
      </w:r>
      <w:r>
        <w:rPr>
          <w:sz w:val="18"/>
        </w:rPr>
        <w:t>of</w:t>
      </w:r>
      <w:r>
        <w:rPr>
          <w:spacing w:val="22"/>
          <w:sz w:val="18"/>
        </w:rPr>
        <w:t> </w:t>
      </w:r>
      <w:r>
        <w:rPr>
          <w:sz w:val="18"/>
        </w:rPr>
        <w:t>the</w:t>
      </w:r>
      <w:r>
        <w:rPr>
          <w:spacing w:val="22"/>
          <w:sz w:val="18"/>
        </w:rPr>
        <w:t> </w:t>
      </w:r>
      <w:r>
        <w:rPr>
          <w:sz w:val="18"/>
        </w:rPr>
        <w:t>6</w:t>
      </w:r>
      <w:r>
        <w:rPr>
          <w:position w:val="6"/>
          <w:sz w:val="10"/>
        </w:rPr>
        <w:t>th </w:t>
      </w:r>
      <w:r>
        <w:rPr>
          <w:spacing w:val="17"/>
          <w:position w:val="6"/>
          <w:sz w:val="10"/>
        </w:rPr>
        <w:t> </w:t>
      </w:r>
      <w:r>
        <w:rPr>
          <w:sz w:val="18"/>
        </w:rPr>
        <w:t>International</w:t>
      </w:r>
      <w:r>
        <w:rPr>
          <w:spacing w:val="22"/>
          <w:sz w:val="18"/>
        </w:rPr>
        <w:t> </w:t>
      </w:r>
      <w:r>
        <w:rPr>
          <w:sz w:val="18"/>
        </w:rPr>
        <w:t>Conference</w:t>
      </w:r>
    </w:p>
    <w:p>
      <w:pPr>
        <w:spacing w:before="35"/>
        <w:ind w:left="894" w:right="0" w:firstLine="0"/>
        <w:jc w:val="both"/>
        <w:rPr>
          <w:sz w:val="18"/>
        </w:rPr>
      </w:pPr>
      <w:r>
        <w:rPr>
          <w:sz w:val="18"/>
        </w:rPr>
        <w:t>on Greenhouse Gas Control Technologies (GHGT-6), J. Gale</w:t>
      </w:r>
      <w:r>
        <w:rPr>
          <w:spacing w:val="-24"/>
          <w:sz w:val="18"/>
        </w:rPr>
        <w:t> </w:t>
      </w:r>
      <w:r>
        <w:rPr>
          <w:sz w:val="18"/>
        </w:rPr>
        <w:t>and</w:t>
      </w:r>
    </w:p>
    <w:p>
      <w:pPr>
        <w:spacing w:line="278" w:lineRule="auto" w:before="33"/>
        <w:ind w:left="894" w:right="9" w:firstLine="0"/>
        <w:jc w:val="both"/>
        <w:rPr>
          <w:sz w:val="18"/>
        </w:rPr>
      </w:pPr>
      <w:r>
        <w:rPr>
          <w:sz w:val="18"/>
        </w:rPr>
        <w:t>Y. Kaya (eds.), 1–4 October 2002, Kyoto, Japan, Pergamon, v.I, 489–494.</w:t>
      </w:r>
    </w:p>
    <w:p>
      <w:pPr>
        <w:spacing w:line="278" w:lineRule="auto" w:before="0"/>
        <w:ind w:left="894" w:right="6" w:hanging="341"/>
        <w:jc w:val="both"/>
        <w:rPr>
          <w:i/>
          <w:sz w:val="18"/>
        </w:rPr>
      </w:pPr>
      <w:r>
        <w:rPr>
          <w:b/>
          <w:sz w:val="18"/>
        </w:rPr>
        <w:t>Lindeberg, </w:t>
      </w:r>
      <w:r>
        <w:rPr>
          <w:sz w:val="18"/>
        </w:rPr>
        <w:t>E. and D. Wessel-Berg, 1997: Vertical convection in an aquifer column under a gas cap of CO</w:t>
      </w:r>
      <w:r>
        <w:rPr>
          <w:position w:val="-5"/>
          <w:sz w:val="10"/>
        </w:rPr>
        <w:t>2</w:t>
      </w:r>
      <w:r>
        <w:rPr>
          <w:sz w:val="18"/>
        </w:rPr>
        <w:t>. </w:t>
      </w:r>
      <w:r>
        <w:rPr>
          <w:i/>
          <w:sz w:val="18"/>
        </w:rPr>
        <w:t>Energy Conversion and</w:t>
      </w:r>
    </w:p>
    <w:p>
      <w:pPr>
        <w:spacing w:line="164" w:lineRule="exact" w:before="0"/>
        <w:ind w:left="894" w:right="0" w:firstLine="0"/>
        <w:jc w:val="both"/>
        <w:rPr>
          <w:sz w:val="18"/>
        </w:rPr>
      </w:pPr>
      <w:r>
        <w:rPr>
          <w:i/>
          <w:sz w:val="18"/>
        </w:rPr>
        <w:t>Management</w:t>
      </w:r>
      <w:r>
        <w:rPr>
          <w:sz w:val="18"/>
        </w:rPr>
        <w:t>, </w:t>
      </w:r>
      <w:r>
        <w:rPr>
          <w:b/>
          <w:sz w:val="18"/>
        </w:rPr>
        <w:t>38</w:t>
      </w:r>
      <w:r>
        <w:rPr>
          <w:sz w:val="18"/>
        </w:rPr>
        <w:t>(Suppl.), S229–S234.</w:t>
      </w:r>
    </w:p>
    <w:p>
      <w:pPr>
        <w:spacing w:line="240" w:lineRule="exact" w:before="9"/>
        <w:ind w:left="894" w:right="6" w:hanging="341"/>
        <w:jc w:val="both"/>
        <w:rPr>
          <w:sz w:val="18"/>
        </w:rPr>
      </w:pPr>
      <w:r>
        <w:rPr>
          <w:b/>
          <w:sz w:val="18"/>
        </w:rPr>
        <w:t>Lindeberg, </w:t>
      </w:r>
      <w:r>
        <w:rPr>
          <w:sz w:val="18"/>
        </w:rPr>
        <w:t>E., A. Ghaderi, </w:t>
      </w:r>
      <w:r>
        <w:rPr>
          <w:spacing w:val="-10"/>
          <w:sz w:val="18"/>
        </w:rPr>
        <w:t>P. </w:t>
      </w:r>
      <w:r>
        <w:rPr>
          <w:sz w:val="18"/>
        </w:rPr>
        <w:t>Zweigel and A. Lothe, 2001: Prediction of CO</w:t>
      </w:r>
      <w:r>
        <w:rPr>
          <w:position w:val="-5"/>
          <w:sz w:val="10"/>
        </w:rPr>
        <w:t>2 </w:t>
      </w:r>
      <w:r>
        <w:rPr>
          <w:sz w:val="18"/>
        </w:rPr>
        <w:t>dispersal pattern improved by geology and reservoir simulation and  verified  by  time  lapse  seismic,  Proceedings  of 5</w:t>
      </w:r>
      <w:r>
        <w:rPr>
          <w:position w:val="6"/>
          <w:sz w:val="10"/>
        </w:rPr>
        <w:t>th </w:t>
      </w:r>
      <w:r>
        <w:rPr>
          <w:sz w:val="18"/>
        </w:rPr>
        <w:t>International Conference on Greenhouse Gas Control Technologies, D.J. Williams, R.A. Durie, </w:t>
      </w:r>
      <w:r>
        <w:rPr>
          <w:spacing w:val="-10"/>
          <w:sz w:val="18"/>
        </w:rPr>
        <w:t>P. </w:t>
      </w:r>
      <w:r>
        <w:rPr>
          <w:sz w:val="18"/>
        </w:rPr>
        <w:t>McMullan, C.A.J. Paulson and </w:t>
      </w:r>
      <w:r>
        <w:rPr>
          <w:spacing w:val="-7"/>
          <w:sz w:val="18"/>
        </w:rPr>
        <w:t>A.Y. </w:t>
      </w:r>
      <w:r>
        <w:rPr>
          <w:sz w:val="18"/>
        </w:rPr>
        <w:t>Smith (eds.), CSIRO, Melbourne, Australia. pp. 372–377.</w:t>
      </w:r>
    </w:p>
    <w:p>
      <w:pPr>
        <w:spacing w:line="278" w:lineRule="auto" w:before="67"/>
        <w:ind w:left="531" w:right="132" w:hanging="341"/>
        <w:jc w:val="both"/>
        <w:rPr>
          <w:sz w:val="18"/>
        </w:rPr>
      </w:pPr>
      <w:r>
        <w:rPr/>
        <w:br w:type="column"/>
      </w:r>
      <w:r>
        <w:rPr>
          <w:b/>
          <w:sz w:val="18"/>
        </w:rPr>
        <w:t>Lippmann, </w:t>
      </w:r>
      <w:r>
        <w:rPr>
          <w:sz w:val="18"/>
        </w:rPr>
        <w:t>M.J. and S.M. Benson, 2003: Relevance of underground natural gas storage to geologic sequestration of carbon dioxide. Department</w:t>
      </w:r>
      <w:r>
        <w:rPr>
          <w:spacing w:val="-10"/>
          <w:sz w:val="18"/>
        </w:rPr>
        <w:t> </w:t>
      </w:r>
      <w:r>
        <w:rPr>
          <w:sz w:val="18"/>
        </w:rPr>
        <w:t>of</w:t>
      </w:r>
      <w:r>
        <w:rPr>
          <w:spacing w:val="-8"/>
          <w:sz w:val="18"/>
        </w:rPr>
        <w:t> </w:t>
      </w:r>
      <w:r>
        <w:rPr>
          <w:sz w:val="18"/>
        </w:rPr>
        <w:t>Energy’s</w:t>
      </w:r>
      <w:r>
        <w:rPr>
          <w:spacing w:val="-10"/>
          <w:sz w:val="18"/>
        </w:rPr>
        <w:t> </w:t>
      </w:r>
      <w:r>
        <w:rPr>
          <w:sz w:val="18"/>
        </w:rPr>
        <w:t>Information</w:t>
      </w:r>
      <w:r>
        <w:rPr>
          <w:spacing w:val="-9"/>
          <w:sz w:val="18"/>
        </w:rPr>
        <w:t> </w:t>
      </w:r>
      <w:r>
        <w:rPr>
          <w:sz w:val="18"/>
        </w:rPr>
        <w:t>Bridge,</w:t>
      </w:r>
      <w:r>
        <w:rPr>
          <w:spacing w:val="-10"/>
          <w:sz w:val="18"/>
        </w:rPr>
        <w:t> </w:t>
      </w:r>
      <w:hyperlink r:id="rId267">
        <w:r>
          <w:rPr>
            <w:sz w:val="18"/>
          </w:rPr>
          <w:t>http://www.osti.gov/</w:t>
        </w:r>
      </w:hyperlink>
      <w:r>
        <w:rPr>
          <w:sz w:val="18"/>
        </w:rPr>
        <w:t> </w:t>
      </w:r>
      <w:r>
        <w:rPr>
          <w:spacing w:val="3"/>
          <w:sz w:val="18"/>
        </w:rPr>
        <w:t>dublincore/ecd/servlets/purl/813565-MVm7Ve/native/813565. </w:t>
      </w:r>
      <w:r>
        <w:rPr>
          <w:sz w:val="18"/>
        </w:rPr>
        <w:t>pdf, U.S. Government Printing Office</w:t>
      </w:r>
      <w:r>
        <w:rPr>
          <w:spacing w:val="-9"/>
          <w:sz w:val="18"/>
        </w:rPr>
        <w:t> </w:t>
      </w:r>
      <w:r>
        <w:rPr>
          <w:sz w:val="18"/>
        </w:rPr>
        <w:t>(GPO).</w:t>
      </w:r>
    </w:p>
    <w:p>
      <w:pPr>
        <w:spacing w:line="278" w:lineRule="auto" w:before="0"/>
        <w:ind w:left="531" w:right="134" w:hanging="341"/>
        <w:jc w:val="both"/>
        <w:rPr>
          <w:sz w:val="18"/>
        </w:rPr>
      </w:pPr>
      <w:r>
        <w:rPr>
          <w:b/>
          <w:sz w:val="18"/>
        </w:rPr>
        <w:t>Looney, </w:t>
      </w:r>
      <w:r>
        <w:rPr>
          <w:sz w:val="18"/>
        </w:rPr>
        <w:t>B. and R. Falta, 2000: Vadose Zone Science and Technology Solutions: Volume II, Batelle Press, Columbus, OH.</w:t>
      </w:r>
    </w:p>
    <w:p>
      <w:pPr>
        <w:spacing w:line="278" w:lineRule="auto" w:before="0"/>
        <w:ind w:left="531" w:right="135" w:hanging="341"/>
        <w:jc w:val="both"/>
        <w:rPr>
          <w:sz w:val="18"/>
        </w:rPr>
      </w:pPr>
      <w:r>
        <w:rPr>
          <w:b/>
          <w:sz w:val="18"/>
        </w:rPr>
        <w:t>magoon, </w:t>
      </w:r>
      <w:r>
        <w:rPr>
          <w:sz w:val="18"/>
        </w:rPr>
        <w:t>L.B. and </w:t>
      </w:r>
      <w:r>
        <w:rPr>
          <w:spacing w:val="-5"/>
          <w:sz w:val="18"/>
        </w:rPr>
        <w:t>W.G. </w:t>
      </w:r>
      <w:r>
        <w:rPr>
          <w:spacing w:val="-4"/>
          <w:sz w:val="18"/>
        </w:rPr>
        <w:t>Dow, </w:t>
      </w:r>
      <w:r>
        <w:rPr>
          <w:sz w:val="18"/>
        </w:rPr>
        <w:t>1994: The petroleum system. American Association of Petroleum Geologists, </w:t>
      </w:r>
      <w:r>
        <w:rPr>
          <w:i/>
          <w:sz w:val="18"/>
        </w:rPr>
        <w:t>Memoir </w:t>
      </w:r>
      <w:r>
        <w:rPr>
          <w:b/>
          <w:sz w:val="18"/>
        </w:rPr>
        <w:t>60</w:t>
      </w:r>
      <w:r>
        <w:rPr>
          <w:sz w:val="18"/>
        </w:rPr>
        <w:t>, 3–24.</w:t>
      </w:r>
    </w:p>
    <w:p>
      <w:pPr>
        <w:spacing w:line="245" w:lineRule="exact" w:before="0"/>
        <w:ind w:left="190" w:right="0" w:firstLine="0"/>
        <w:jc w:val="both"/>
        <w:rPr>
          <w:sz w:val="18"/>
        </w:rPr>
      </w:pPr>
      <w:r>
        <w:rPr>
          <w:b/>
          <w:sz w:val="18"/>
        </w:rPr>
        <w:t>marchetti, </w:t>
      </w:r>
      <w:r>
        <w:rPr>
          <w:sz w:val="18"/>
        </w:rPr>
        <w:t>C., 1977: On Geoengineering and the CO</w:t>
      </w:r>
      <w:r>
        <w:rPr>
          <w:position w:val="-5"/>
          <w:sz w:val="10"/>
        </w:rPr>
        <w:t>2 </w:t>
      </w:r>
      <w:r>
        <w:rPr>
          <w:sz w:val="18"/>
        </w:rPr>
        <w:t>Problem.</w:t>
      </w:r>
    </w:p>
    <w:p>
      <w:pPr>
        <w:spacing w:line="202" w:lineRule="exact" w:before="0"/>
        <w:ind w:left="531" w:right="0" w:firstLine="0"/>
        <w:jc w:val="left"/>
        <w:rPr>
          <w:sz w:val="18"/>
        </w:rPr>
      </w:pPr>
      <w:r>
        <w:rPr>
          <w:sz w:val="18"/>
        </w:rPr>
        <w:t>Climatic Change, 1, 59–68.</w:t>
      </w:r>
    </w:p>
    <w:p>
      <w:pPr>
        <w:spacing w:line="278" w:lineRule="auto" w:before="32"/>
        <w:ind w:left="531" w:right="50" w:hanging="341"/>
        <w:jc w:val="left"/>
        <w:rPr>
          <w:sz w:val="18"/>
        </w:rPr>
      </w:pPr>
      <w:r>
        <w:rPr>
          <w:b/>
          <w:sz w:val="18"/>
        </w:rPr>
        <w:t>martin, </w:t>
      </w:r>
      <w:r>
        <w:rPr>
          <w:spacing w:val="-4"/>
          <w:sz w:val="18"/>
        </w:rPr>
        <w:t>F.D. </w:t>
      </w:r>
      <w:r>
        <w:rPr>
          <w:sz w:val="18"/>
        </w:rPr>
        <w:t>and J. J. </w:t>
      </w:r>
      <w:r>
        <w:rPr>
          <w:spacing w:val="-4"/>
          <w:sz w:val="18"/>
        </w:rPr>
        <w:t>Taber, </w:t>
      </w:r>
      <w:r>
        <w:rPr>
          <w:sz w:val="18"/>
        </w:rPr>
        <w:t>1992: Carbon dioxide flooding. </w:t>
      </w:r>
      <w:r>
        <w:rPr>
          <w:i/>
          <w:sz w:val="18"/>
        </w:rPr>
        <w:t>Journal of </w:t>
      </w:r>
      <w:r>
        <w:rPr>
          <w:i/>
          <w:sz w:val="18"/>
        </w:rPr>
        <w:t>Petroleum Technology</w:t>
      </w:r>
      <w:r>
        <w:rPr>
          <w:sz w:val="18"/>
        </w:rPr>
        <w:t>, </w:t>
      </w:r>
      <w:r>
        <w:rPr>
          <w:b/>
          <w:sz w:val="18"/>
        </w:rPr>
        <w:t>44</w:t>
      </w:r>
      <w:r>
        <w:rPr>
          <w:sz w:val="18"/>
        </w:rPr>
        <w:t>(4), 396–400.</w:t>
      </w:r>
    </w:p>
    <w:p>
      <w:pPr>
        <w:spacing w:line="278" w:lineRule="auto" w:before="0"/>
        <w:ind w:left="531" w:right="132" w:hanging="341"/>
        <w:jc w:val="left"/>
        <w:rPr>
          <w:sz w:val="18"/>
        </w:rPr>
      </w:pPr>
      <w:r>
        <w:rPr>
          <w:b/>
          <w:sz w:val="18"/>
        </w:rPr>
        <w:t>martini,</w:t>
      </w:r>
      <w:r>
        <w:rPr>
          <w:b/>
          <w:spacing w:val="-11"/>
          <w:sz w:val="18"/>
        </w:rPr>
        <w:t> </w:t>
      </w:r>
      <w:r>
        <w:rPr>
          <w:sz w:val="18"/>
        </w:rPr>
        <w:t>B.</w:t>
      </w:r>
      <w:r>
        <w:rPr>
          <w:spacing w:val="-11"/>
          <w:sz w:val="18"/>
        </w:rPr>
        <w:t> </w:t>
      </w:r>
      <w:r>
        <w:rPr>
          <w:sz w:val="18"/>
        </w:rPr>
        <w:t>and</w:t>
      </w:r>
      <w:r>
        <w:rPr>
          <w:spacing w:val="-11"/>
          <w:sz w:val="18"/>
        </w:rPr>
        <w:t> </w:t>
      </w:r>
      <w:r>
        <w:rPr>
          <w:sz w:val="18"/>
        </w:rPr>
        <w:t>E.</w:t>
      </w:r>
      <w:r>
        <w:rPr>
          <w:spacing w:val="-11"/>
          <w:sz w:val="18"/>
        </w:rPr>
        <w:t> </w:t>
      </w:r>
      <w:r>
        <w:rPr>
          <w:sz w:val="18"/>
        </w:rPr>
        <w:t>Silver,</w:t>
      </w:r>
      <w:r>
        <w:rPr>
          <w:spacing w:val="-10"/>
          <w:sz w:val="18"/>
        </w:rPr>
        <w:t> </w:t>
      </w:r>
      <w:r>
        <w:rPr>
          <w:sz w:val="18"/>
        </w:rPr>
        <w:t>2002:</w:t>
      </w:r>
      <w:r>
        <w:rPr>
          <w:spacing w:val="-14"/>
          <w:sz w:val="18"/>
        </w:rPr>
        <w:t> </w:t>
      </w:r>
      <w:r>
        <w:rPr>
          <w:sz w:val="18"/>
        </w:rPr>
        <w:t>The</w:t>
      </w:r>
      <w:r>
        <w:rPr>
          <w:spacing w:val="-11"/>
          <w:sz w:val="18"/>
        </w:rPr>
        <w:t> </w:t>
      </w:r>
      <w:r>
        <w:rPr>
          <w:sz w:val="18"/>
        </w:rPr>
        <w:t>evolution</w:t>
      </w:r>
      <w:r>
        <w:rPr>
          <w:spacing w:val="-11"/>
          <w:sz w:val="18"/>
        </w:rPr>
        <w:t> </w:t>
      </w:r>
      <w:r>
        <w:rPr>
          <w:sz w:val="18"/>
        </w:rPr>
        <w:t>and</w:t>
      </w:r>
      <w:r>
        <w:rPr>
          <w:spacing w:val="-10"/>
          <w:sz w:val="18"/>
        </w:rPr>
        <w:t> </w:t>
      </w:r>
      <w:r>
        <w:rPr>
          <w:sz w:val="18"/>
        </w:rPr>
        <w:t>present</w:t>
      </w:r>
      <w:r>
        <w:rPr>
          <w:spacing w:val="-11"/>
          <w:sz w:val="18"/>
        </w:rPr>
        <w:t> </w:t>
      </w:r>
      <w:r>
        <w:rPr>
          <w:sz w:val="18"/>
        </w:rPr>
        <w:t>state</w:t>
      </w:r>
      <w:r>
        <w:rPr>
          <w:spacing w:val="-11"/>
          <w:sz w:val="18"/>
        </w:rPr>
        <w:t> </w:t>
      </w:r>
      <w:r>
        <w:rPr>
          <w:sz w:val="18"/>
        </w:rPr>
        <w:t>of</w:t>
      </w:r>
      <w:r>
        <w:rPr>
          <w:spacing w:val="-11"/>
          <w:sz w:val="18"/>
        </w:rPr>
        <w:t> </w:t>
      </w:r>
      <w:r>
        <w:rPr>
          <w:sz w:val="18"/>
        </w:rPr>
        <w:t>tree- kills</w:t>
      </w:r>
      <w:r>
        <w:rPr>
          <w:spacing w:val="20"/>
          <w:sz w:val="18"/>
        </w:rPr>
        <w:t> </w:t>
      </w:r>
      <w:r>
        <w:rPr>
          <w:sz w:val="18"/>
        </w:rPr>
        <w:t>on</w:t>
      </w:r>
      <w:r>
        <w:rPr>
          <w:spacing w:val="21"/>
          <w:sz w:val="18"/>
        </w:rPr>
        <w:t> </w:t>
      </w:r>
      <w:r>
        <w:rPr>
          <w:sz w:val="18"/>
        </w:rPr>
        <w:t>Mammoth</w:t>
      </w:r>
      <w:r>
        <w:rPr>
          <w:spacing w:val="21"/>
          <w:sz w:val="18"/>
        </w:rPr>
        <w:t> </w:t>
      </w:r>
      <w:r>
        <w:rPr>
          <w:sz w:val="18"/>
        </w:rPr>
        <w:t>Mountain,</w:t>
      </w:r>
      <w:r>
        <w:rPr>
          <w:spacing w:val="20"/>
          <w:sz w:val="18"/>
        </w:rPr>
        <w:t> </w:t>
      </w:r>
      <w:r>
        <w:rPr>
          <w:sz w:val="18"/>
        </w:rPr>
        <w:t>California:</w:t>
      </w:r>
      <w:r>
        <w:rPr>
          <w:spacing w:val="21"/>
          <w:sz w:val="18"/>
        </w:rPr>
        <w:t> </w:t>
      </w:r>
      <w:r>
        <w:rPr>
          <w:sz w:val="18"/>
        </w:rPr>
        <w:t>tracking</w:t>
      </w:r>
      <w:r>
        <w:rPr>
          <w:spacing w:val="21"/>
          <w:sz w:val="18"/>
        </w:rPr>
        <w:t> </w:t>
      </w:r>
      <w:r>
        <w:rPr>
          <w:sz w:val="18"/>
        </w:rPr>
        <w:t>volcanogenic</w:t>
      </w:r>
    </w:p>
    <w:p>
      <w:pPr>
        <w:spacing w:line="230" w:lineRule="auto" w:before="5"/>
        <w:ind w:left="531" w:right="50" w:firstLine="0"/>
        <w:jc w:val="left"/>
        <w:rPr>
          <w:sz w:val="18"/>
        </w:rPr>
      </w:pPr>
      <w:r>
        <w:rPr>
          <w:sz w:val="18"/>
        </w:rPr>
        <w:t>CO</w:t>
      </w:r>
      <w:r>
        <w:rPr>
          <w:position w:val="-5"/>
          <w:sz w:val="10"/>
        </w:rPr>
        <w:t>2 </w:t>
      </w:r>
      <w:r>
        <w:rPr>
          <w:sz w:val="18"/>
        </w:rPr>
        <w:t>and its lethal effects. Proceedings of the 2002 </w:t>
      </w:r>
      <w:r>
        <w:rPr>
          <w:spacing w:val="-5"/>
          <w:sz w:val="18"/>
        </w:rPr>
        <w:t>AVIRIS </w:t>
      </w:r>
      <w:r>
        <w:rPr>
          <w:sz w:val="18"/>
        </w:rPr>
        <w:t>Airborne   Geoscience   Workshop,   Jet   Propulsion</w:t>
      </w:r>
      <w:r>
        <w:rPr>
          <w:spacing w:val="9"/>
          <w:sz w:val="18"/>
        </w:rPr>
        <w:t> </w:t>
      </w:r>
      <w:r>
        <w:rPr>
          <w:sz w:val="18"/>
        </w:rPr>
        <w:t>Laboratory,</w:t>
      </w:r>
    </w:p>
    <w:p>
      <w:pPr>
        <w:spacing w:before="35"/>
        <w:ind w:left="531" w:right="0" w:firstLine="0"/>
        <w:jc w:val="left"/>
        <w:rPr>
          <w:sz w:val="18"/>
        </w:rPr>
      </w:pPr>
      <w:r>
        <w:rPr>
          <w:sz w:val="18"/>
        </w:rPr>
        <w:t>California Institute of Technology, Pasadena, CA.</w:t>
      </w:r>
    </w:p>
    <w:p>
      <w:pPr>
        <w:spacing w:line="240" w:lineRule="exact" w:before="9"/>
        <w:ind w:left="531" w:right="133" w:hanging="341"/>
        <w:jc w:val="both"/>
        <w:rPr>
          <w:sz w:val="18"/>
        </w:rPr>
      </w:pPr>
      <w:r>
        <w:rPr>
          <w:b/>
          <w:sz w:val="18"/>
        </w:rPr>
        <w:t>may, </w:t>
      </w:r>
      <w:r>
        <w:rPr>
          <w:sz w:val="18"/>
        </w:rPr>
        <w:t>F., 1998: Thermodynamic modeling of hydrothermal alteration and geoindicators for CO</w:t>
      </w:r>
      <w:r>
        <w:rPr>
          <w:position w:val="-5"/>
          <w:sz w:val="10"/>
        </w:rPr>
        <w:t>2</w:t>
      </w:r>
      <w:r>
        <w:rPr>
          <w:sz w:val="18"/>
        </w:rPr>
        <w:t>-rich waters. </w:t>
      </w:r>
      <w:r>
        <w:rPr>
          <w:i/>
          <w:sz w:val="18"/>
        </w:rPr>
        <w:t>Zeitschrift der Deutschen </w:t>
      </w:r>
      <w:r>
        <w:rPr>
          <w:i/>
          <w:sz w:val="18"/>
        </w:rPr>
        <w:t>Geologischen Gesellschaft</w:t>
      </w:r>
      <w:r>
        <w:rPr>
          <w:sz w:val="18"/>
        </w:rPr>
        <w:t>, </w:t>
      </w:r>
      <w:r>
        <w:rPr>
          <w:b/>
          <w:sz w:val="18"/>
        </w:rPr>
        <w:t>149</w:t>
      </w:r>
      <w:r>
        <w:rPr>
          <w:sz w:val="18"/>
        </w:rPr>
        <w:t>, 3, 449–464.</w:t>
      </w:r>
    </w:p>
    <w:p>
      <w:pPr>
        <w:spacing w:line="278" w:lineRule="auto" w:before="23"/>
        <w:ind w:left="531" w:right="135" w:hanging="341"/>
        <w:jc w:val="both"/>
        <w:rPr>
          <w:sz w:val="18"/>
        </w:rPr>
      </w:pPr>
      <w:r>
        <w:rPr>
          <w:b/>
          <w:sz w:val="18"/>
        </w:rPr>
        <w:t>mcGrail, </w:t>
      </w:r>
      <w:r>
        <w:rPr>
          <w:spacing w:val="-4"/>
          <w:sz w:val="18"/>
        </w:rPr>
        <w:t>B.P., </w:t>
      </w:r>
      <w:r>
        <w:rPr>
          <w:spacing w:val="-6"/>
          <w:sz w:val="18"/>
        </w:rPr>
        <w:t>S.P. </w:t>
      </w:r>
      <w:r>
        <w:rPr>
          <w:sz w:val="18"/>
        </w:rPr>
        <w:t>Reidel and </w:t>
      </w:r>
      <w:r>
        <w:rPr>
          <w:spacing w:val="-4"/>
          <w:sz w:val="18"/>
        </w:rPr>
        <w:t>H.T.  </w:t>
      </w:r>
      <w:r>
        <w:rPr>
          <w:sz w:val="18"/>
        </w:rPr>
        <w:t>Schaef, 2003: Use and features  of basalt formations  for  geologic  sequestration.  Proceedings  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w:t>
      </w:r>
      <w:r>
        <w:rPr>
          <w:spacing w:val="-3"/>
          <w:sz w:val="18"/>
        </w:rPr>
        <w:t>v.II,</w:t>
      </w:r>
      <w:r>
        <w:rPr>
          <w:spacing w:val="-4"/>
          <w:sz w:val="18"/>
        </w:rPr>
        <w:t> </w:t>
      </w:r>
      <w:r>
        <w:rPr>
          <w:sz w:val="18"/>
        </w:rPr>
        <w:t>1637–1641.</w:t>
      </w:r>
    </w:p>
    <w:p>
      <w:pPr>
        <w:spacing w:line="206" w:lineRule="exact" w:before="0"/>
        <w:ind w:left="190" w:right="0" w:firstLine="0"/>
        <w:jc w:val="both"/>
        <w:rPr>
          <w:sz w:val="18"/>
        </w:rPr>
      </w:pPr>
      <w:r>
        <w:rPr>
          <w:b/>
          <w:sz w:val="18"/>
        </w:rPr>
        <w:t>mcKelvey, </w:t>
      </w:r>
      <w:r>
        <w:rPr>
          <w:sz w:val="18"/>
        </w:rPr>
        <w:t>V.E., 1972: Mineral resource estimates and public policy.</w:t>
      </w:r>
    </w:p>
    <w:p>
      <w:pPr>
        <w:spacing w:before="34"/>
        <w:ind w:left="531" w:right="0" w:firstLine="0"/>
        <w:jc w:val="both"/>
        <w:rPr>
          <w:sz w:val="18"/>
        </w:rPr>
      </w:pPr>
      <w:r>
        <w:rPr>
          <w:i/>
          <w:sz w:val="18"/>
        </w:rPr>
        <w:t>American Scientist</w:t>
      </w:r>
      <w:r>
        <w:rPr>
          <w:sz w:val="18"/>
        </w:rPr>
        <w:t>, </w:t>
      </w:r>
      <w:r>
        <w:rPr>
          <w:b/>
          <w:sz w:val="18"/>
        </w:rPr>
        <w:t>60</w:t>
      </w:r>
      <w:r>
        <w:rPr>
          <w:sz w:val="18"/>
        </w:rPr>
        <w:t>(1), 32–40.</w:t>
      </w:r>
    </w:p>
    <w:p>
      <w:pPr>
        <w:spacing w:line="278" w:lineRule="auto" w:before="33"/>
        <w:ind w:left="531" w:right="134" w:hanging="341"/>
        <w:jc w:val="both"/>
        <w:rPr>
          <w:sz w:val="18"/>
        </w:rPr>
      </w:pPr>
      <w:r>
        <w:rPr>
          <w:b/>
          <w:sz w:val="18"/>
        </w:rPr>
        <w:t>mcKinnon, </w:t>
      </w:r>
      <w:r>
        <w:rPr>
          <w:sz w:val="18"/>
        </w:rPr>
        <w:t>R.J., 1998: The interplay between production and underground storage rights in Alberta, </w:t>
      </w:r>
      <w:r>
        <w:rPr>
          <w:i/>
          <w:sz w:val="18"/>
        </w:rPr>
        <w:t>The Alberta Law Review</w:t>
      </w:r>
      <w:r>
        <w:rPr>
          <w:sz w:val="18"/>
        </w:rPr>
        <w:t>, </w:t>
      </w:r>
      <w:r>
        <w:rPr>
          <w:b/>
          <w:sz w:val="18"/>
        </w:rPr>
        <w:t>36</w:t>
      </w:r>
      <w:r>
        <w:rPr>
          <w:sz w:val="18"/>
        </w:rPr>
        <w:t>(400).</w:t>
      </w:r>
    </w:p>
    <w:p>
      <w:pPr>
        <w:spacing w:line="245" w:lineRule="exact" w:before="0"/>
        <w:ind w:left="531" w:right="0" w:hanging="341"/>
        <w:jc w:val="both"/>
        <w:rPr>
          <w:sz w:val="18"/>
        </w:rPr>
      </w:pPr>
      <w:r>
        <w:rPr>
          <w:b/>
          <w:sz w:val="18"/>
        </w:rPr>
        <w:t>mcPherson, </w:t>
      </w:r>
      <w:r>
        <w:rPr>
          <w:sz w:val="18"/>
        </w:rPr>
        <w:t>B.J.O.L. and B.S. Cole, 2000: Multiphase CO</w:t>
      </w:r>
      <w:r>
        <w:rPr>
          <w:position w:val="-5"/>
          <w:sz w:val="10"/>
        </w:rPr>
        <w:t>2 </w:t>
      </w:r>
      <w:r>
        <w:rPr>
          <w:sz w:val="18"/>
        </w:rPr>
        <w:t>flow,</w:t>
      </w:r>
    </w:p>
    <w:p>
      <w:pPr>
        <w:spacing w:line="278" w:lineRule="auto" w:before="0"/>
        <w:ind w:left="531" w:right="135" w:firstLine="0"/>
        <w:jc w:val="both"/>
        <w:rPr>
          <w:sz w:val="18"/>
        </w:rPr>
      </w:pPr>
      <w:r>
        <w:rPr>
          <w:sz w:val="18"/>
        </w:rPr>
        <w:t>transport and sequestration in the Powder River basin, Wyoming, USA. </w:t>
      </w:r>
      <w:r>
        <w:rPr>
          <w:i/>
          <w:sz w:val="18"/>
        </w:rPr>
        <w:t>Journal of Geochemical Exploration</w:t>
      </w:r>
      <w:r>
        <w:rPr>
          <w:sz w:val="18"/>
        </w:rPr>
        <w:t>, </w:t>
      </w:r>
      <w:r>
        <w:rPr>
          <w:b/>
          <w:sz w:val="18"/>
        </w:rPr>
        <w:t>69–70</w:t>
      </w:r>
      <w:r>
        <w:rPr>
          <w:sz w:val="18"/>
        </w:rPr>
        <w:t>(6), 65–70.</w:t>
      </w:r>
    </w:p>
    <w:p>
      <w:pPr>
        <w:spacing w:line="278" w:lineRule="auto" w:before="0"/>
        <w:ind w:left="531" w:right="134" w:hanging="341"/>
        <w:jc w:val="both"/>
        <w:rPr>
          <w:sz w:val="18"/>
        </w:rPr>
      </w:pPr>
      <w:r>
        <w:rPr>
          <w:b/>
          <w:sz w:val="18"/>
        </w:rPr>
        <w:t>menzies, </w:t>
      </w:r>
      <w:r>
        <w:rPr>
          <w:spacing w:val="-3"/>
          <w:sz w:val="18"/>
        </w:rPr>
        <w:t>R.T., </w:t>
      </w:r>
      <w:r>
        <w:rPr>
          <w:sz w:val="18"/>
        </w:rPr>
        <w:t>D.M., Tratt, </w:t>
      </w:r>
      <w:r>
        <w:rPr>
          <w:spacing w:val="-6"/>
          <w:sz w:val="18"/>
        </w:rPr>
        <w:t>M.P. </w:t>
      </w:r>
      <w:r>
        <w:rPr>
          <w:sz w:val="18"/>
        </w:rPr>
        <w:t>Chiao and C.R. </w:t>
      </w:r>
      <w:r>
        <w:rPr>
          <w:spacing w:val="-3"/>
          <w:sz w:val="18"/>
        </w:rPr>
        <w:t>Webster, </w:t>
      </w:r>
      <w:r>
        <w:rPr>
          <w:sz w:val="18"/>
        </w:rPr>
        <w:t>2001: Laser absorption spectrometer concept for globalscale observations of atmospheric</w:t>
      </w:r>
      <w:r>
        <w:rPr>
          <w:spacing w:val="-23"/>
          <w:sz w:val="18"/>
        </w:rPr>
        <w:t> </w:t>
      </w:r>
      <w:r>
        <w:rPr>
          <w:sz w:val="18"/>
        </w:rPr>
        <w:t>carbon</w:t>
      </w:r>
      <w:r>
        <w:rPr>
          <w:spacing w:val="-23"/>
          <w:sz w:val="18"/>
        </w:rPr>
        <w:t> </w:t>
      </w:r>
      <w:r>
        <w:rPr>
          <w:sz w:val="18"/>
        </w:rPr>
        <w:t>dioxide.11</w:t>
      </w:r>
      <w:r>
        <w:rPr>
          <w:position w:val="6"/>
          <w:sz w:val="10"/>
        </w:rPr>
        <w:t>th</w:t>
      </w:r>
      <w:r>
        <w:rPr>
          <w:spacing w:val="-3"/>
          <w:position w:val="6"/>
          <w:sz w:val="10"/>
        </w:rPr>
        <w:t> </w:t>
      </w:r>
      <w:r>
        <w:rPr>
          <w:sz w:val="18"/>
        </w:rPr>
        <w:t>Coherent</w:t>
      </w:r>
      <w:r>
        <w:rPr>
          <w:spacing w:val="-22"/>
          <w:sz w:val="18"/>
        </w:rPr>
        <w:t> </w:t>
      </w:r>
      <w:r>
        <w:rPr>
          <w:sz w:val="18"/>
        </w:rPr>
        <w:t>Laser</w:t>
      </w:r>
      <w:r>
        <w:rPr>
          <w:spacing w:val="-23"/>
          <w:sz w:val="18"/>
        </w:rPr>
        <w:t> </w:t>
      </w:r>
      <w:r>
        <w:rPr>
          <w:sz w:val="18"/>
        </w:rPr>
        <w:t>Radar</w:t>
      </w:r>
      <w:r>
        <w:rPr>
          <w:spacing w:val="-23"/>
          <w:sz w:val="18"/>
        </w:rPr>
        <w:t> </w:t>
      </w:r>
      <w:r>
        <w:rPr>
          <w:sz w:val="18"/>
        </w:rPr>
        <w:t>Conference, Malvern, United</w:t>
      </w:r>
      <w:r>
        <w:rPr>
          <w:spacing w:val="-3"/>
          <w:sz w:val="18"/>
        </w:rPr>
        <w:t> </w:t>
      </w:r>
      <w:r>
        <w:rPr>
          <w:sz w:val="18"/>
        </w:rPr>
        <w:t>Kingdom.</w:t>
      </w:r>
    </w:p>
    <w:p>
      <w:pPr>
        <w:spacing w:line="207" w:lineRule="exact" w:before="0"/>
        <w:ind w:left="531" w:right="0" w:hanging="341"/>
        <w:jc w:val="both"/>
        <w:rPr>
          <w:sz w:val="18"/>
        </w:rPr>
      </w:pPr>
      <w:r>
        <w:rPr>
          <w:b/>
          <w:sz w:val="18"/>
        </w:rPr>
        <w:t>metcalfe, </w:t>
      </w:r>
      <w:r>
        <w:rPr>
          <w:sz w:val="18"/>
        </w:rPr>
        <w:t>R.S., 1982: Effects of impurities on minimum miscibility</w:t>
      </w:r>
    </w:p>
    <w:p>
      <w:pPr>
        <w:spacing w:line="230" w:lineRule="auto" w:before="33"/>
        <w:ind w:left="531" w:right="135" w:firstLine="0"/>
        <w:jc w:val="both"/>
        <w:rPr>
          <w:sz w:val="18"/>
        </w:rPr>
      </w:pPr>
      <w:r>
        <w:rPr>
          <w:sz w:val="18"/>
        </w:rPr>
        <w:t>pressures and minimum enrichment levels for CO</w:t>
      </w:r>
      <w:r>
        <w:rPr>
          <w:position w:val="-5"/>
          <w:sz w:val="10"/>
        </w:rPr>
        <w:t>2 </w:t>
      </w:r>
      <w:r>
        <w:rPr>
          <w:sz w:val="18"/>
        </w:rPr>
        <w:t>and rich gas displacements. </w:t>
      </w:r>
      <w:r>
        <w:rPr>
          <w:i/>
          <w:sz w:val="18"/>
        </w:rPr>
        <w:t>SPE Journal</w:t>
      </w:r>
      <w:r>
        <w:rPr>
          <w:sz w:val="18"/>
        </w:rPr>
        <w:t>, </w:t>
      </w:r>
      <w:r>
        <w:rPr>
          <w:b/>
          <w:sz w:val="18"/>
        </w:rPr>
        <w:t>22</w:t>
      </w:r>
      <w:r>
        <w:rPr>
          <w:sz w:val="18"/>
        </w:rPr>
        <w:t>(2), 219–225.</w:t>
      </w:r>
    </w:p>
    <w:p>
      <w:pPr>
        <w:spacing w:line="240" w:lineRule="exact" w:before="10"/>
        <w:ind w:left="531" w:right="135" w:hanging="341"/>
        <w:jc w:val="both"/>
        <w:rPr>
          <w:sz w:val="18"/>
        </w:rPr>
      </w:pPr>
      <w:r>
        <w:rPr>
          <w:b/>
          <w:sz w:val="18"/>
        </w:rPr>
        <w:t>miles,</w:t>
      </w:r>
      <w:r>
        <w:rPr>
          <w:b/>
          <w:spacing w:val="-7"/>
          <w:sz w:val="18"/>
        </w:rPr>
        <w:t> </w:t>
      </w:r>
      <w:r>
        <w:rPr>
          <w:sz w:val="18"/>
        </w:rPr>
        <w:t>N.,</w:t>
      </w:r>
      <w:r>
        <w:rPr>
          <w:spacing w:val="-6"/>
          <w:sz w:val="18"/>
        </w:rPr>
        <w:t> </w:t>
      </w:r>
      <w:r>
        <w:rPr>
          <w:sz w:val="18"/>
        </w:rPr>
        <w:t>K.</w:t>
      </w:r>
      <w:r>
        <w:rPr>
          <w:spacing w:val="-7"/>
          <w:sz w:val="18"/>
        </w:rPr>
        <w:t> </w:t>
      </w:r>
      <w:r>
        <w:rPr>
          <w:sz w:val="18"/>
        </w:rPr>
        <w:t>Davis</w:t>
      </w:r>
      <w:r>
        <w:rPr>
          <w:spacing w:val="-6"/>
          <w:sz w:val="18"/>
        </w:rPr>
        <w:t> </w:t>
      </w:r>
      <w:r>
        <w:rPr>
          <w:sz w:val="18"/>
        </w:rPr>
        <w:t>and</w:t>
      </w:r>
      <w:r>
        <w:rPr>
          <w:spacing w:val="-6"/>
          <w:sz w:val="18"/>
        </w:rPr>
        <w:t> </w:t>
      </w:r>
      <w:r>
        <w:rPr>
          <w:sz w:val="18"/>
        </w:rPr>
        <w:t>J.</w:t>
      </w:r>
      <w:r>
        <w:rPr>
          <w:spacing w:val="-10"/>
          <w:sz w:val="18"/>
        </w:rPr>
        <w:t> </w:t>
      </w:r>
      <w:r>
        <w:rPr>
          <w:sz w:val="18"/>
        </w:rPr>
        <w:t>Wyngaard,</w:t>
      </w:r>
      <w:r>
        <w:rPr>
          <w:spacing w:val="-6"/>
          <w:sz w:val="18"/>
        </w:rPr>
        <w:t> </w:t>
      </w:r>
      <w:r>
        <w:rPr>
          <w:sz w:val="18"/>
        </w:rPr>
        <w:t>2005:</w:t>
      </w:r>
      <w:r>
        <w:rPr>
          <w:spacing w:val="-7"/>
          <w:sz w:val="18"/>
        </w:rPr>
        <w:t> </w:t>
      </w:r>
      <w:r>
        <w:rPr>
          <w:sz w:val="18"/>
        </w:rPr>
        <w:t>Detecting</w:t>
      </w:r>
      <w:r>
        <w:rPr>
          <w:spacing w:val="-6"/>
          <w:sz w:val="18"/>
        </w:rPr>
        <w:t> </w:t>
      </w:r>
      <w:r>
        <w:rPr>
          <w:sz w:val="18"/>
        </w:rPr>
        <w:t>Leaks</w:t>
      </w:r>
      <w:r>
        <w:rPr>
          <w:spacing w:val="-6"/>
          <w:sz w:val="18"/>
        </w:rPr>
        <w:t> </w:t>
      </w:r>
      <w:r>
        <w:rPr>
          <w:sz w:val="18"/>
        </w:rPr>
        <w:t>from</w:t>
      </w:r>
      <w:r>
        <w:rPr>
          <w:spacing w:val="-7"/>
          <w:sz w:val="18"/>
        </w:rPr>
        <w:t> </w:t>
      </w:r>
      <w:r>
        <w:rPr>
          <w:sz w:val="18"/>
        </w:rPr>
        <w:t>CO</w:t>
      </w:r>
      <w:r>
        <w:rPr>
          <w:position w:val="-5"/>
          <w:sz w:val="10"/>
        </w:rPr>
        <w:t>2 </w:t>
      </w:r>
      <w:r>
        <w:rPr>
          <w:sz w:val="18"/>
        </w:rPr>
        <w:t>Reservoirs using Micrometeorological Methods, Carbon Dioxide Capture for Storage in Deep Geologic Formations - Results from the</w:t>
      </w:r>
      <w:r>
        <w:rPr>
          <w:spacing w:val="-14"/>
          <w:sz w:val="18"/>
        </w:rPr>
        <w:t> </w:t>
      </w:r>
      <w:r>
        <w:rPr>
          <w:sz w:val="18"/>
        </w:rPr>
        <w:t>CO</w:t>
      </w:r>
      <w:r>
        <w:rPr>
          <w:position w:val="-5"/>
          <w:sz w:val="10"/>
        </w:rPr>
        <w:t>2</w:t>
      </w:r>
      <w:r>
        <w:rPr>
          <w:spacing w:val="7"/>
          <w:position w:val="-5"/>
          <w:sz w:val="10"/>
        </w:rPr>
        <w:t> </w:t>
      </w:r>
      <w:r>
        <w:rPr>
          <w:sz w:val="18"/>
        </w:rPr>
        <w:t>Capture</w:t>
      </w:r>
      <w:r>
        <w:rPr>
          <w:spacing w:val="-13"/>
          <w:sz w:val="18"/>
        </w:rPr>
        <w:t> </w:t>
      </w:r>
      <w:r>
        <w:rPr>
          <w:sz w:val="18"/>
        </w:rPr>
        <w:t>Project,</w:t>
      </w:r>
      <w:r>
        <w:rPr>
          <w:spacing w:val="-14"/>
          <w:sz w:val="18"/>
        </w:rPr>
        <w:t> </w:t>
      </w:r>
      <w:r>
        <w:rPr>
          <w:spacing w:val="-6"/>
          <w:sz w:val="18"/>
        </w:rPr>
        <w:t>v.</w:t>
      </w:r>
      <w:r>
        <w:rPr>
          <w:spacing w:val="-13"/>
          <w:sz w:val="18"/>
        </w:rPr>
        <w:t> </w:t>
      </w:r>
      <w:r>
        <w:rPr>
          <w:sz w:val="18"/>
        </w:rPr>
        <w:t>2:</w:t>
      </w:r>
      <w:r>
        <w:rPr>
          <w:spacing w:val="-13"/>
          <w:sz w:val="18"/>
        </w:rPr>
        <w:t> </w:t>
      </w:r>
      <w:r>
        <w:rPr>
          <w:sz w:val="18"/>
        </w:rPr>
        <w:t>Geologic</w:t>
      </w:r>
      <w:r>
        <w:rPr>
          <w:spacing w:val="-14"/>
          <w:sz w:val="18"/>
        </w:rPr>
        <w:t> </w:t>
      </w:r>
      <w:r>
        <w:rPr>
          <w:sz w:val="18"/>
        </w:rPr>
        <w:t>Storage</w:t>
      </w:r>
      <w:r>
        <w:rPr>
          <w:spacing w:val="-13"/>
          <w:sz w:val="18"/>
        </w:rPr>
        <w:t> </w:t>
      </w:r>
      <w:r>
        <w:rPr>
          <w:sz w:val="18"/>
        </w:rPr>
        <w:t>of</w:t>
      </w:r>
      <w:r>
        <w:rPr>
          <w:spacing w:val="-13"/>
          <w:sz w:val="18"/>
        </w:rPr>
        <w:t> </w:t>
      </w:r>
      <w:r>
        <w:rPr>
          <w:sz w:val="18"/>
        </w:rPr>
        <w:t>Carbon</w:t>
      </w:r>
      <w:r>
        <w:rPr>
          <w:spacing w:val="-14"/>
          <w:sz w:val="18"/>
        </w:rPr>
        <w:t> </w:t>
      </w:r>
      <w:r>
        <w:rPr>
          <w:sz w:val="18"/>
        </w:rPr>
        <w:t>Dioxide with Monitoring and Verification, S.M. Benson (ed.), Elsevier Science, London.</w:t>
      </w:r>
      <w:r>
        <w:rPr>
          <w:spacing w:val="-2"/>
          <w:sz w:val="18"/>
        </w:rPr>
        <w:t> </w:t>
      </w:r>
      <w:r>
        <w:rPr>
          <w:sz w:val="18"/>
        </w:rPr>
        <w:t>pp.1031–1044.</w:t>
      </w:r>
    </w:p>
    <w:p>
      <w:pPr>
        <w:spacing w:line="278" w:lineRule="auto" w:before="24"/>
        <w:ind w:left="531" w:right="134" w:hanging="341"/>
        <w:jc w:val="both"/>
        <w:rPr>
          <w:sz w:val="18"/>
        </w:rPr>
      </w:pPr>
      <w:r>
        <w:rPr/>
        <w:pict>
          <v:shape style="position:absolute;margin-left:351.43161pt;margin-top:20.667099pt;width:2.65pt;height:5.25pt;mso-position-horizontal-relative:page;mso-position-vertical-relative:paragraph;z-index:-258810880"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moberg, </w:t>
      </w:r>
      <w:r>
        <w:rPr>
          <w:sz w:val="18"/>
        </w:rPr>
        <w:t>R., D.B. Stewart and D. Stachniak, 2003: The IEA </w:t>
      </w:r>
      <w:r>
        <w:rPr>
          <w:spacing w:val="-3"/>
          <w:sz w:val="18"/>
        </w:rPr>
        <w:t>Weyburn </w:t>
      </w:r>
      <w:r>
        <w:rPr>
          <w:sz w:val="18"/>
        </w:rPr>
        <w:t>CO Monitoring and Storage Project. Proceedings of the 6</w:t>
      </w:r>
      <w:r>
        <w:rPr>
          <w:position w:val="6"/>
          <w:sz w:val="10"/>
        </w:rPr>
        <w:t>th </w:t>
      </w:r>
      <w:r>
        <w:rPr>
          <w:sz w:val="18"/>
        </w:rPr>
        <w:t>International</w:t>
      </w:r>
      <w:r>
        <w:rPr>
          <w:spacing w:val="-24"/>
          <w:sz w:val="18"/>
        </w:rPr>
        <w:t> </w:t>
      </w:r>
      <w:r>
        <w:rPr>
          <w:sz w:val="18"/>
        </w:rPr>
        <w:t>Conference</w:t>
      </w:r>
      <w:r>
        <w:rPr>
          <w:spacing w:val="-24"/>
          <w:sz w:val="18"/>
        </w:rPr>
        <w:t> </w:t>
      </w:r>
      <w:r>
        <w:rPr>
          <w:sz w:val="18"/>
        </w:rPr>
        <w:t>on</w:t>
      </w:r>
      <w:r>
        <w:rPr>
          <w:spacing w:val="-24"/>
          <w:sz w:val="18"/>
        </w:rPr>
        <w:t> </w:t>
      </w:r>
      <w:r>
        <w:rPr>
          <w:sz w:val="18"/>
        </w:rPr>
        <w:t>Greenhouse</w:t>
      </w:r>
      <w:r>
        <w:rPr>
          <w:spacing w:val="-23"/>
          <w:sz w:val="18"/>
        </w:rPr>
        <w:t> </w:t>
      </w:r>
      <w:r>
        <w:rPr>
          <w:sz w:val="18"/>
        </w:rPr>
        <w:t>Gas</w:t>
      </w:r>
      <w:r>
        <w:rPr>
          <w:spacing w:val="-24"/>
          <w:sz w:val="18"/>
        </w:rPr>
        <w:t> </w:t>
      </w:r>
      <w:r>
        <w:rPr>
          <w:sz w:val="18"/>
        </w:rPr>
        <w:t>Control</w:t>
      </w:r>
      <w:r>
        <w:rPr>
          <w:spacing w:val="-27"/>
          <w:sz w:val="18"/>
        </w:rPr>
        <w:t> </w:t>
      </w:r>
      <w:r>
        <w:rPr>
          <w:sz w:val="18"/>
        </w:rPr>
        <w:t>Technologies (GHGT-6), J. Gale and </w:t>
      </w:r>
      <w:r>
        <w:rPr>
          <w:spacing w:val="-12"/>
          <w:sz w:val="18"/>
        </w:rPr>
        <w:t>Y. </w:t>
      </w:r>
      <w:r>
        <w:rPr>
          <w:sz w:val="18"/>
        </w:rPr>
        <w:t>Kaya (eds.), 1–4 October 2002, Kyoto, Japan,</w:t>
      </w:r>
      <w:r>
        <w:rPr>
          <w:spacing w:val="-2"/>
          <w:sz w:val="18"/>
        </w:rPr>
        <w:t> </w:t>
      </w:r>
      <w:r>
        <w:rPr>
          <w:sz w:val="18"/>
        </w:rPr>
        <w:t>219–224.</w:t>
      </w:r>
    </w:p>
    <w:p>
      <w:pPr>
        <w:spacing w:line="278" w:lineRule="auto" w:before="0"/>
        <w:ind w:left="531" w:right="135" w:hanging="341"/>
        <w:jc w:val="both"/>
        <w:rPr>
          <w:sz w:val="18"/>
        </w:rPr>
      </w:pPr>
      <w:r>
        <w:rPr>
          <w:b/>
          <w:sz w:val="18"/>
        </w:rPr>
        <w:t>morgan, </w:t>
      </w:r>
      <w:r>
        <w:rPr>
          <w:sz w:val="18"/>
        </w:rPr>
        <w:t>M.G. and M. Henrion, 1999: Uncertainty: A guide to dealing with uncertainty in quantitative risk and policy analysis. Cambridge University Press, New </w:t>
      </w:r>
      <w:r>
        <w:rPr>
          <w:spacing w:val="-4"/>
          <w:sz w:val="18"/>
        </w:rPr>
        <w:t>York,</w:t>
      </w:r>
      <w:r>
        <w:rPr>
          <w:spacing w:val="-11"/>
          <w:sz w:val="18"/>
        </w:rPr>
        <w:t> </w:t>
      </w:r>
      <w:r>
        <w:rPr>
          <w:spacing w:val="-9"/>
          <w:sz w:val="18"/>
        </w:rPr>
        <w:t>NY.</w:t>
      </w:r>
    </w:p>
    <w:p>
      <w:pPr>
        <w:spacing w:after="0" w:line="278" w:lineRule="auto"/>
        <w:jc w:val="both"/>
        <w:rPr>
          <w:sz w:val="18"/>
        </w:rPr>
        <w:sectPr>
          <w:type w:val="continuous"/>
          <w:pgSz w:w="12240" w:h="15840"/>
          <w:pgMar w:top="400" w:bottom="280" w:left="580" w:right="600"/>
          <w:cols w:num="2" w:equalWidth="0">
            <w:col w:w="5628" w:space="40"/>
            <w:col w:w="5392"/>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before="67"/>
        <w:ind w:left="157" w:right="0" w:firstLine="0"/>
        <w:jc w:val="both"/>
        <w:rPr>
          <w:i/>
          <w:sz w:val="18"/>
        </w:rPr>
      </w:pPr>
      <w:r>
        <w:rPr>
          <w:b/>
          <w:sz w:val="18"/>
        </w:rPr>
        <w:t>moritis, </w:t>
      </w:r>
      <w:r>
        <w:rPr>
          <w:sz w:val="18"/>
        </w:rPr>
        <w:t>G., 2002: Enhanced Oil Recovery, </w:t>
      </w:r>
      <w:r>
        <w:rPr>
          <w:i/>
          <w:sz w:val="18"/>
        </w:rPr>
        <w:t>Oil and Gas Journal,</w:t>
      </w:r>
    </w:p>
    <w:p>
      <w:pPr>
        <w:spacing w:before="33"/>
        <w:ind w:left="497" w:right="0" w:firstLine="0"/>
        <w:jc w:val="both"/>
        <w:rPr>
          <w:sz w:val="18"/>
        </w:rPr>
      </w:pPr>
      <w:r>
        <w:rPr>
          <w:b/>
          <w:sz w:val="18"/>
        </w:rPr>
        <w:t>100</w:t>
      </w:r>
      <w:r>
        <w:rPr>
          <w:sz w:val="18"/>
        </w:rPr>
        <w:t>(15), 43–47.</w:t>
      </w:r>
    </w:p>
    <w:p>
      <w:pPr>
        <w:spacing w:line="230" w:lineRule="auto" w:before="38"/>
        <w:ind w:left="497" w:right="41" w:hanging="341"/>
        <w:jc w:val="both"/>
        <w:rPr>
          <w:sz w:val="18"/>
        </w:rPr>
      </w:pPr>
      <w:r>
        <w:rPr>
          <w:b/>
          <w:sz w:val="18"/>
        </w:rPr>
        <w:t>moritis, </w:t>
      </w:r>
      <w:r>
        <w:rPr>
          <w:sz w:val="18"/>
        </w:rPr>
        <w:t>G., 2003: CO</w:t>
      </w:r>
      <w:r>
        <w:rPr>
          <w:position w:val="-5"/>
          <w:sz w:val="10"/>
        </w:rPr>
        <w:t>2 </w:t>
      </w:r>
      <w:r>
        <w:rPr>
          <w:sz w:val="18"/>
        </w:rPr>
        <w:t>sequestration adds new dimension to oil, gas production. </w:t>
      </w:r>
      <w:r>
        <w:rPr>
          <w:i/>
          <w:sz w:val="18"/>
        </w:rPr>
        <w:t>Oil and Gas Journal</w:t>
      </w:r>
      <w:r>
        <w:rPr>
          <w:sz w:val="18"/>
        </w:rPr>
        <w:t>, </w:t>
      </w:r>
      <w:r>
        <w:rPr>
          <w:b/>
          <w:sz w:val="18"/>
        </w:rPr>
        <w:t>101</w:t>
      </w:r>
      <w:r>
        <w:rPr>
          <w:sz w:val="18"/>
        </w:rPr>
        <w:t>(9), 71–83.</w:t>
      </w:r>
    </w:p>
    <w:p>
      <w:pPr>
        <w:spacing w:line="278" w:lineRule="auto" w:before="35"/>
        <w:ind w:left="497" w:right="40" w:hanging="341"/>
        <w:jc w:val="both"/>
        <w:rPr>
          <w:sz w:val="18"/>
        </w:rPr>
      </w:pPr>
      <w:r>
        <w:rPr>
          <w:b/>
          <w:sz w:val="18"/>
        </w:rPr>
        <w:t>morner, </w:t>
      </w:r>
      <w:r>
        <w:rPr>
          <w:sz w:val="18"/>
        </w:rPr>
        <w:t>N.A. and G. Etiope, 2002: Carbon degassing from the lithosphere. </w:t>
      </w:r>
      <w:r>
        <w:rPr>
          <w:i/>
          <w:sz w:val="18"/>
        </w:rPr>
        <w:t>Global and Planetary Change</w:t>
      </w:r>
      <w:r>
        <w:rPr>
          <w:sz w:val="18"/>
        </w:rPr>
        <w:t>, </w:t>
      </w:r>
      <w:r>
        <w:rPr>
          <w:b/>
          <w:sz w:val="18"/>
        </w:rPr>
        <w:t>33</w:t>
      </w:r>
      <w:r>
        <w:rPr>
          <w:sz w:val="18"/>
        </w:rPr>
        <w:t>, 185–203.</w:t>
      </w:r>
    </w:p>
    <w:p>
      <w:pPr>
        <w:spacing w:line="278" w:lineRule="auto" w:before="0"/>
        <w:ind w:left="497" w:right="40" w:hanging="341"/>
        <w:jc w:val="both"/>
        <w:rPr>
          <w:sz w:val="18"/>
        </w:rPr>
      </w:pPr>
      <w:r>
        <w:rPr>
          <w:b/>
          <w:sz w:val="18"/>
        </w:rPr>
        <w:t>morrow,</w:t>
      </w:r>
      <w:r>
        <w:rPr>
          <w:b/>
          <w:spacing w:val="-17"/>
          <w:sz w:val="18"/>
        </w:rPr>
        <w:t> </w:t>
      </w:r>
      <w:r>
        <w:rPr>
          <w:spacing w:val="-3"/>
          <w:sz w:val="18"/>
        </w:rPr>
        <w:t>T.B.,</w:t>
      </w:r>
      <w:r>
        <w:rPr>
          <w:spacing w:val="-14"/>
          <w:sz w:val="18"/>
        </w:rPr>
        <w:t> </w:t>
      </w:r>
      <w:r>
        <w:rPr>
          <w:sz w:val="18"/>
        </w:rPr>
        <w:t>D.L.</w:t>
      </w:r>
      <w:r>
        <w:rPr>
          <w:spacing w:val="-15"/>
          <w:sz w:val="18"/>
        </w:rPr>
        <w:t> </w:t>
      </w:r>
      <w:r>
        <w:rPr>
          <w:sz w:val="18"/>
        </w:rPr>
        <w:t>George</w:t>
      </w:r>
      <w:r>
        <w:rPr>
          <w:spacing w:val="-14"/>
          <w:sz w:val="18"/>
        </w:rPr>
        <w:t> </w:t>
      </w:r>
      <w:r>
        <w:rPr>
          <w:sz w:val="18"/>
        </w:rPr>
        <w:t>and</w:t>
      </w:r>
      <w:r>
        <w:rPr>
          <w:spacing w:val="-14"/>
          <w:sz w:val="18"/>
        </w:rPr>
        <w:t> </w:t>
      </w:r>
      <w:r>
        <w:rPr>
          <w:sz w:val="18"/>
        </w:rPr>
        <w:t>M.G.</w:t>
      </w:r>
      <w:r>
        <w:rPr>
          <w:spacing w:val="-14"/>
          <w:sz w:val="18"/>
        </w:rPr>
        <w:t> </w:t>
      </w:r>
      <w:r>
        <w:rPr>
          <w:sz w:val="18"/>
        </w:rPr>
        <w:t>Nored,</w:t>
      </w:r>
      <w:r>
        <w:rPr>
          <w:spacing w:val="-14"/>
          <w:sz w:val="18"/>
        </w:rPr>
        <w:t> </w:t>
      </w:r>
      <w:r>
        <w:rPr>
          <w:sz w:val="18"/>
        </w:rPr>
        <w:t>2003:</w:t>
      </w:r>
      <w:r>
        <w:rPr>
          <w:spacing w:val="-14"/>
          <w:sz w:val="18"/>
        </w:rPr>
        <w:t> </w:t>
      </w:r>
      <w:r>
        <w:rPr>
          <w:sz w:val="18"/>
        </w:rPr>
        <w:t>Operational</w:t>
      </w:r>
      <w:r>
        <w:rPr>
          <w:spacing w:val="-14"/>
          <w:sz w:val="18"/>
        </w:rPr>
        <w:t> </w:t>
      </w:r>
      <w:r>
        <w:rPr>
          <w:sz w:val="18"/>
        </w:rPr>
        <w:t>factors that affect orifice meter accuracy: Key findings from a multi-year </w:t>
      </w:r>
      <w:r>
        <w:rPr>
          <w:spacing w:val="-3"/>
          <w:sz w:val="18"/>
        </w:rPr>
        <w:t>study. </w:t>
      </w:r>
      <w:r>
        <w:rPr>
          <w:sz w:val="18"/>
        </w:rPr>
        <w:t>Flow Control</w:t>
      </w:r>
      <w:r>
        <w:rPr>
          <w:spacing w:val="1"/>
          <w:sz w:val="18"/>
        </w:rPr>
        <w:t> </w:t>
      </w:r>
      <w:r>
        <w:rPr>
          <w:sz w:val="18"/>
        </w:rPr>
        <w:t>Network.</w:t>
      </w:r>
    </w:p>
    <w:p>
      <w:pPr>
        <w:spacing w:line="278" w:lineRule="auto" w:before="0"/>
        <w:ind w:left="497" w:right="41" w:hanging="341"/>
        <w:jc w:val="both"/>
        <w:rPr>
          <w:sz w:val="18"/>
        </w:rPr>
      </w:pPr>
      <w:r>
        <w:rPr>
          <w:b/>
          <w:spacing w:val="-4"/>
          <w:sz w:val="18"/>
        </w:rPr>
        <w:t>myer, </w:t>
      </w:r>
      <w:r>
        <w:rPr>
          <w:sz w:val="18"/>
        </w:rPr>
        <w:t>L.R., G.M. Hoversten and E. Gasperikova, 2003: Sensitivity and cost of monitoring geologic sequestration using geophysics. Proceedings 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w:t>
      </w:r>
      <w:r>
        <w:rPr>
          <w:i/>
          <w:sz w:val="18"/>
        </w:rPr>
        <w:t>Pergamon</w:t>
      </w:r>
      <w:r>
        <w:rPr>
          <w:sz w:val="18"/>
        </w:rPr>
        <w:t>, </w:t>
      </w:r>
      <w:r>
        <w:rPr>
          <w:b/>
          <w:sz w:val="18"/>
        </w:rPr>
        <w:t>1</w:t>
      </w:r>
      <w:r>
        <w:rPr>
          <w:sz w:val="18"/>
        </w:rPr>
        <w:t>, 377–382.</w:t>
      </w:r>
    </w:p>
    <w:p>
      <w:pPr>
        <w:spacing w:line="278" w:lineRule="auto" w:before="0"/>
        <w:ind w:left="497" w:right="38" w:hanging="341"/>
        <w:jc w:val="both"/>
        <w:rPr>
          <w:sz w:val="18"/>
        </w:rPr>
      </w:pPr>
      <w:r>
        <w:rPr>
          <w:b/>
          <w:spacing w:val="-1"/>
          <w:sz w:val="18"/>
        </w:rPr>
        <w:t>NE</w:t>
      </w:r>
      <w:r>
        <w:rPr>
          <w:b/>
          <w:w w:val="200"/>
          <w:sz w:val="18"/>
        </w:rPr>
        <w:t>t</w:t>
      </w:r>
      <w:r>
        <w:rPr>
          <w:b/>
          <w:sz w:val="18"/>
        </w:rPr>
        <w:t>L,  </w:t>
      </w:r>
      <w:r>
        <w:rPr>
          <w:b/>
          <w:spacing w:val="1"/>
          <w:sz w:val="18"/>
        </w:rPr>
        <w:t> </w:t>
      </w:r>
      <w:r>
        <w:rPr>
          <w:sz w:val="18"/>
        </w:rPr>
        <w:t>2004:   Carbon   </w:t>
      </w:r>
      <w:r>
        <w:rPr>
          <w:spacing w:val="-1"/>
          <w:sz w:val="18"/>
        </w:rPr>
        <w:t>Sequestratio</w:t>
      </w:r>
      <w:r>
        <w:rPr>
          <w:sz w:val="18"/>
        </w:rPr>
        <w:t>n  </w:t>
      </w:r>
      <w:r>
        <w:rPr>
          <w:spacing w:val="-3"/>
          <w:sz w:val="18"/>
        </w:rPr>
        <w:t> </w:t>
      </w:r>
      <w:r>
        <w:rPr>
          <w:spacing w:val="-13"/>
          <w:sz w:val="18"/>
        </w:rPr>
        <w:t>T</w:t>
      </w:r>
      <w:r>
        <w:rPr>
          <w:sz w:val="18"/>
        </w:rPr>
        <w:t>echnology   Roadmap   and Program</w:t>
      </w:r>
      <w:r>
        <w:rPr>
          <w:spacing w:val="-18"/>
          <w:sz w:val="18"/>
        </w:rPr>
        <w:t> </w:t>
      </w:r>
      <w:r>
        <w:rPr>
          <w:sz w:val="18"/>
        </w:rPr>
        <w:t>Plan</w:t>
      </w:r>
      <w:r>
        <w:rPr>
          <w:spacing w:val="-17"/>
          <w:sz w:val="18"/>
        </w:rPr>
        <w:t> </w:t>
      </w:r>
      <w:r>
        <w:rPr>
          <w:sz w:val="18"/>
        </w:rPr>
        <w:t>–</w:t>
      </w:r>
      <w:r>
        <w:rPr>
          <w:spacing w:val="-17"/>
          <w:sz w:val="18"/>
        </w:rPr>
        <w:t> </w:t>
      </w:r>
      <w:r>
        <w:rPr>
          <w:sz w:val="18"/>
        </w:rPr>
        <w:t>2004.</w:t>
      </w:r>
      <w:r>
        <w:rPr>
          <w:spacing w:val="-16"/>
          <w:sz w:val="18"/>
        </w:rPr>
        <w:t> </w:t>
      </w:r>
      <w:r>
        <w:rPr>
          <w:sz w:val="18"/>
        </w:rPr>
        <w:t>US</w:t>
      </w:r>
      <w:r>
        <w:rPr>
          <w:spacing w:val="-17"/>
          <w:sz w:val="18"/>
        </w:rPr>
        <w:t> </w:t>
      </w:r>
      <w:r>
        <w:rPr>
          <w:sz w:val="18"/>
        </w:rPr>
        <w:t>Department</w:t>
      </w:r>
      <w:r>
        <w:rPr>
          <w:spacing w:val="-17"/>
          <w:sz w:val="18"/>
        </w:rPr>
        <w:t> </w:t>
      </w:r>
      <w:r>
        <w:rPr>
          <w:sz w:val="18"/>
        </w:rPr>
        <w:t>of</w:t>
      </w:r>
      <w:r>
        <w:rPr>
          <w:spacing w:val="-17"/>
          <w:sz w:val="18"/>
        </w:rPr>
        <w:t> </w:t>
      </w:r>
      <w:r>
        <w:rPr>
          <w:sz w:val="18"/>
        </w:rPr>
        <w:t>Energy</w:t>
      </w:r>
      <w:r>
        <w:rPr>
          <w:spacing w:val="-17"/>
          <w:sz w:val="18"/>
        </w:rPr>
        <w:t> </w:t>
      </w:r>
      <w:r>
        <w:rPr>
          <w:sz w:val="18"/>
        </w:rPr>
        <w:t>–</w:t>
      </w:r>
      <w:r>
        <w:rPr>
          <w:spacing w:val="-17"/>
          <w:sz w:val="18"/>
        </w:rPr>
        <w:t> </w:t>
      </w:r>
      <w:r>
        <w:rPr>
          <w:sz w:val="18"/>
        </w:rPr>
        <w:t>National</w:t>
      </w:r>
      <w:r>
        <w:rPr>
          <w:spacing w:val="-17"/>
          <w:sz w:val="18"/>
        </w:rPr>
        <w:t> </w:t>
      </w:r>
      <w:r>
        <w:rPr>
          <w:sz w:val="18"/>
        </w:rPr>
        <w:t>Energy Technology Laboratory Report, April 2004, </w:t>
      </w:r>
      <w:hyperlink r:id="rId268">
        <w:r>
          <w:rPr>
            <w:sz w:val="18"/>
          </w:rPr>
          <w:t>http://www.fe.doe.</w:t>
        </w:r>
      </w:hyperlink>
      <w:r>
        <w:rPr>
          <w:sz w:val="18"/>
        </w:rPr>
        <w:t> </w:t>
      </w:r>
      <w:r>
        <w:rPr>
          <w:spacing w:val="4"/>
          <w:sz w:val="18"/>
        </w:rPr>
        <w:t>gov/programs/sequestration/publications/programplans/2004/ </w:t>
      </w:r>
      <w:r>
        <w:rPr>
          <w:sz w:val="18"/>
        </w:rPr>
        <w:t>SequestrationRoadmap4-29-04.pdf</w:t>
      </w:r>
    </w:p>
    <w:p>
      <w:pPr>
        <w:spacing w:line="278" w:lineRule="auto" w:before="0"/>
        <w:ind w:left="497" w:right="41" w:hanging="341"/>
        <w:jc w:val="both"/>
        <w:rPr>
          <w:sz w:val="18"/>
        </w:rPr>
      </w:pPr>
      <w:r>
        <w:rPr>
          <w:b/>
          <w:sz w:val="18"/>
        </w:rPr>
        <w:t>Nimz, </w:t>
      </w:r>
      <w:r>
        <w:rPr>
          <w:sz w:val="18"/>
        </w:rPr>
        <w:t>G.J. and G.B. Hudson, 2005: The use of noble gas isotopes for monitoring</w:t>
      </w:r>
      <w:r>
        <w:rPr>
          <w:spacing w:val="15"/>
          <w:sz w:val="18"/>
        </w:rPr>
        <w:t> </w:t>
      </w:r>
      <w:r>
        <w:rPr>
          <w:sz w:val="18"/>
        </w:rPr>
        <w:t>leakage</w:t>
      </w:r>
      <w:r>
        <w:rPr>
          <w:spacing w:val="16"/>
          <w:sz w:val="18"/>
        </w:rPr>
        <w:t> </w:t>
      </w:r>
      <w:r>
        <w:rPr>
          <w:sz w:val="18"/>
        </w:rPr>
        <w:t>of</w:t>
      </w:r>
      <w:r>
        <w:rPr>
          <w:spacing w:val="15"/>
          <w:sz w:val="18"/>
        </w:rPr>
        <w:t> </w:t>
      </w:r>
      <w:r>
        <w:rPr>
          <w:sz w:val="18"/>
        </w:rPr>
        <w:t>geologically</w:t>
      </w:r>
      <w:r>
        <w:rPr>
          <w:spacing w:val="15"/>
          <w:sz w:val="18"/>
        </w:rPr>
        <w:t> </w:t>
      </w:r>
      <w:r>
        <w:rPr>
          <w:sz w:val="18"/>
        </w:rPr>
        <w:t>stored</w:t>
      </w:r>
      <w:r>
        <w:rPr>
          <w:spacing w:val="16"/>
          <w:sz w:val="18"/>
        </w:rPr>
        <w:t> </w:t>
      </w:r>
      <w:r>
        <w:rPr>
          <w:sz w:val="18"/>
        </w:rPr>
        <w:t>CO</w:t>
      </w:r>
      <w:r>
        <w:rPr>
          <w:position w:val="-5"/>
          <w:sz w:val="10"/>
        </w:rPr>
        <w:t>2</w:t>
      </w:r>
      <w:r>
        <w:rPr>
          <w:sz w:val="18"/>
        </w:rPr>
        <w:t>,</w:t>
      </w:r>
      <w:r>
        <w:rPr>
          <w:spacing w:val="15"/>
          <w:sz w:val="18"/>
        </w:rPr>
        <w:t> </w:t>
      </w:r>
      <w:r>
        <w:rPr>
          <w:sz w:val="18"/>
        </w:rPr>
        <w:t>Carbon</w:t>
      </w:r>
      <w:r>
        <w:rPr>
          <w:spacing w:val="16"/>
          <w:sz w:val="18"/>
        </w:rPr>
        <w:t> </w:t>
      </w:r>
      <w:r>
        <w:rPr>
          <w:sz w:val="18"/>
        </w:rPr>
        <w:t>Dioxide</w:t>
      </w:r>
    </w:p>
    <w:p>
      <w:pPr>
        <w:spacing w:line="164" w:lineRule="exact" w:before="0"/>
        <w:ind w:left="497" w:right="0" w:firstLine="0"/>
        <w:jc w:val="both"/>
        <w:rPr>
          <w:sz w:val="18"/>
        </w:rPr>
      </w:pPr>
      <w:r>
        <w:rPr>
          <w:sz w:val="18"/>
        </w:rPr>
        <w:t>Capture for Storage in Deep Geologic Formations—Results</w:t>
      </w:r>
      <w:r>
        <w:rPr>
          <w:spacing w:val="-19"/>
          <w:sz w:val="18"/>
        </w:rPr>
        <w:t> </w:t>
      </w:r>
      <w:r>
        <w:rPr>
          <w:sz w:val="18"/>
        </w:rPr>
        <w:t>from</w:t>
      </w:r>
    </w:p>
    <w:p>
      <w:pPr>
        <w:spacing w:line="240" w:lineRule="exact" w:before="7"/>
        <w:ind w:left="497" w:right="41" w:firstLine="0"/>
        <w:jc w:val="both"/>
        <w:rPr>
          <w:sz w:val="18"/>
        </w:rPr>
      </w:pPr>
      <w:r>
        <w:rPr>
          <w:sz w:val="18"/>
        </w:rPr>
        <w:t>the</w:t>
      </w:r>
      <w:r>
        <w:rPr>
          <w:spacing w:val="-14"/>
          <w:sz w:val="18"/>
        </w:rPr>
        <w:t> </w:t>
      </w:r>
      <w:r>
        <w:rPr>
          <w:sz w:val="18"/>
        </w:rPr>
        <w:t>CO</w:t>
      </w:r>
      <w:r>
        <w:rPr>
          <w:position w:val="-5"/>
          <w:sz w:val="10"/>
        </w:rPr>
        <w:t>2</w:t>
      </w:r>
      <w:r>
        <w:rPr>
          <w:spacing w:val="7"/>
          <w:position w:val="-5"/>
          <w:sz w:val="10"/>
        </w:rPr>
        <w:t> </w:t>
      </w:r>
      <w:r>
        <w:rPr>
          <w:sz w:val="18"/>
        </w:rPr>
        <w:t>Capture</w:t>
      </w:r>
      <w:r>
        <w:rPr>
          <w:spacing w:val="-13"/>
          <w:sz w:val="18"/>
        </w:rPr>
        <w:t> </w:t>
      </w:r>
      <w:r>
        <w:rPr>
          <w:sz w:val="18"/>
        </w:rPr>
        <w:t>Project,</w:t>
      </w:r>
      <w:r>
        <w:rPr>
          <w:spacing w:val="-14"/>
          <w:sz w:val="18"/>
        </w:rPr>
        <w:t> </w:t>
      </w:r>
      <w:r>
        <w:rPr>
          <w:spacing w:val="-6"/>
          <w:sz w:val="18"/>
        </w:rPr>
        <w:t>v.</w:t>
      </w:r>
      <w:r>
        <w:rPr>
          <w:spacing w:val="-13"/>
          <w:sz w:val="18"/>
        </w:rPr>
        <w:t> </w:t>
      </w:r>
      <w:r>
        <w:rPr>
          <w:sz w:val="18"/>
        </w:rPr>
        <w:t>2:</w:t>
      </w:r>
      <w:r>
        <w:rPr>
          <w:spacing w:val="-13"/>
          <w:sz w:val="18"/>
        </w:rPr>
        <w:t> </w:t>
      </w:r>
      <w:r>
        <w:rPr>
          <w:sz w:val="18"/>
        </w:rPr>
        <w:t>Geologic</w:t>
      </w:r>
      <w:r>
        <w:rPr>
          <w:spacing w:val="-14"/>
          <w:sz w:val="18"/>
        </w:rPr>
        <w:t> </w:t>
      </w:r>
      <w:r>
        <w:rPr>
          <w:sz w:val="18"/>
        </w:rPr>
        <w:t>Storage</w:t>
      </w:r>
      <w:r>
        <w:rPr>
          <w:spacing w:val="-13"/>
          <w:sz w:val="18"/>
        </w:rPr>
        <w:t> </w:t>
      </w:r>
      <w:r>
        <w:rPr>
          <w:sz w:val="18"/>
        </w:rPr>
        <w:t>of</w:t>
      </w:r>
      <w:r>
        <w:rPr>
          <w:spacing w:val="-13"/>
          <w:sz w:val="18"/>
        </w:rPr>
        <w:t> </w:t>
      </w:r>
      <w:r>
        <w:rPr>
          <w:sz w:val="18"/>
        </w:rPr>
        <w:t>Carbon</w:t>
      </w:r>
      <w:r>
        <w:rPr>
          <w:spacing w:val="-14"/>
          <w:sz w:val="18"/>
        </w:rPr>
        <w:t> </w:t>
      </w:r>
      <w:r>
        <w:rPr>
          <w:sz w:val="18"/>
        </w:rPr>
        <w:t>Dioxide with Monitoring and Verification S.M. Benson (ed.), Elsevier Science, London,. pp.</w:t>
      </w:r>
      <w:r>
        <w:rPr>
          <w:spacing w:val="-1"/>
          <w:sz w:val="18"/>
        </w:rPr>
        <w:t> </w:t>
      </w:r>
      <w:r>
        <w:rPr>
          <w:spacing w:val="-3"/>
          <w:sz w:val="18"/>
        </w:rPr>
        <w:t>1113–1130.</w:t>
      </w:r>
    </w:p>
    <w:p>
      <w:pPr>
        <w:spacing w:line="240" w:lineRule="exact" w:before="0"/>
        <w:ind w:left="166" w:right="39" w:firstLine="0"/>
        <w:jc w:val="right"/>
        <w:rPr>
          <w:sz w:val="18"/>
        </w:rPr>
      </w:pPr>
      <w:r>
        <w:rPr>
          <w:b/>
          <w:sz w:val="18"/>
        </w:rPr>
        <w:t>Nitao, </w:t>
      </w:r>
      <w:r>
        <w:rPr>
          <w:sz w:val="18"/>
        </w:rPr>
        <w:t>J.J., 1996: The NUFT code for modeling nonisothermal, multiphase, multicomponent flow and transport in porous media. EOS, </w:t>
      </w:r>
      <w:r>
        <w:rPr>
          <w:i/>
          <w:sz w:val="18"/>
        </w:rPr>
        <w:t>Transactions of the American Geophysical Union</w:t>
      </w:r>
      <w:r>
        <w:rPr>
          <w:sz w:val="18"/>
        </w:rPr>
        <w:t>, </w:t>
      </w:r>
      <w:r>
        <w:rPr>
          <w:b/>
          <w:sz w:val="18"/>
        </w:rPr>
        <w:t>74</w:t>
      </w:r>
      <w:r>
        <w:rPr>
          <w:sz w:val="18"/>
        </w:rPr>
        <w:t>(3), 3. </w:t>
      </w:r>
      <w:r>
        <w:rPr>
          <w:b/>
          <w:sz w:val="18"/>
        </w:rPr>
        <w:t>Nordbotten, </w:t>
      </w:r>
      <w:r>
        <w:rPr>
          <w:sz w:val="18"/>
        </w:rPr>
        <w:t>J.M., M.A. Celia and S. Bachu, 2005a: Injection and storage of CO</w:t>
      </w:r>
      <w:r>
        <w:rPr>
          <w:position w:val="-5"/>
          <w:sz w:val="10"/>
        </w:rPr>
        <w:t>2 </w:t>
      </w:r>
      <w:r>
        <w:rPr>
          <w:sz w:val="18"/>
        </w:rPr>
        <w:t>in deep saline aquifers: Analytical solution for CO</w:t>
      </w:r>
      <w:r>
        <w:rPr>
          <w:position w:val="-5"/>
          <w:sz w:val="10"/>
        </w:rPr>
        <w:t>2</w:t>
      </w:r>
      <w:r>
        <w:rPr>
          <w:w w:val="104"/>
          <w:position w:val="-5"/>
          <w:sz w:val="10"/>
        </w:rPr>
        <w:t> </w:t>
      </w:r>
      <w:r>
        <w:rPr>
          <w:sz w:val="18"/>
        </w:rPr>
        <w:t>plume evolution during injection. </w:t>
      </w:r>
      <w:r>
        <w:rPr>
          <w:i/>
          <w:sz w:val="18"/>
        </w:rPr>
        <w:t>Transport in Porous Media, </w:t>
      </w:r>
      <w:r>
        <w:rPr>
          <w:b/>
          <w:sz w:val="18"/>
        </w:rPr>
        <w:t>58</w:t>
      </w:r>
      <w:r>
        <w:rPr>
          <w:sz w:val="18"/>
        </w:rPr>
        <w:t>,</w:t>
      </w:r>
    </w:p>
    <w:p>
      <w:pPr>
        <w:spacing w:before="24"/>
        <w:ind w:left="497" w:right="0" w:firstLine="0"/>
        <w:jc w:val="both"/>
        <w:rPr>
          <w:sz w:val="18"/>
        </w:rPr>
      </w:pPr>
      <w:r>
        <w:rPr>
          <w:sz w:val="18"/>
        </w:rPr>
        <w:t>339–360, DOI 10.1007/s11242-004-0670-9.</w:t>
      </w:r>
    </w:p>
    <w:p>
      <w:pPr>
        <w:spacing w:line="240" w:lineRule="exact" w:before="9"/>
        <w:ind w:left="497" w:right="40" w:hanging="341"/>
        <w:jc w:val="both"/>
        <w:rPr>
          <w:sz w:val="18"/>
        </w:rPr>
      </w:pPr>
      <w:r>
        <w:rPr>
          <w:b/>
          <w:sz w:val="18"/>
        </w:rPr>
        <w:t>Nordbotten, </w:t>
      </w:r>
      <w:r>
        <w:rPr>
          <w:sz w:val="18"/>
        </w:rPr>
        <w:t>J.M., M.A. Celia and S. Bachu, 2005b: Semi-analytical solution</w:t>
      </w:r>
      <w:r>
        <w:rPr>
          <w:spacing w:val="-28"/>
          <w:sz w:val="18"/>
        </w:rPr>
        <w:t> </w:t>
      </w:r>
      <w:r>
        <w:rPr>
          <w:sz w:val="18"/>
        </w:rPr>
        <w:t>for</w:t>
      </w:r>
      <w:r>
        <w:rPr>
          <w:spacing w:val="-28"/>
          <w:sz w:val="18"/>
        </w:rPr>
        <w:t> </w:t>
      </w:r>
      <w:r>
        <w:rPr>
          <w:sz w:val="18"/>
        </w:rPr>
        <w:t>CO</w:t>
      </w:r>
      <w:r>
        <w:rPr>
          <w:position w:val="-5"/>
          <w:sz w:val="10"/>
        </w:rPr>
        <w:t>2</w:t>
      </w:r>
      <w:r>
        <w:rPr>
          <w:spacing w:val="-8"/>
          <w:position w:val="-5"/>
          <w:sz w:val="10"/>
        </w:rPr>
        <w:t> </w:t>
      </w:r>
      <w:r>
        <w:rPr>
          <w:sz w:val="18"/>
        </w:rPr>
        <w:t>leakage</w:t>
      </w:r>
      <w:r>
        <w:rPr>
          <w:spacing w:val="-27"/>
          <w:sz w:val="18"/>
        </w:rPr>
        <w:t> </w:t>
      </w:r>
      <w:r>
        <w:rPr>
          <w:sz w:val="18"/>
        </w:rPr>
        <w:t>through</w:t>
      </w:r>
      <w:r>
        <w:rPr>
          <w:spacing w:val="-28"/>
          <w:sz w:val="18"/>
        </w:rPr>
        <w:t> </w:t>
      </w:r>
      <w:r>
        <w:rPr>
          <w:sz w:val="18"/>
        </w:rPr>
        <w:t>an</w:t>
      </w:r>
      <w:r>
        <w:rPr>
          <w:spacing w:val="-28"/>
          <w:sz w:val="18"/>
        </w:rPr>
        <w:t> </w:t>
      </w:r>
      <w:r>
        <w:rPr>
          <w:sz w:val="18"/>
        </w:rPr>
        <w:t>abandoned</w:t>
      </w:r>
      <w:r>
        <w:rPr>
          <w:spacing w:val="-28"/>
          <w:sz w:val="18"/>
        </w:rPr>
        <w:t> </w:t>
      </w:r>
      <w:r>
        <w:rPr>
          <w:sz w:val="18"/>
        </w:rPr>
        <w:t>well.</w:t>
      </w:r>
      <w:r>
        <w:rPr>
          <w:spacing w:val="-28"/>
          <w:sz w:val="18"/>
        </w:rPr>
        <w:t> </w:t>
      </w:r>
      <w:r>
        <w:rPr>
          <w:i/>
          <w:sz w:val="18"/>
        </w:rPr>
        <w:t>Environmental </w:t>
      </w:r>
      <w:r>
        <w:rPr>
          <w:i/>
          <w:sz w:val="18"/>
        </w:rPr>
        <w:t>Science and Technology</w:t>
      </w:r>
      <w:r>
        <w:rPr>
          <w:sz w:val="18"/>
        </w:rPr>
        <w:t>, </w:t>
      </w:r>
      <w:r>
        <w:rPr>
          <w:b/>
          <w:sz w:val="18"/>
        </w:rPr>
        <w:t>39</w:t>
      </w:r>
      <w:r>
        <w:rPr>
          <w:sz w:val="18"/>
        </w:rPr>
        <w:t>(2),</w:t>
      </w:r>
      <w:r>
        <w:rPr>
          <w:spacing w:val="-3"/>
          <w:sz w:val="18"/>
        </w:rPr>
        <w:t> </w:t>
      </w:r>
      <w:r>
        <w:rPr>
          <w:sz w:val="18"/>
        </w:rPr>
        <w:t>602–611.</w:t>
      </w:r>
    </w:p>
    <w:p>
      <w:pPr>
        <w:spacing w:line="278" w:lineRule="auto" w:before="24"/>
        <w:ind w:left="497" w:right="40" w:hanging="341"/>
        <w:jc w:val="both"/>
        <w:rPr>
          <w:sz w:val="18"/>
        </w:rPr>
      </w:pPr>
      <w:r>
        <w:rPr>
          <w:b/>
          <w:sz w:val="18"/>
        </w:rPr>
        <w:t>North, </w:t>
      </w:r>
      <w:r>
        <w:rPr>
          <w:spacing w:val="-4"/>
          <w:sz w:val="18"/>
        </w:rPr>
        <w:t>D.W., </w:t>
      </w:r>
      <w:r>
        <w:rPr>
          <w:sz w:val="18"/>
        </w:rPr>
        <w:t>1999: A perspective on nuclear waste. </w:t>
      </w:r>
      <w:r>
        <w:rPr>
          <w:i/>
          <w:sz w:val="18"/>
        </w:rPr>
        <w:t>Risk Analysis</w:t>
      </w:r>
      <w:r>
        <w:rPr>
          <w:sz w:val="18"/>
        </w:rPr>
        <w:t>,</w:t>
      </w:r>
      <w:r>
        <w:rPr>
          <w:spacing w:val="-31"/>
          <w:sz w:val="18"/>
        </w:rPr>
        <w:t> </w:t>
      </w:r>
      <w:r>
        <w:rPr>
          <w:b/>
          <w:sz w:val="18"/>
        </w:rPr>
        <w:t>19</w:t>
      </w:r>
      <w:r>
        <w:rPr>
          <w:sz w:val="18"/>
        </w:rPr>
        <w:t>, 751–758.</w:t>
      </w:r>
    </w:p>
    <w:p>
      <w:pPr>
        <w:spacing w:line="278" w:lineRule="auto" w:before="0"/>
        <w:ind w:left="497" w:right="40" w:hanging="341"/>
        <w:jc w:val="both"/>
        <w:rPr>
          <w:sz w:val="18"/>
        </w:rPr>
      </w:pPr>
      <w:r>
        <w:rPr>
          <w:b/>
          <w:sz w:val="18"/>
        </w:rPr>
        <w:t>Obdam,</w:t>
      </w:r>
      <w:r>
        <w:rPr>
          <w:b/>
          <w:spacing w:val="-22"/>
          <w:sz w:val="18"/>
        </w:rPr>
        <w:t> </w:t>
      </w:r>
      <w:r>
        <w:rPr>
          <w:sz w:val="18"/>
        </w:rPr>
        <w:t>A.,</w:t>
      </w:r>
      <w:r>
        <w:rPr>
          <w:spacing w:val="-11"/>
          <w:sz w:val="18"/>
        </w:rPr>
        <w:t> </w:t>
      </w:r>
      <w:r>
        <w:rPr>
          <w:sz w:val="18"/>
        </w:rPr>
        <w:t>L.G.H.</w:t>
      </w:r>
      <w:r>
        <w:rPr>
          <w:spacing w:val="-12"/>
          <w:sz w:val="18"/>
        </w:rPr>
        <w:t> </w:t>
      </w:r>
      <w:r>
        <w:rPr>
          <w:sz w:val="18"/>
        </w:rPr>
        <w:t>van</w:t>
      </w:r>
      <w:r>
        <w:rPr>
          <w:spacing w:val="-11"/>
          <w:sz w:val="18"/>
        </w:rPr>
        <w:t> </w:t>
      </w:r>
      <w:r>
        <w:rPr>
          <w:sz w:val="18"/>
        </w:rPr>
        <w:t>der</w:t>
      </w:r>
      <w:r>
        <w:rPr>
          <w:spacing w:val="-12"/>
          <w:sz w:val="18"/>
        </w:rPr>
        <w:t> </w:t>
      </w:r>
      <w:r>
        <w:rPr>
          <w:spacing w:val="-3"/>
          <w:sz w:val="18"/>
        </w:rPr>
        <w:t>Meer,</w:t>
      </w:r>
      <w:r>
        <w:rPr>
          <w:spacing w:val="-11"/>
          <w:sz w:val="18"/>
        </w:rPr>
        <w:t> </w:t>
      </w:r>
      <w:r>
        <w:rPr>
          <w:spacing w:val="-8"/>
          <w:sz w:val="18"/>
        </w:rPr>
        <w:t>F.</w:t>
      </w:r>
      <w:r>
        <w:rPr>
          <w:spacing w:val="-12"/>
          <w:sz w:val="18"/>
        </w:rPr>
        <w:t> </w:t>
      </w:r>
      <w:r>
        <w:rPr>
          <w:spacing w:val="-4"/>
          <w:sz w:val="18"/>
        </w:rPr>
        <w:t>May,</w:t>
      </w:r>
      <w:r>
        <w:rPr>
          <w:spacing w:val="-11"/>
          <w:sz w:val="18"/>
        </w:rPr>
        <w:t> </w:t>
      </w:r>
      <w:r>
        <w:rPr>
          <w:sz w:val="18"/>
        </w:rPr>
        <w:t>C.</w:t>
      </w:r>
      <w:r>
        <w:rPr>
          <w:spacing w:val="-11"/>
          <w:sz w:val="18"/>
        </w:rPr>
        <w:t> </w:t>
      </w:r>
      <w:r>
        <w:rPr>
          <w:sz w:val="18"/>
        </w:rPr>
        <w:t>Kervevan,</w:t>
      </w:r>
      <w:r>
        <w:rPr>
          <w:spacing w:val="-13"/>
          <w:sz w:val="18"/>
        </w:rPr>
        <w:t> </w:t>
      </w:r>
      <w:r>
        <w:rPr>
          <w:sz w:val="18"/>
        </w:rPr>
        <w:t>N.</w:t>
      </w:r>
      <w:r>
        <w:rPr>
          <w:spacing w:val="-11"/>
          <w:sz w:val="18"/>
        </w:rPr>
        <w:t> </w:t>
      </w:r>
      <w:r>
        <w:rPr>
          <w:sz w:val="18"/>
        </w:rPr>
        <w:t>Bech</w:t>
      </w:r>
      <w:r>
        <w:rPr>
          <w:spacing w:val="-12"/>
          <w:sz w:val="18"/>
        </w:rPr>
        <w:t> </w:t>
      </w:r>
      <w:r>
        <w:rPr>
          <w:sz w:val="18"/>
        </w:rPr>
        <w:t>and</w:t>
      </w:r>
      <w:r>
        <w:rPr>
          <w:spacing w:val="-21"/>
          <w:sz w:val="18"/>
        </w:rPr>
        <w:t> </w:t>
      </w:r>
      <w:r>
        <w:rPr>
          <w:sz w:val="18"/>
        </w:rPr>
        <w:t>A. Wildenborg, 2003: Effective CO</w:t>
      </w:r>
      <w:r>
        <w:rPr>
          <w:position w:val="-5"/>
          <w:sz w:val="10"/>
        </w:rPr>
        <w:t>2 </w:t>
      </w:r>
      <w:r>
        <w:rPr>
          <w:sz w:val="18"/>
        </w:rPr>
        <w:t>storage capacity in aquifers,</w:t>
      </w:r>
      <w:r>
        <w:rPr>
          <w:spacing w:val="-25"/>
          <w:sz w:val="18"/>
        </w:rPr>
        <w:t> </w:t>
      </w:r>
      <w:r>
        <w:rPr>
          <w:sz w:val="18"/>
        </w:rPr>
        <w:t>gas</w:t>
      </w:r>
    </w:p>
    <w:p>
      <w:pPr>
        <w:spacing w:line="164" w:lineRule="exact" w:before="0"/>
        <w:ind w:left="497" w:right="0" w:firstLine="0"/>
        <w:jc w:val="both"/>
        <w:rPr>
          <w:sz w:val="18"/>
        </w:rPr>
      </w:pPr>
      <w:r>
        <w:rPr>
          <w:sz w:val="18"/>
        </w:rPr>
        <w:t>fields,</w:t>
      </w:r>
      <w:r>
        <w:rPr>
          <w:spacing w:val="-14"/>
          <w:sz w:val="18"/>
        </w:rPr>
        <w:t> </w:t>
      </w:r>
      <w:r>
        <w:rPr>
          <w:sz w:val="18"/>
        </w:rPr>
        <w:t>oil</w:t>
      </w:r>
      <w:r>
        <w:rPr>
          <w:spacing w:val="-13"/>
          <w:sz w:val="18"/>
        </w:rPr>
        <w:t> </w:t>
      </w:r>
      <w:r>
        <w:rPr>
          <w:sz w:val="18"/>
        </w:rPr>
        <w:t>fields</w:t>
      </w:r>
      <w:r>
        <w:rPr>
          <w:spacing w:val="-13"/>
          <w:sz w:val="18"/>
        </w:rPr>
        <w:t> </w:t>
      </w:r>
      <w:r>
        <w:rPr>
          <w:sz w:val="18"/>
        </w:rPr>
        <w:t>and</w:t>
      </w:r>
      <w:r>
        <w:rPr>
          <w:spacing w:val="-13"/>
          <w:sz w:val="18"/>
        </w:rPr>
        <w:t> </w:t>
      </w:r>
      <w:r>
        <w:rPr>
          <w:sz w:val="18"/>
        </w:rPr>
        <w:t>coal</w:t>
      </w:r>
      <w:r>
        <w:rPr>
          <w:spacing w:val="-13"/>
          <w:sz w:val="18"/>
        </w:rPr>
        <w:t> </w:t>
      </w:r>
      <w:r>
        <w:rPr>
          <w:sz w:val="18"/>
        </w:rPr>
        <w:t>fields.</w:t>
      </w:r>
      <w:r>
        <w:rPr>
          <w:spacing w:val="-14"/>
          <w:sz w:val="18"/>
        </w:rPr>
        <w:t> </w:t>
      </w:r>
      <w:r>
        <w:rPr>
          <w:sz w:val="18"/>
        </w:rPr>
        <w:t>Proceedings</w:t>
      </w:r>
      <w:r>
        <w:rPr>
          <w:spacing w:val="-13"/>
          <w:sz w:val="18"/>
        </w:rPr>
        <w:t> </w:t>
      </w:r>
      <w:r>
        <w:rPr>
          <w:sz w:val="18"/>
        </w:rPr>
        <w:t>of</w:t>
      </w:r>
      <w:r>
        <w:rPr>
          <w:spacing w:val="-13"/>
          <w:sz w:val="18"/>
        </w:rPr>
        <w:t> </w:t>
      </w:r>
      <w:r>
        <w:rPr>
          <w:sz w:val="18"/>
        </w:rPr>
        <w:t>the</w:t>
      </w:r>
      <w:r>
        <w:rPr>
          <w:spacing w:val="-13"/>
          <w:sz w:val="18"/>
        </w:rPr>
        <w:t> </w:t>
      </w:r>
      <w:r>
        <w:rPr>
          <w:sz w:val="18"/>
        </w:rPr>
        <w:t>6</w:t>
      </w:r>
      <w:r>
        <w:rPr>
          <w:position w:val="6"/>
          <w:sz w:val="10"/>
        </w:rPr>
        <w:t>th</w:t>
      </w:r>
      <w:r>
        <w:rPr>
          <w:spacing w:val="7"/>
          <w:position w:val="6"/>
          <w:sz w:val="10"/>
        </w:rPr>
        <w:t> </w:t>
      </w:r>
      <w:r>
        <w:rPr>
          <w:sz w:val="18"/>
        </w:rPr>
        <w:t>International</w:t>
      </w:r>
    </w:p>
    <w:p>
      <w:pPr>
        <w:spacing w:line="278" w:lineRule="auto" w:before="33"/>
        <w:ind w:left="497" w:right="41" w:firstLine="0"/>
        <w:jc w:val="both"/>
        <w:rPr>
          <w:sz w:val="18"/>
        </w:rPr>
      </w:pPr>
      <w:r>
        <w:rPr>
          <w:sz w:val="18"/>
        </w:rPr>
        <w:t>Conference on Greenhouse Gas Control Technologies (GHGT- 6), J. Gale and Y. Kaya (eds.), 1–4 October 2002, Kyoto, Japan, Pergamon, v.I, 339–344.</w:t>
      </w:r>
    </w:p>
    <w:p>
      <w:pPr>
        <w:spacing w:line="207" w:lineRule="exact" w:before="0"/>
        <w:ind w:left="157" w:right="0" w:firstLine="0"/>
        <w:jc w:val="both"/>
        <w:rPr>
          <w:sz w:val="18"/>
        </w:rPr>
      </w:pPr>
      <w:r>
        <w:rPr>
          <w:b/>
          <w:sz w:val="18"/>
        </w:rPr>
        <w:t>Oen, </w:t>
      </w:r>
      <w:r>
        <w:rPr>
          <w:sz w:val="18"/>
        </w:rPr>
        <w:t>P. M., 2003: The development of the Greater Gorgon Gas Fields.</w:t>
      </w:r>
    </w:p>
    <w:p>
      <w:pPr>
        <w:spacing w:before="33"/>
        <w:ind w:left="497" w:right="0" w:firstLine="0"/>
        <w:jc w:val="both"/>
        <w:rPr>
          <w:sz w:val="18"/>
        </w:rPr>
      </w:pPr>
      <w:r>
        <w:rPr>
          <w:i/>
          <w:sz w:val="18"/>
        </w:rPr>
        <w:t>The APPEA Journal 2003</w:t>
      </w:r>
      <w:r>
        <w:rPr>
          <w:sz w:val="18"/>
        </w:rPr>
        <w:t>, </w:t>
      </w:r>
      <w:r>
        <w:rPr>
          <w:b/>
          <w:sz w:val="18"/>
        </w:rPr>
        <w:t>43</w:t>
      </w:r>
      <w:r>
        <w:rPr>
          <w:sz w:val="18"/>
        </w:rPr>
        <w:t>(2), 167–177.</w:t>
      </w:r>
    </w:p>
    <w:p>
      <w:pPr>
        <w:spacing w:line="278" w:lineRule="auto" w:before="33"/>
        <w:ind w:left="497" w:right="40" w:hanging="341"/>
        <w:jc w:val="both"/>
        <w:rPr>
          <w:sz w:val="18"/>
        </w:rPr>
      </w:pPr>
      <w:r>
        <w:rPr>
          <w:b/>
          <w:sz w:val="18"/>
        </w:rPr>
        <w:t>Oil and Gas Conservation Regulations, 1985 </w:t>
      </w:r>
      <w:r>
        <w:rPr>
          <w:sz w:val="18"/>
        </w:rPr>
        <w:t>(with amendments through 2000): Saskatchewan Industry and Resources, 70 pp.</w:t>
      </w:r>
    </w:p>
    <w:p>
      <w:pPr>
        <w:spacing w:line="278" w:lineRule="auto" w:before="0"/>
        <w:ind w:left="497" w:right="41" w:hanging="341"/>
        <w:jc w:val="both"/>
        <w:rPr>
          <w:sz w:val="18"/>
        </w:rPr>
      </w:pPr>
      <w:r>
        <w:rPr>
          <w:b/>
          <w:sz w:val="18"/>
        </w:rPr>
        <w:t>Oldenburg,</w:t>
      </w:r>
      <w:r>
        <w:rPr>
          <w:b/>
          <w:spacing w:val="-4"/>
          <w:sz w:val="18"/>
        </w:rPr>
        <w:t> </w:t>
      </w:r>
      <w:r>
        <w:rPr>
          <w:sz w:val="18"/>
        </w:rPr>
        <w:t>C.M.</w:t>
      </w:r>
      <w:r>
        <w:rPr>
          <w:spacing w:val="-4"/>
          <w:sz w:val="18"/>
        </w:rPr>
        <w:t> </w:t>
      </w:r>
      <w:r>
        <w:rPr>
          <w:sz w:val="18"/>
        </w:rPr>
        <w:t>and</w:t>
      </w:r>
      <w:r>
        <w:rPr>
          <w:spacing w:val="-14"/>
          <w:sz w:val="18"/>
        </w:rPr>
        <w:t> </w:t>
      </w:r>
      <w:r>
        <w:rPr>
          <w:sz w:val="18"/>
        </w:rPr>
        <w:t>A.J.</w:t>
      </w:r>
      <w:r>
        <w:rPr>
          <w:spacing w:val="-4"/>
          <w:sz w:val="18"/>
        </w:rPr>
        <w:t> </w:t>
      </w:r>
      <w:r>
        <w:rPr>
          <w:spacing w:val="-2"/>
          <w:sz w:val="18"/>
        </w:rPr>
        <w:t>Unger,</w:t>
      </w:r>
      <w:r>
        <w:rPr>
          <w:spacing w:val="-4"/>
          <w:sz w:val="18"/>
        </w:rPr>
        <w:t> </w:t>
      </w:r>
      <w:r>
        <w:rPr>
          <w:sz w:val="18"/>
        </w:rPr>
        <w:t>2003:</w:t>
      </w:r>
      <w:r>
        <w:rPr>
          <w:spacing w:val="-4"/>
          <w:sz w:val="18"/>
        </w:rPr>
        <w:t> </w:t>
      </w:r>
      <w:r>
        <w:rPr>
          <w:sz w:val="18"/>
        </w:rPr>
        <w:t>On</w:t>
      </w:r>
      <w:r>
        <w:rPr>
          <w:spacing w:val="-4"/>
          <w:sz w:val="18"/>
        </w:rPr>
        <w:t> </w:t>
      </w:r>
      <w:r>
        <w:rPr>
          <w:sz w:val="18"/>
        </w:rPr>
        <w:t>leakage</w:t>
      </w:r>
      <w:r>
        <w:rPr>
          <w:spacing w:val="-4"/>
          <w:sz w:val="18"/>
        </w:rPr>
        <w:t> </w:t>
      </w:r>
      <w:r>
        <w:rPr>
          <w:sz w:val="18"/>
        </w:rPr>
        <w:t>and</w:t>
      </w:r>
      <w:r>
        <w:rPr>
          <w:spacing w:val="-4"/>
          <w:sz w:val="18"/>
        </w:rPr>
        <w:t> </w:t>
      </w:r>
      <w:r>
        <w:rPr>
          <w:sz w:val="18"/>
        </w:rPr>
        <w:t>seepage</w:t>
      </w:r>
      <w:r>
        <w:rPr>
          <w:spacing w:val="-4"/>
          <w:sz w:val="18"/>
        </w:rPr>
        <w:t> </w:t>
      </w:r>
      <w:r>
        <w:rPr>
          <w:sz w:val="18"/>
        </w:rPr>
        <w:t>from geologic carbon sequestration sites: unsaturated zone attenuation. </w:t>
      </w:r>
      <w:r>
        <w:rPr>
          <w:i/>
          <w:spacing w:val="-4"/>
          <w:sz w:val="18"/>
        </w:rPr>
        <w:t>Vadose </w:t>
      </w:r>
      <w:r>
        <w:rPr>
          <w:i/>
          <w:sz w:val="18"/>
        </w:rPr>
        <w:t>Zone Journal</w:t>
      </w:r>
      <w:r>
        <w:rPr>
          <w:sz w:val="18"/>
        </w:rPr>
        <w:t>, </w:t>
      </w:r>
      <w:r>
        <w:rPr>
          <w:b/>
          <w:sz w:val="18"/>
        </w:rPr>
        <w:t>2</w:t>
      </w:r>
      <w:r>
        <w:rPr>
          <w:sz w:val="18"/>
        </w:rPr>
        <w:t>,</w:t>
      </w:r>
      <w:r>
        <w:rPr>
          <w:spacing w:val="3"/>
          <w:sz w:val="18"/>
        </w:rPr>
        <w:t> </w:t>
      </w:r>
      <w:r>
        <w:rPr>
          <w:sz w:val="18"/>
        </w:rPr>
        <w:t>287–296.</w:t>
      </w:r>
    </w:p>
    <w:p>
      <w:pPr>
        <w:spacing w:line="278" w:lineRule="auto" w:before="0"/>
        <w:ind w:left="497" w:right="41" w:hanging="341"/>
        <w:jc w:val="both"/>
        <w:rPr>
          <w:sz w:val="18"/>
        </w:rPr>
      </w:pPr>
      <w:r>
        <w:rPr>
          <w:b/>
          <w:sz w:val="18"/>
        </w:rPr>
        <w:t>Oldenburg,</w:t>
      </w:r>
      <w:r>
        <w:rPr>
          <w:b/>
          <w:spacing w:val="-15"/>
          <w:sz w:val="18"/>
        </w:rPr>
        <w:t> </w:t>
      </w:r>
      <w:r>
        <w:rPr>
          <w:sz w:val="18"/>
        </w:rPr>
        <w:t>C.M.</w:t>
      </w:r>
      <w:r>
        <w:rPr>
          <w:spacing w:val="-15"/>
          <w:sz w:val="18"/>
        </w:rPr>
        <w:t> </w:t>
      </w:r>
      <w:r>
        <w:rPr>
          <w:sz w:val="18"/>
        </w:rPr>
        <w:t>and</w:t>
      </w:r>
      <w:r>
        <w:rPr>
          <w:spacing w:val="-23"/>
          <w:sz w:val="18"/>
        </w:rPr>
        <w:t> </w:t>
      </w:r>
      <w:r>
        <w:rPr>
          <w:sz w:val="18"/>
        </w:rPr>
        <w:t>A.J.A.</w:t>
      </w:r>
      <w:r>
        <w:rPr>
          <w:spacing w:val="-15"/>
          <w:sz w:val="18"/>
        </w:rPr>
        <w:t> </w:t>
      </w:r>
      <w:r>
        <w:rPr>
          <w:spacing w:val="-2"/>
          <w:sz w:val="18"/>
        </w:rPr>
        <w:t>Unger,</w:t>
      </w:r>
      <w:r>
        <w:rPr>
          <w:spacing w:val="-15"/>
          <w:sz w:val="18"/>
        </w:rPr>
        <w:t> </w:t>
      </w:r>
      <w:r>
        <w:rPr>
          <w:sz w:val="18"/>
        </w:rPr>
        <w:t>2004:</w:t>
      </w:r>
      <w:r>
        <w:rPr>
          <w:spacing w:val="-15"/>
          <w:sz w:val="18"/>
        </w:rPr>
        <w:t> </w:t>
      </w:r>
      <w:r>
        <w:rPr>
          <w:sz w:val="18"/>
        </w:rPr>
        <w:t>Coupled</w:t>
      </w:r>
      <w:r>
        <w:rPr>
          <w:spacing w:val="-15"/>
          <w:sz w:val="18"/>
        </w:rPr>
        <w:t> </w:t>
      </w:r>
      <w:r>
        <w:rPr>
          <w:sz w:val="18"/>
        </w:rPr>
        <w:t>subsurface-surface layer gas transport for geologic carbon sequestration seepage simulation. </w:t>
      </w:r>
      <w:r>
        <w:rPr>
          <w:i/>
          <w:spacing w:val="-4"/>
          <w:sz w:val="18"/>
        </w:rPr>
        <w:t>Vadose </w:t>
      </w:r>
      <w:r>
        <w:rPr>
          <w:i/>
          <w:sz w:val="18"/>
        </w:rPr>
        <w:t>Zone Journal</w:t>
      </w:r>
      <w:r>
        <w:rPr>
          <w:sz w:val="18"/>
        </w:rPr>
        <w:t>, </w:t>
      </w:r>
      <w:r>
        <w:rPr>
          <w:b/>
          <w:sz w:val="18"/>
        </w:rPr>
        <w:t>3</w:t>
      </w:r>
      <w:r>
        <w:rPr>
          <w:sz w:val="18"/>
        </w:rPr>
        <w:t>,</w:t>
      </w:r>
      <w:r>
        <w:rPr>
          <w:spacing w:val="1"/>
          <w:sz w:val="18"/>
        </w:rPr>
        <w:t> </w:t>
      </w:r>
      <w:r>
        <w:rPr>
          <w:sz w:val="18"/>
        </w:rPr>
        <w:t>848–857.</w:t>
      </w:r>
    </w:p>
    <w:p>
      <w:pPr>
        <w:spacing w:line="240" w:lineRule="exact" w:before="43"/>
        <w:ind w:left="497" w:right="531" w:hanging="341"/>
        <w:jc w:val="both"/>
        <w:rPr>
          <w:sz w:val="18"/>
        </w:rPr>
      </w:pPr>
      <w:r>
        <w:rPr/>
        <w:br w:type="column"/>
      </w:r>
      <w:r>
        <w:rPr>
          <w:b/>
          <w:sz w:val="18"/>
        </w:rPr>
        <w:t>Oldenburg, </w:t>
      </w:r>
      <w:r>
        <w:rPr>
          <w:sz w:val="18"/>
        </w:rPr>
        <w:t>C.M., K. Pruess and S. M. Benson, 2001: Process modeling of CO</w:t>
      </w:r>
      <w:r>
        <w:rPr>
          <w:position w:val="-5"/>
          <w:sz w:val="10"/>
        </w:rPr>
        <w:t>2 </w:t>
      </w:r>
      <w:r>
        <w:rPr>
          <w:sz w:val="18"/>
        </w:rPr>
        <w:t>injection into natural gas reservoirs for carbon sequestration and enhanced gas recovery. </w:t>
      </w:r>
      <w:r>
        <w:rPr>
          <w:i/>
          <w:sz w:val="18"/>
        </w:rPr>
        <w:t>Energy and Fuels</w:t>
      </w:r>
      <w:r>
        <w:rPr>
          <w:sz w:val="18"/>
        </w:rPr>
        <w:t>, </w:t>
      </w:r>
      <w:r>
        <w:rPr>
          <w:b/>
          <w:sz w:val="18"/>
        </w:rPr>
        <w:t>15</w:t>
      </w:r>
      <w:r>
        <w:rPr>
          <w:sz w:val="18"/>
        </w:rPr>
        <w:t>, 293–298.</w:t>
      </w:r>
    </w:p>
    <w:p>
      <w:pPr>
        <w:spacing w:line="278" w:lineRule="auto" w:before="24"/>
        <w:ind w:left="497" w:right="532" w:hanging="341"/>
        <w:jc w:val="both"/>
        <w:rPr>
          <w:sz w:val="18"/>
        </w:rPr>
      </w:pPr>
      <w:r>
        <w:rPr>
          <w:b/>
          <w:sz w:val="18"/>
        </w:rPr>
        <w:t>Oldenburg, </w:t>
      </w:r>
      <w:r>
        <w:rPr>
          <w:sz w:val="18"/>
        </w:rPr>
        <w:t>C.M., S.H. Stevens and S.M. Benson, 2002: Economic Feasibility</w:t>
      </w:r>
      <w:r>
        <w:rPr>
          <w:spacing w:val="-6"/>
          <w:sz w:val="18"/>
        </w:rPr>
        <w:t> </w:t>
      </w:r>
      <w:r>
        <w:rPr>
          <w:sz w:val="18"/>
        </w:rPr>
        <w:t>of</w:t>
      </w:r>
      <w:r>
        <w:rPr>
          <w:spacing w:val="-5"/>
          <w:sz w:val="18"/>
        </w:rPr>
        <w:t> </w:t>
      </w:r>
      <w:r>
        <w:rPr>
          <w:sz w:val="18"/>
        </w:rPr>
        <w:t>Carbon</w:t>
      </w:r>
      <w:r>
        <w:rPr>
          <w:spacing w:val="-6"/>
          <w:sz w:val="18"/>
        </w:rPr>
        <w:t> </w:t>
      </w:r>
      <w:r>
        <w:rPr>
          <w:sz w:val="18"/>
        </w:rPr>
        <w:t>Sequestration</w:t>
      </w:r>
      <w:r>
        <w:rPr>
          <w:spacing w:val="-5"/>
          <w:sz w:val="18"/>
        </w:rPr>
        <w:t> </w:t>
      </w:r>
      <w:r>
        <w:rPr>
          <w:sz w:val="18"/>
        </w:rPr>
        <w:t>with</w:t>
      </w:r>
      <w:r>
        <w:rPr>
          <w:spacing w:val="-6"/>
          <w:sz w:val="18"/>
        </w:rPr>
        <w:t> </w:t>
      </w:r>
      <w:r>
        <w:rPr>
          <w:sz w:val="18"/>
        </w:rPr>
        <w:t>Enhanced</w:t>
      </w:r>
      <w:r>
        <w:rPr>
          <w:spacing w:val="-5"/>
          <w:sz w:val="18"/>
        </w:rPr>
        <w:t> </w:t>
      </w:r>
      <w:r>
        <w:rPr>
          <w:sz w:val="18"/>
        </w:rPr>
        <w:t>Gas</w:t>
      </w:r>
      <w:r>
        <w:rPr>
          <w:spacing w:val="-6"/>
          <w:sz w:val="18"/>
        </w:rPr>
        <w:t> </w:t>
      </w:r>
      <w:r>
        <w:rPr>
          <w:sz w:val="18"/>
        </w:rPr>
        <w:t>Recovery (CSEGR). Proceedings of the 6</w:t>
      </w:r>
      <w:r>
        <w:rPr>
          <w:position w:val="6"/>
          <w:sz w:val="10"/>
        </w:rPr>
        <w:t>th </w:t>
      </w:r>
      <w:r>
        <w:rPr>
          <w:sz w:val="18"/>
        </w:rPr>
        <w:t>International Conference on Greenhouse Gas Control Technologies (GHGT-6), J. Gale</w:t>
      </w:r>
      <w:r>
        <w:rPr>
          <w:spacing w:val="-22"/>
          <w:sz w:val="18"/>
        </w:rPr>
        <w:t> </w:t>
      </w:r>
      <w:r>
        <w:rPr>
          <w:sz w:val="18"/>
        </w:rPr>
        <w:t>and</w:t>
      </w:r>
    </w:p>
    <w:p>
      <w:pPr>
        <w:spacing w:line="278" w:lineRule="auto" w:before="0"/>
        <w:ind w:left="497" w:right="534" w:firstLine="0"/>
        <w:jc w:val="both"/>
        <w:rPr>
          <w:sz w:val="18"/>
        </w:rPr>
      </w:pPr>
      <w:r>
        <w:rPr>
          <w:sz w:val="18"/>
        </w:rPr>
        <w:t>Y. Kaya (eds.), 1–4 October 2002, Kyoto, Japan, Pergamon, v.I, 691–696.</w:t>
      </w:r>
    </w:p>
    <w:p>
      <w:pPr>
        <w:spacing w:line="245" w:lineRule="exact" w:before="0"/>
        <w:ind w:left="156" w:right="0" w:firstLine="0"/>
        <w:jc w:val="both"/>
        <w:rPr>
          <w:sz w:val="18"/>
        </w:rPr>
      </w:pPr>
      <w:r>
        <w:rPr>
          <w:b/>
          <w:sz w:val="18"/>
        </w:rPr>
        <w:t>Onstott,  </w:t>
      </w:r>
      <w:r>
        <w:rPr>
          <w:spacing w:val="-5"/>
          <w:sz w:val="18"/>
        </w:rPr>
        <w:t>T.,   </w:t>
      </w:r>
      <w:r>
        <w:rPr>
          <w:sz w:val="18"/>
        </w:rPr>
        <w:t>2005:  Impact  of  CO</w:t>
      </w:r>
      <w:r>
        <w:rPr>
          <w:position w:val="-5"/>
          <w:sz w:val="10"/>
        </w:rPr>
        <w:t>2    </w:t>
      </w:r>
      <w:r>
        <w:rPr>
          <w:sz w:val="18"/>
        </w:rPr>
        <w:t>injections  on  deep </w:t>
      </w:r>
      <w:r>
        <w:rPr>
          <w:spacing w:val="40"/>
          <w:sz w:val="18"/>
        </w:rPr>
        <w:t> </w:t>
      </w:r>
      <w:r>
        <w:rPr>
          <w:sz w:val="18"/>
        </w:rPr>
        <w:t>subsurface</w:t>
      </w:r>
    </w:p>
    <w:p>
      <w:pPr>
        <w:spacing w:line="278" w:lineRule="auto" w:before="0"/>
        <w:ind w:left="497" w:right="531" w:firstLine="0"/>
        <w:jc w:val="both"/>
        <w:rPr>
          <w:sz w:val="18"/>
        </w:rPr>
      </w:pPr>
      <w:r>
        <w:rPr>
          <w:sz w:val="18"/>
        </w:rPr>
        <w:t>microbial ecosystems and potential ramifications for the surface biosphere, Carbon Dioxide Capture for Storage in Deep Geologic Formations</w:t>
      </w:r>
      <w:r>
        <w:rPr>
          <w:spacing w:val="-9"/>
          <w:sz w:val="18"/>
        </w:rPr>
        <w:t> </w:t>
      </w:r>
      <w:r>
        <w:rPr>
          <w:sz w:val="18"/>
        </w:rPr>
        <w:t>-</w:t>
      </w:r>
      <w:r>
        <w:rPr>
          <w:spacing w:val="-8"/>
          <w:sz w:val="18"/>
        </w:rPr>
        <w:t> </w:t>
      </w:r>
      <w:r>
        <w:rPr>
          <w:sz w:val="18"/>
        </w:rPr>
        <w:t>Results</w:t>
      </w:r>
      <w:r>
        <w:rPr>
          <w:spacing w:val="-8"/>
          <w:sz w:val="18"/>
        </w:rPr>
        <w:t> </w:t>
      </w:r>
      <w:r>
        <w:rPr>
          <w:sz w:val="18"/>
        </w:rPr>
        <w:t>from</w:t>
      </w:r>
      <w:r>
        <w:rPr>
          <w:spacing w:val="-8"/>
          <w:sz w:val="18"/>
        </w:rPr>
        <w:t> </w:t>
      </w:r>
      <w:r>
        <w:rPr>
          <w:sz w:val="18"/>
        </w:rPr>
        <w:t>the</w:t>
      </w:r>
      <w:r>
        <w:rPr>
          <w:spacing w:val="-8"/>
          <w:sz w:val="18"/>
        </w:rPr>
        <w:t> </w:t>
      </w:r>
      <w:r>
        <w:rPr>
          <w:sz w:val="18"/>
        </w:rPr>
        <w:t>CO</w:t>
      </w:r>
      <w:r>
        <w:rPr>
          <w:position w:val="-5"/>
          <w:sz w:val="10"/>
        </w:rPr>
        <w:t>2</w:t>
      </w:r>
      <w:r>
        <w:rPr>
          <w:spacing w:val="12"/>
          <w:position w:val="-5"/>
          <w:sz w:val="10"/>
        </w:rPr>
        <w:t> </w:t>
      </w:r>
      <w:r>
        <w:rPr>
          <w:sz w:val="18"/>
        </w:rPr>
        <w:t>Capture</w:t>
      </w:r>
      <w:r>
        <w:rPr>
          <w:spacing w:val="-9"/>
          <w:sz w:val="18"/>
        </w:rPr>
        <w:t> </w:t>
      </w:r>
      <w:r>
        <w:rPr>
          <w:sz w:val="18"/>
        </w:rPr>
        <w:t>Project,</w:t>
      </w:r>
      <w:r>
        <w:rPr>
          <w:spacing w:val="-8"/>
          <w:sz w:val="18"/>
        </w:rPr>
        <w:t> </w:t>
      </w:r>
      <w:r>
        <w:rPr>
          <w:spacing w:val="-6"/>
          <w:sz w:val="18"/>
        </w:rPr>
        <w:t>v.</w:t>
      </w:r>
      <w:r>
        <w:rPr>
          <w:spacing w:val="-8"/>
          <w:sz w:val="18"/>
        </w:rPr>
        <w:t> </w:t>
      </w:r>
      <w:r>
        <w:rPr>
          <w:sz w:val="18"/>
        </w:rPr>
        <w:t>2:</w:t>
      </w:r>
      <w:r>
        <w:rPr>
          <w:spacing w:val="-8"/>
          <w:sz w:val="18"/>
        </w:rPr>
        <w:t> </w:t>
      </w:r>
      <w:r>
        <w:rPr>
          <w:sz w:val="18"/>
        </w:rPr>
        <w:t>Geologic</w:t>
      </w:r>
    </w:p>
    <w:p>
      <w:pPr>
        <w:spacing w:line="164" w:lineRule="exact" w:before="0"/>
        <w:ind w:left="497" w:right="0" w:firstLine="0"/>
        <w:jc w:val="both"/>
        <w:rPr>
          <w:sz w:val="18"/>
        </w:rPr>
      </w:pPr>
      <w:r>
        <w:rPr>
          <w:sz w:val="18"/>
        </w:rPr>
        <w:t>Storage</w:t>
      </w:r>
      <w:r>
        <w:rPr>
          <w:spacing w:val="-18"/>
          <w:sz w:val="18"/>
        </w:rPr>
        <w:t> </w:t>
      </w:r>
      <w:r>
        <w:rPr>
          <w:sz w:val="18"/>
        </w:rPr>
        <w:t>of</w:t>
      </w:r>
      <w:r>
        <w:rPr>
          <w:spacing w:val="-17"/>
          <w:sz w:val="18"/>
        </w:rPr>
        <w:t> </w:t>
      </w:r>
      <w:r>
        <w:rPr>
          <w:sz w:val="18"/>
        </w:rPr>
        <w:t>Carbon</w:t>
      </w:r>
      <w:r>
        <w:rPr>
          <w:spacing w:val="-18"/>
          <w:sz w:val="18"/>
        </w:rPr>
        <w:t> </w:t>
      </w:r>
      <w:r>
        <w:rPr>
          <w:sz w:val="18"/>
        </w:rPr>
        <w:t>Dioxide</w:t>
      </w:r>
      <w:r>
        <w:rPr>
          <w:spacing w:val="-17"/>
          <w:sz w:val="18"/>
        </w:rPr>
        <w:t> </w:t>
      </w:r>
      <w:r>
        <w:rPr>
          <w:sz w:val="18"/>
        </w:rPr>
        <w:t>with</w:t>
      </w:r>
      <w:r>
        <w:rPr>
          <w:spacing w:val="-18"/>
          <w:sz w:val="18"/>
        </w:rPr>
        <w:t> </w:t>
      </w:r>
      <w:r>
        <w:rPr>
          <w:sz w:val="18"/>
        </w:rPr>
        <w:t>Monitoring</w:t>
      </w:r>
      <w:r>
        <w:rPr>
          <w:spacing w:val="-17"/>
          <w:sz w:val="18"/>
        </w:rPr>
        <w:t> </w:t>
      </w:r>
      <w:r>
        <w:rPr>
          <w:sz w:val="18"/>
        </w:rPr>
        <w:t>and</w:t>
      </w:r>
      <w:r>
        <w:rPr>
          <w:spacing w:val="-20"/>
          <w:sz w:val="18"/>
        </w:rPr>
        <w:t> </w:t>
      </w:r>
      <w:r>
        <w:rPr>
          <w:sz w:val="18"/>
        </w:rPr>
        <w:t>Verification,</w:t>
      </w:r>
      <w:r>
        <w:rPr>
          <w:spacing w:val="-17"/>
          <w:sz w:val="18"/>
        </w:rPr>
        <w:t> </w:t>
      </w:r>
      <w:r>
        <w:rPr>
          <w:sz w:val="18"/>
        </w:rPr>
        <w:t>S.M.</w:t>
      </w:r>
    </w:p>
    <w:p>
      <w:pPr>
        <w:spacing w:before="28"/>
        <w:ind w:left="497" w:right="0" w:firstLine="0"/>
        <w:jc w:val="both"/>
        <w:rPr>
          <w:sz w:val="18"/>
        </w:rPr>
      </w:pPr>
      <w:r>
        <w:rPr>
          <w:sz w:val="18"/>
        </w:rPr>
        <w:t>Benson (ed.), Elsevier Science, London, pp. 1217–1250.</w:t>
      </w:r>
    </w:p>
    <w:p>
      <w:pPr>
        <w:spacing w:line="278" w:lineRule="auto" w:before="33"/>
        <w:ind w:left="497" w:right="530" w:hanging="341"/>
        <w:jc w:val="both"/>
        <w:rPr>
          <w:sz w:val="18"/>
        </w:rPr>
      </w:pPr>
      <w:r>
        <w:rPr>
          <w:b/>
          <w:sz w:val="18"/>
        </w:rPr>
        <w:t>Orphan, </w:t>
      </w:r>
      <w:r>
        <w:rPr>
          <w:spacing w:val="-5"/>
          <w:sz w:val="18"/>
        </w:rPr>
        <w:t>V.J., </w:t>
      </w:r>
      <w:r>
        <w:rPr>
          <w:spacing w:val="-4"/>
          <w:sz w:val="18"/>
        </w:rPr>
        <w:t>L.T. </w:t>
      </w:r>
      <w:r>
        <w:rPr>
          <w:spacing w:val="-3"/>
          <w:sz w:val="18"/>
        </w:rPr>
        <w:t>Taylor, </w:t>
      </w:r>
      <w:r>
        <w:rPr>
          <w:sz w:val="18"/>
        </w:rPr>
        <w:t>D. Hafenbradl and </w:t>
      </w:r>
      <w:r>
        <w:rPr>
          <w:spacing w:val="-4"/>
          <w:sz w:val="18"/>
        </w:rPr>
        <w:t>E.F. </w:t>
      </w:r>
      <w:r>
        <w:rPr>
          <w:sz w:val="18"/>
        </w:rPr>
        <w:t>Delong, 2000: Culture-dependent  and  culture-independent  characterization   of microbial assemblages associated with high-temperature petroleum reservoirs. </w:t>
      </w:r>
      <w:r>
        <w:rPr>
          <w:i/>
          <w:sz w:val="18"/>
        </w:rPr>
        <w:t>Applied and Environmental Microbiology</w:t>
      </w:r>
      <w:r>
        <w:rPr>
          <w:sz w:val="18"/>
        </w:rPr>
        <w:t>, </w:t>
      </w:r>
      <w:r>
        <w:rPr>
          <w:b/>
          <w:sz w:val="18"/>
        </w:rPr>
        <w:t>66</w:t>
      </w:r>
      <w:r>
        <w:rPr>
          <w:sz w:val="18"/>
        </w:rPr>
        <w:t>(2),</w:t>
      </w:r>
      <w:r>
        <w:rPr>
          <w:spacing w:val="-1"/>
          <w:sz w:val="18"/>
        </w:rPr>
        <w:t> </w:t>
      </w:r>
      <w:r>
        <w:rPr>
          <w:sz w:val="18"/>
        </w:rPr>
        <w:t>700–711.</w:t>
      </w:r>
    </w:p>
    <w:p>
      <w:pPr>
        <w:spacing w:line="278" w:lineRule="auto" w:before="0"/>
        <w:ind w:left="497" w:right="530" w:hanging="341"/>
        <w:jc w:val="both"/>
        <w:rPr>
          <w:sz w:val="18"/>
        </w:rPr>
      </w:pPr>
      <w:r>
        <w:rPr>
          <w:b/>
          <w:sz w:val="18"/>
        </w:rPr>
        <w:t>Oskarsson, </w:t>
      </w:r>
      <w:r>
        <w:rPr>
          <w:sz w:val="18"/>
        </w:rPr>
        <w:t>N., K. Palsson, H. Olafsson and T. Ferreira, 1999: Experimental monitoring of carbon dioxide by low power IR- sensors; Soil degassing in the Furnas volcanic centre, Azores. </w:t>
      </w:r>
      <w:r>
        <w:rPr>
          <w:i/>
          <w:sz w:val="18"/>
        </w:rPr>
        <w:t>Journal of Volcanology and Geothermal Research</w:t>
      </w:r>
      <w:r>
        <w:rPr>
          <w:sz w:val="18"/>
        </w:rPr>
        <w:t>, </w:t>
      </w:r>
      <w:r>
        <w:rPr>
          <w:b/>
          <w:sz w:val="18"/>
        </w:rPr>
        <w:t>92</w:t>
      </w:r>
      <w:r>
        <w:rPr>
          <w:sz w:val="18"/>
        </w:rPr>
        <w:t>(1–2), 181–193.</w:t>
      </w:r>
    </w:p>
    <w:p>
      <w:pPr>
        <w:spacing w:line="278" w:lineRule="auto" w:before="0"/>
        <w:ind w:left="497" w:right="530" w:hanging="341"/>
        <w:jc w:val="both"/>
        <w:rPr>
          <w:sz w:val="18"/>
        </w:rPr>
      </w:pPr>
      <w:r>
        <w:rPr>
          <w:b/>
          <w:sz w:val="18"/>
        </w:rPr>
        <w:t>OSPAR Commission</w:t>
      </w:r>
      <w:r>
        <w:rPr>
          <w:sz w:val="18"/>
        </w:rPr>
        <w:t>, 2004: Report from the Group of Jurists and Linguists on the placement of carbon dioxide in the OSPAR maritime area. Annex 12 to 2004 Summary Record.</w:t>
      </w:r>
    </w:p>
    <w:p>
      <w:pPr>
        <w:spacing w:line="278" w:lineRule="auto" w:before="0"/>
        <w:ind w:left="497" w:right="531" w:hanging="341"/>
        <w:jc w:val="both"/>
        <w:rPr>
          <w:sz w:val="18"/>
        </w:rPr>
      </w:pPr>
      <w:r>
        <w:rPr>
          <w:b/>
          <w:spacing w:val="-3"/>
          <w:sz w:val="18"/>
        </w:rPr>
        <w:t>Palmer, </w:t>
      </w:r>
      <w:r>
        <w:rPr>
          <w:sz w:val="18"/>
        </w:rPr>
        <w:t>I. and J. Mansoori, 1998: How permeability depends on stress and pore pressure in coalbeds: a new model. </w:t>
      </w:r>
      <w:r>
        <w:rPr>
          <w:i/>
          <w:sz w:val="18"/>
        </w:rPr>
        <w:t>SPE</w:t>
      </w:r>
      <w:r>
        <w:rPr>
          <w:i/>
          <w:spacing w:val="-17"/>
          <w:sz w:val="18"/>
        </w:rPr>
        <w:t> </w:t>
      </w:r>
      <w:r>
        <w:rPr>
          <w:i/>
          <w:sz w:val="18"/>
        </w:rPr>
        <w:t>Reservoir </w:t>
      </w:r>
      <w:r>
        <w:rPr>
          <w:i/>
          <w:sz w:val="18"/>
        </w:rPr>
        <w:t>Evaluation &amp; Engineering</w:t>
      </w:r>
      <w:r>
        <w:rPr>
          <w:sz w:val="18"/>
        </w:rPr>
        <w:t>, </w:t>
      </w:r>
      <w:r>
        <w:rPr>
          <w:b/>
          <w:sz w:val="18"/>
        </w:rPr>
        <w:t>1</w:t>
      </w:r>
      <w:r>
        <w:rPr>
          <w:sz w:val="18"/>
        </w:rPr>
        <w:t>(6),</w:t>
      </w:r>
      <w:r>
        <w:rPr>
          <w:spacing w:val="-1"/>
          <w:sz w:val="18"/>
        </w:rPr>
        <w:t> </w:t>
      </w:r>
      <w:r>
        <w:rPr>
          <w:sz w:val="18"/>
        </w:rPr>
        <w:t>539–544.</w:t>
      </w:r>
    </w:p>
    <w:p>
      <w:pPr>
        <w:spacing w:line="278" w:lineRule="auto" w:before="0"/>
        <w:ind w:left="497" w:right="531" w:hanging="341"/>
        <w:jc w:val="both"/>
        <w:rPr>
          <w:sz w:val="18"/>
        </w:rPr>
      </w:pPr>
      <w:r>
        <w:rPr>
          <w:b/>
          <w:sz w:val="18"/>
        </w:rPr>
        <w:t>Palmgren, </w:t>
      </w:r>
      <w:r>
        <w:rPr>
          <w:sz w:val="18"/>
        </w:rPr>
        <w:t>C., M. Granger Morgan, </w:t>
      </w:r>
      <w:r>
        <w:rPr>
          <w:spacing w:val="-9"/>
          <w:sz w:val="18"/>
        </w:rPr>
        <w:t>W. </w:t>
      </w:r>
      <w:r>
        <w:rPr>
          <w:sz w:val="18"/>
        </w:rPr>
        <w:t>Bruine de Bruin and D. Keith, 2004: Initial public perceptions of deep geological and oceanic disposal of CO</w:t>
      </w:r>
      <w:r>
        <w:rPr>
          <w:position w:val="-5"/>
          <w:sz w:val="10"/>
        </w:rPr>
        <w:t>2</w:t>
      </w:r>
      <w:r>
        <w:rPr>
          <w:sz w:val="18"/>
        </w:rPr>
        <w:t>. </w:t>
      </w:r>
      <w:r>
        <w:rPr>
          <w:i/>
          <w:sz w:val="18"/>
        </w:rPr>
        <w:t>Environmental Science and Technology</w:t>
      </w:r>
      <w:r>
        <w:rPr>
          <w:sz w:val="18"/>
        </w:rPr>
        <w:t>. </w:t>
      </w:r>
      <w:r>
        <w:rPr>
          <w:spacing w:val="-7"/>
          <w:sz w:val="18"/>
        </w:rPr>
        <w:t>In</w:t>
      </w:r>
    </w:p>
    <w:p>
      <w:pPr>
        <w:spacing w:line="164" w:lineRule="exact" w:before="0"/>
        <w:ind w:left="497" w:right="0" w:firstLine="0"/>
        <w:jc w:val="left"/>
        <w:rPr>
          <w:sz w:val="18"/>
        </w:rPr>
      </w:pPr>
      <w:r>
        <w:rPr>
          <w:sz w:val="18"/>
        </w:rPr>
        <w:t>press.</w:t>
      </w:r>
    </w:p>
    <w:p>
      <w:pPr>
        <w:spacing w:line="278" w:lineRule="auto" w:before="31"/>
        <w:ind w:left="497" w:right="531" w:hanging="341"/>
        <w:jc w:val="both"/>
        <w:rPr>
          <w:sz w:val="18"/>
        </w:rPr>
      </w:pPr>
      <w:r>
        <w:rPr>
          <w:b/>
          <w:sz w:val="18"/>
        </w:rPr>
        <w:t>Parkes, </w:t>
      </w:r>
      <w:r>
        <w:rPr>
          <w:sz w:val="18"/>
        </w:rPr>
        <w:t>R.J., B.A. Cragg and P. Wellsbury, 2000: Recent studies on bacterial populations and processes in subseafloor sediments: a review. </w:t>
      </w:r>
      <w:r>
        <w:rPr>
          <w:i/>
          <w:sz w:val="18"/>
        </w:rPr>
        <w:t>Hydrogeology Journal</w:t>
      </w:r>
      <w:r>
        <w:rPr>
          <w:sz w:val="18"/>
        </w:rPr>
        <w:t>, </w:t>
      </w:r>
      <w:r>
        <w:rPr>
          <w:b/>
          <w:sz w:val="18"/>
        </w:rPr>
        <w:t>8</w:t>
      </w:r>
      <w:r>
        <w:rPr>
          <w:sz w:val="18"/>
        </w:rPr>
        <w:t>(1), 11–28.</w:t>
      </w:r>
    </w:p>
    <w:p>
      <w:pPr>
        <w:spacing w:line="207" w:lineRule="exact" w:before="0"/>
        <w:ind w:left="156" w:right="0" w:firstLine="0"/>
        <w:jc w:val="both"/>
        <w:rPr>
          <w:sz w:val="18"/>
        </w:rPr>
      </w:pPr>
      <w:r>
        <w:rPr>
          <w:b/>
          <w:sz w:val="18"/>
        </w:rPr>
        <w:t>Pearce, </w:t>
      </w:r>
      <w:r>
        <w:rPr>
          <w:sz w:val="18"/>
        </w:rPr>
        <w:t>J.M., S. Holloway, H. Wacker, M.K. Nelis, C. Rochelle and</w:t>
      </w:r>
    </w:p>
    <w:p>
      <w:pPr>
        <w:spacing w:line="278" w:lineRule="auto" w:before="33"/>
        <w:ind w:left="497" w:right="531" w:firstLine="0"/>
        <w:jc w:val="both"/>
        <w:rPr>
          <w:sz w:val="18"/>
        </w:rPr>
      </w:pPr>
      <w:r>
        <w:rPr>
          <w:sz w:val="18"/>
        </w:rPr>
        <w:t>K. Bateman, 1996: Natural occurrences as analogues for the geological disposal of carbon dioxide. </w:t>
      </w:r>
      <w:r>
        <w:rPr>
          <w:i/>
          <w:sz w:val="18"/>
        </w:rPr>
        <w:t>Energy Conversion and </w:t>
      </w:r>
      <w:r>
        <w:rPr>
          <w:i/>
          <w:sz w:val="18"/>
        </w:rPr>
        <w:t>Management</w:t>
      </w:r>
      <w:r>
        <w:rPr>
          <w:sz w:val="18"/>
        </w:rPr>
        <w:t>, </w:t>
      </w:r>
      <w:r>
        <w:rPr>
          <w:b/>
          <w:sz w:val="18"/>
        </w:rPr>
        <w:t>37</w:t>
      </w:r>
      <w:r>
        <w:rPr>
          <w:sz w:val="18"/>
        </w:rPr>
        <w:t>(6–8), 1123–1128.</w:t>
      </w:r>
    </w:p>
    <w:p>
      <w:pPr>
        <w:spacing w:line="278" w:lineRule="auto" w:before="0"/>
        <w:ind w:left="497" w:right="357" w:hanging="341"/>
        <w:jc w:val="left"/>
        <w:rPr>
          <w:sz w:val="18"/>
        </w:rPr>
      </w:pPr>
      <w:r>
        <w:rPr>
          <w:b/>
          <w:sz w:val="18"/>
        </w:rPr>
        <w:t>Pearce, </w:t>
      </w:r>
      <w:r>
        <w:rPr>
          <w:sz w:val="18"/>
        </w:rPr>
        <w:t>J.M., J. Baker, S. Beaubien, S. Brune, I.</w:t>
      </w:r>
      <w:r>
        <w:rPr>
          <w:spacing w:val="26"/>
          <w:sz w:val="18"/>
        </w:rPr>
        <w:t> </w:t>
      </w:r>
      <w:r>
        <w:rPr>
          <w:sz w:val="18"/>
        </w:rPr>
        <w:t>Czernichowski- Lauriol,</w:t>
      </w:r>
      <w:r>
        <w:rPr>
          <w:spacing w:val="16"/>
          <w:sz w:val="18"/>
        </w:rPr>
        <w:t> </w:t>
      </w:r>
      <w:r>
        <w:rPr>
          <w:sz w:val="18"/>
        </w:rPr>
        <w:t>E.</w:t>
      </w:r>
      <w:r>
        <w:rPr>
          <w:spacing w:val="16"/>
          <w:sz w:val="18"/>
        </w:rPr>
        <w:t> </w:t>
      </w:r>
      <w:r>
        <w:rPr>
          <w:spacing w:val="-2"/>
          <w:sz w:val="18"/>
        </w:rPr>
        <w:t>Faber,</w:t>
      </w:r>
      <w:r>
        <w:rPr>
          <w:spacing w:val="16"/>
          <w:sz w:val="18"/>
        </w:rPr>
        <w:t> </w:t>
      </w:r>
      <w:r>
        <w:rPr>
          <w:sz w:val="18"/>
        </w:rPr>
        <w:t>G.</w:t>
      </w:r>
      <w:r>
        <w:rPr>
          <w:spacing w:val="16"/>
          <w:sz w:val="18"/>
        </w:rPr>
        <w:t> </w:t>
      </w:r>
      <w:r>
        <w:rPr>
          <w:sz w:val="18"/>
        </w:rPr>
        <w:t>Hatziyannis,</w:t>
      </w:r>
      <w:r>
        <w:rPr>
          <w:spacing w:val="7"/>
          <w:sz w:val="18"/>
        </w:rPr>
        <w:t> </w:t>
      </w:r>
      <w:r>
        <w:rPr>
          <w:sz w:val="18"/>
        </w:rPr>
        <w:t>A.</w:t>
      </w:r>
      <w:r>
        <w:rPr>
          <w:spacing w:val="16"/>
          <w:sz w:val="18"/>
        </w:rPr>
        <w:t> </w:t>
      </w:r>
      <w:r>
        <w:rPr>
          <w:sz w:val="18"/>
        </w:rPr>
        <w:t>Hildebrand,</w:t>
      </w:r>
      <w:r>
        <w:rPr>
          <w:spacing w:val="16"/>
          <w:sz w:val="18"/>
        </w:rPr>
        <w:t> </w:t>
      </w:r>
      <w:r>
        <w:rPr>
          <w:sz w:val="18"/>
        </w:rPr>
        <w:t>B.M.</w:t>
      </w:r>
      <w:r>
        <w:rPr>
          <w:spacing w:val="17"/>
          <w:sz w:val="18"/>
        </w:rPr>
        <w:t> </w:t>
      </w:r>
      <w:r>
        <w:rPr>
          <w:sz w:val="18"/>
        </w:rPr>
        <w:t>Krooss,</w:t>
      </w:r>
    </w:p>
    <w:p>
      <w:pPr>
        <w:spacing w:line="278" w:lineRule="auto" w:before="0"/>
        <w:ind w:left="497" w:right="357" w:firstLine="0"/>
        <w:jc w:val="left"/>
        <w:rPr>
          <w:sz w:val="18"/>
        </w:rPr>
      </w:pPr>
      <w:r>
        <w:rPr>
          <w:sz w:val="18"/>
        </w:rPr>
        <w:t>S. Lombardi, A. </w:t>
      </w:r>
      <w:r>
        <w:rPr>
          <w:spacing w:val="-2"/>
          <w:sz w:val="18"/>
        </w:rPr>
        <w:t>Nador, </w:t>
      </w:r>
      <w:r>
        <w:rPr>
          <w:sz w:val="18"/>
        </w:rPr>
        <w:t>H. Pauwels and B.M. Schroot, 2003: Natural</w:t>
      </w:r>
      <w:r>
        <w:rPr>
          <w:spacing w:val="19"/>
          <w:sz w:val="18"/>
        </w:rPr>
        <w:t> </w:t>
      </w:r>
      <w:r>
        <w:rPr>
          <w:sz w:val="18"/>
        </w:rPr>
        <w:t>CO</w:t>
      </w:r>
      <w:r>
        <w:rPr>
          <w:position w:val="-5"/>
          <w:sz w:val="10"/>
        </w:rPr>
        <w:t>2 </w:t>
      </w:r>
      <w:r>
        <w:rPr>
          <w:spacing w:val="15"/>
          <w:position w:val="-5"/>
          <w:sz w:val="10"/>
        </w:rPr>
        <w:t> </w:t>
      </w:r>
      <w:r>
        <w:rPr>
          <w:sz w:val="18"/>
        </w:rPr>
        <w:t>accumulations</w:t>
      </w:r>
      <w:r>
        <w:rPr>
          <w:spacing w:val="20"/>
          <w:sz w:val="18"/>
        </w:rPr>
        <w:t> </w:t>
      </w:r>
      <w:r>
        <w:rPr>
          <w:sz w:val="18"/>
        </w:rPr>
        <w:t>in</w:t>
      </w:r>
      <w:r>
        <w:rPr>
          <w:spacing w:val="20"/>
          <w:sz w:val="18"/>
        </w:rPr>
        <w:t> </w:t>
      </w:r>
      <w:r>
        <w:rPr>
          <w:sz w:val="18"/>
        </w:rPr>
        <w:t>Europe:</w:t>
      </w:r>
      <w:r>
        <w:rPr>
          <w:spacing w:val="19"/>
          <w:sz w:val="18"/>
        </w:rPr>
        <w:t> </w:t>
      </w:r>
      <w:r>
        <w:rPr>
          <w:sz w:val="18"/>
        </w:rPr>
        <w:t>Understanding</w:t>
      </w:r>
      <w:r>
        <w:rPr>
          <w:spacing w:val="20"/>
          <w:sz w:val="18"/>
        </w:rPr>
        <w:t> </w:t>
      </w:r>
      <w:r>
        <w:rPr>
          <w:sz w:val="18"/>
        </w:rPr>
        <w:t>the</w:t>
      </w:r>
      <w:r>
        <w:rPr>
          <w:spacing w:val="20"/>
          <w:sz w:val="18"/>
        </w:rPr>
        <w:t> </w:t>
      </w:r>
      <w:r>
        <w:rPr>
          <w:sz w:val="18"/>
        </w:rPr>
        <w:t>long-</w:t>
      </w:r>
    </w:p>
    <w:p>
      <w:pPr>
        <w:spacing w:line="177" w:lineRule="auto" w:before="0"/>
        <w:ind w:left="497" w:right="0" w:firstLine="0"/>
        <w:jc w:val="left"/>
        <w:rPr>
          <w:sz w:val="18"/>
        </w:rPr>
      </w:pPr>
      <w:r>
        <w:rPr>
          <w:sz w:val="18"/>
        </w:rPr>
        <w:t>term </w:t>
      </w:r>
      <w:r>
        <w:rPr>
          <w:spacing w:val="12"/>
          <w:sz w:val="18"/>
        </w:rPr>
        <w:t> </w:t>
      </w:r>
      <w:r>
        <w:rPr>
          <w:sz w:val="18"/>
        </w:rPr>
        <w:t>geological </w:t>
      </w:r>
      <w:r>
        <w:rPr>
          <w:spacing w:val="12"/>
          <w:sz w:val="18"/>
        </w:rPr>
        <w:t> </w:t>
      </w:r>
      <w:r>
        <w:rPr>
          <w:sz w:val="18"/>
        </w:rPr>
        <w:t>processes </w:t>
      </w:r>
      <w:r>
        <w:rPr>
          <w:spacing w:val="12"/>
          <w:sz w:val="18"/>
        </w:rPr>
        <w:t> </w:t>
      </w:r>
      <w:r>
        <w:rPr>
          <w:sz w:val="18"/>
        </w:rPr>
        <w:t>in </w:t>
      </w:r>
      <w:r>
        <w:rPr>
          <w:spacing w:val="12"/>
          <w:sz w:val="18"/>
        </w:rPr>
        <w:t> </w:t>
      </w:r>
      <w:r>
        <w:rPr>
          <w:sz w:val="18"/>
        </w:rPr>
        <w:t>CO</w:t>
      </w:r>
      <w:r>
        <w:rPr>
          <w:position w:val="-5"/>
          <w:sz w:val="10"/>
        </w:rPr>
        <w:t>2   </w:t>
      </w:r>
      <w:r>
        <w:rPr>
          <w:spacing w:val="3"/>
          <w:position w:val="-5"/>
          <w:sz w:val="10"/>
        </w:rPr>
        <w:t> </w:t>
      </w:r>
      <w:r>
        <w:rPr>
          <w:sz w:val="18"/>
        </w:rPr>
        <w:t>sequestration. </w:t>
      </w:r>
      <w:r>
        <w:rPr>
          <w:spacing w:val="12"/>
          <w:sz w:val="18"/>
        </w:rPr>
        <w:t> </w:t>
      </w:r>
      <w:r>
        <w:rPr>
          <w:sz w:val="18"/>
        </w:rPr>
        <w:t>Proceedings</w:t>
      </w:r>
    </w:p>
    <w:p>
      <w:pPr>
        <w:spacing w:line="278" w:lineRule="auto" w:before="1"/>
        <w:ind w:left="497" w:right="532" w:firstLine="0"/>
        <w:jc w:val="both"/>
        <w:rPr>
          <w:sz w:val="18"/>
        </w:rPr>
      </w:pPr>
      <w:r>
        <w:rPr>
          <w:sz w:val="18"/>
        </w:rPr>
        <w:t>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w:t>
      </w:r>
      <w:r>
        <w:rPr>
          <w:spacing w:val="-3"/>
          <w:sz w:val="18"/>
        </w:rPr>
        <w:t>v.I, </w:t>
      </w:r>
      <w:r>
        <w:rPr>
          <w:sz w:val="18"/>
        </w:rPr>
        <w:t>417–422</w:t>
      </w:r>
    </w:p>
    <w:p>
      <w:pPr>
        <w:spacing w:after="0" w:line="278" w:lineRule="auto"/>
        <w:jc w:val="both"/>
        <w:rPr>
          <w:sz w:val="18"/>
        </w:rPr>
        <w:sectPr>
          <w:type w:val="continuous"/>
          <w:pgSz w:w="12240" w:h="15840"/>
          <w:pgMar w:top="400" w:bottom="280" w:left="580" w:right="600"/>
          <w:cols w:num="2" w:equalWidth="0">
            <w:col w:w="5265" w:space="40"/>
            <w:col w:w="5755"/>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40" w:lineRule="exact" w:before="43"/>
        <w:ind w:left="894" w:right="0" w:hanging="341"/>
        <w:jc w:val="both"/>
        <w:rPr>
          <w:sz w:val="18"/>
        </w:rPr>
      </w:pPr>
      <w:r>
        <w:rPr>
          <w:b/>
          <w:sz w:val="18"/>
        </w:rPr>
        <w:t>Perkins, </w:t>
      </w:r>
      <w:r>
        <w:rPr>
          <w:sz w:val="18"/>
        </w:rPr>
        <w:t>E., I. Czernichowski-Lauriol, M. Azaroual and </w:t>
      </w:r>
      <w:r>
        <w:rPr>
          <w:spacing w:val="-10"/>
          <w:sz w:val="18"/>
        </w:rPr>
        <w:t>P. </w:t>
      </w:r>
      <w:r>
        <w:rPr>
          <w:sz w:val="18"/>
        </w:rPr>
        <w:t>Durst, 2005: Long term predictions of CO</w:t>
      </w:r>
      <w:r>
        <w:rPr>
          <w:position w:val="-5"/>
          <w:sz w:val="10"/>
        </w:rPr>
        <w:t>2 </w:t>
      </w:r>
      <w:r>
        <w:rPr>
          <w:sz w:val="18"/>
        </w:rPr>
        <w:t>storage by mineral and solubility</w:t>
      </w:r>
      <w:r>
        <w:rPr>
          <w:spacing w:val="-6"/>
          <w:sz w:val="18"/>
        </w:rPr>
        <w:t> </w:t>
      </w:r>
      <w:r>
        <w:rPr>
          <w:sz w:val="18"/>
        </w:rPr>
        <w:t>trapping</w:t>
      </w:r>
      <w:r>
        <w:rPr>
          <w:spacing w:val="-6"/>
          <w:sz w:val="18"/>
        </w:rPr>
        <w:t> </w:t>
      </w:r>
      <w:r>
        <w:rPr>
          <w:sz w:val="18"/>
        </w:rPr>
        <w:t>in</w:t>
      </w:r>
      <w:r>
        <w:rPr>
          <w:spacing w:val="-6"/>
          <w:sz w:val="18"/>
        </w:rPr>
        <w:t> </w:t>
      </w:r>
      <w:r>
        <w:rPr>
          <w:sz w:val="18"/>
        </w:rPr>
        <w:t>the</w:t>
      </w:r>
      <w:r>
        <w:rPr>
          <w:spacing w:val="-8"/>
          <w:sz w:val="18"/>
        </w:rPr>
        <w:t> </w:t>
      </w:r>
      <w:r>
        <w:rPr>
          <w:spacing w:val="-3"/>
          <w:sz w:val="18"/>
        </w:rPr>
        <w:t>Weyburn</w:t>
      </w:r>
      <w:r>
        <w:rPr>
          <w:spacing w:val="-6"/>
          <w:sz w:val="18"/>
        </w:rPr>
        <w:t> </w:t>
      </w:r>
      <w:r>
        <w:rPr>
          <w:sz w:val="18"/>
        </w:rPr>
        <w:t>Midale</w:t>
      </w:r>
      <w:r>
        <w:rPr>
          <w:spacing w:val="-6"/>
          <w:sz w:val="18"/>
        </w:rPr>
        <w:t> </w:t>
      </w:r>
      <w:r>
        <w:rPr>
          <w:sz w:val="18"/>
        </w:rPr>
        <w:t>Reservoir.</w:t>
      </w:r>
      <w:r>
        <w:rPr>
          <w:spacing w:val="-6"/>
          <w:sz w:val="18"/>
        </w:rPr>
        <w:t> </w:t>
      </w:r>
      <w:r>
        <w:rPr>
          <w:sz w:val="18"/>
        </w:rPr>
        <w:t>Proceedings of the 7</w:t>
      </w:r>
      <w:r>
        <w:rPr>
          <w:position w:val="6"/>
          <w:sz w:val="10"/>
        </w:rPr>
        <w:t>th </w:t>
      </w:r>
      <w:r>
        <w:rPr>
          <w:sz w:val="18"/>
        </w:rPr>
        <w:t>International Conference on Greenhouse Gas Control Technologies (GHGT-7), September 5–9, 2004,</w:t>
      </w:r>
      <w:r>
        <w:rPr>
          <w:spacing w:val="2"/>
          <w:sz w:val="18"/>
        </w:rPr>
        <w:t> </w:t>
      </w:r>
      <w:r>
        <w:rPr>
          <w:spacing w:val="-3"/>
          <w:sz w:val="18"/>
        </w:rPr>
        <w:t>Vancouver,</w:t>
      </w:r>
    </w:p>
    <w:p>
      <w:pPr>
        <w:spacing w:before="24"/>
        <w:ind w:left="894" w:right="0" w:firstLine="0"/>
        <w:jc w:val="both"/>
        <w:rPr>
          <w:sz w:val="18"/>
        </w:rPr>
      </w:pPr>
      <w:r>
        <w:rPr>
          <w:sz w:val="18"/>
        </w:rPr>
        <w:t>Canada, v.II, 2093-2096.</w:t>
      </w:r>
    </w:p>
    <w:p>
      <w:pPr>
        <w:spacing w:line="240" w:lineRule="exact" w:before="9"/>
        <w:ind w:left="894" w:right="0" w:hanging="341"/>
        <w:jc w:val="both"/>
        <w:rPr>
          <w:sz w:val="18"/>
        </w:rPr>
      </w:pPr>
      <w:r>
        <w:rPr>
          <w:b/>
          <w:sz w:val="18"/>
        </w:rPr>
        <w:t>Perry, </w:t>
      </w:r>
      <w:r>
        <w:rPr>
          <w:spacing w:val="-4"/>
          <w:sz w:val="18"/>
        </w:rPr>
        <w:t>K.F., </w:t>
      </w:r>
      <w:r>
        <w:rPr>
          <w:sz w:val="18"/>
        </w:rPr>
        <w:t>2005: Natural gas storage industry experience and technology:</w:t>
      </w:r>
      <w:r>
        <w:rPr>
          <w:spacing w:val="-26"/>
          <w:sz w:val="18"/>
        </w:rPr>
        <w:t> </w:t>
      </w:r>
      <w:r>
        <w:rPr>
          <w:sz w:val="18"/>
        </w:rPr>
        <w:t>Potential</w:t>
      </w:r>
      <w:r>
        <w:rPr>
          <w:spacing w:val="-26"/>
          <w:sz w:val="18"/>
        </w:rPr>
        <w:t> </w:t>
      </w:r>
      <w:r>
        <w:rPr>
          <w:sz w:val="18"/>
        </w:rPr>
        <w:t>application</w:t>
      </w:r>
      <w:r>
        <w:rPr>
          <w:spacing w:val="-27"/>
          <w:sz w:val="18"/>
        </w:rPr>
        <w:t> </w:t>
      </w:r>
      <w:r>
        <w:rPr>
          <w:sz w:val="18"/>
        </w:rPr>
        <w:t>to</w:t>
      </w:r>
      <w:r>
        <w:rPr>
          <w:spacing w:val="-25"/>
          <w:sz w:val="18"/>
        </w:rPr>
        <w:t> </w:t>
      </w:r>
      <w:r>
        <w:rPr>
          <w:sz w:val="18"/>
        </w:rPr>
        <w:t>CO</w:t>
      </w:r>
      <w:r>
        <w:rPr>
          <w:position w:val="-5"/>
          <w:sz w:val="10"/>
        </w:rPr>
        <w:t>2</w:t>
      </w:r>
      <w:r>
        <w:rPr>
          <w:spacing w:val="-6"/>
          <w:position w:val="-5"/>
          <w:sz w:val="10"/>
        </w:rPr>
        <w:t> </w:t>
      </w:r>
      <w:r>
        <w:rPr>
          <w:sz w:val="18"/>
        </w:rPr>
        <w:t>geological</w:t>
      </w:r>
      <w:r>
        <w:rPr>
          <w:spacing w:val="-27"/>
          <w:sz w:val="18"/>
        </w:rPr>
        <w:t> </w:t>
      </w:r>
      <w:r>
        <w:rPr>
          <w:sz w:val="18"/>
        </w:rPr>
        <w:t>storage,</w:t>
      </w:r>
      <w:r>
        <w:rPr>
          <w:spacing w:val="-25"/>
          <w:sz w:val="18"/>
        </w:rPr>
        <w:t> </w:t>
      </w:r>
      <w:r>
        <w:rPr>
          <w:sz w:val="18"/>
        </w:rPr>
        <w:t>Carbon Dioxide Capture for Storage in Deep Geologic Formations— Results from the CO</w:t>
      </w:r>
      <w:r>
        <w:rPr>
          <w:position w:val="-5"/>
          <w:sz w:val="10"/>
        </w:rPr>
        <w:t>2 </w:t>
      </w:r>
      <w:r>
        <w:rPr>
          <w:sz w:val="18"/>
        </w:rPr>
        <w:t>Capture Project, </w:t>
      </w:r>
      <w:r>
        <w:rPr>
          <w:spacing w:val="-6"/>
          <w:sz w:val="18"/>
        </w:rPr>
        <w:t>v. </w:t>
      </w:r>
      <w:r>
        <w:rPr>
          <w:sz w:val="18"/>
        </w:rPr>
        <w:t>2: Geologic Storage of Carbon Dioxide with Monitoring and Verification, S.M. Benson (ed.), Elsevier Science, London, pp.</w:t>
      </w:r>
      <w:r>
        <w:rPr>
          <w:spacing w:val="-2"/>
          <w:sz w:val="18"/>
        </w:rPr>
        <w:t> </w:t>
      </w:r>
      <w:r>
        <w:rPr>
          <w:sz w:val="18"/>
        </w:rPr>
        <w:t>815–826.</w:t>
      </w:r>
    </w:p>
    <w:p>
      <w:pPr>
        <w:spacing w:line="240" w:lineRule="exact" w:before="0"/>
        <w:ind w:left="894" w:right="1" w:hanging="341"/>
        <w:jc w:val="both"/>
        <w:rPr>
          <w:sz w:val="18"/>
        </w:rPr>
      </w:pPr>
      <w:r>
        <w:rPr>
          <w:b/>
          <w:sz w:val="18"/>
        </w:rPr>
        <w:t>Pickles, </w:t>
      </w:r>
      <w:r>
        <w:rPr>
          <w:spacing w:val="-4"/>
          <w:sz w:val="18"/>
        </w:rPr>
        <w:t>W.L., </w:t>
      </w:r>
      <w:r>
        <w:rPr>
          <w:sz w:val="18"/>
        </w:rPr>
        <w:t>2005: Hyperspectral geobotanical remote sensing for CO</w:t>
      </w:r>
      <w:r>
        <w:rPr>
          <w:position w:val="-5"/>
          <w:sz w:val="10"/>
        </w:rPr>
        <w:t>2</w:t>
      </w:r>
      <w:r>
        <w:rPr>
          <w:sz w:val="18"/>
        </w:rPr>
        <w:t>, Carbon Dioxide Capture for Storage in Deep Geologic Formations - Results from the CO</w:t>
      </w:r>
      <w:r>
        <w:rPr>
          <w:position w:val="-5"/>
          <w:sz w:val="10"/>
        </w:rPr>
        <w:t>2 </w:t>
      </w:r>
      <w:r>
        <w:rPr>
          <w:sz w:val="18"/>
        </w:rPr>
        <w:t>Capture Project, </w:t>
      </w:r>
      <w:r>
        <w:rPr>
          <w:spacing w:val="-3"/>
          <w:sz w:val="18"/>
        </w:rPr>
        <w:t>v.2: </w:t>
      </w:r>
      <w:r>
        <w:rPr>
          <w:sz w:val="18"/>
        </w:rPr>
        <w:t>Geologic Storage</w:t>
      </w:r>
      <w:r>
        <w:rPr>
          <w:spacing w:val="-17"/>
          <w:sz w:val="18"/>
        </w:rPr>
        <w:t> </w:t>
      </w:r>
      <w:r>
        <w:rPr>
          <w:sz w:val="18"/>
        </w:rPr>
        <w:t>of</w:t>
      </w:r>
      <w:r>
        <w:rPr>
          <w:spacing w:val="-17"/>
          <w:sz w:val="18"/>
        </w:rPr>
        <w:t> </w:t>
      </w:r>
      <w:r>
        <w:rPr>
          <w:sz w:val="18"/>
        </w:rPr>
        <w:t>Carbon</w:t>
      </w:r>
      <w:r>
        <w:rPr>
          <w:spacing w:val="-17"/>
          <w:sz w:val="18"/>
        </w:rPr>
        <w:t> </w:t>
      </w:r>
      <w:r>
        <w:rPr>
          <w:sz w:val="18"/>
        </w:rPr>
        <w:t>Dioxide</w:t>
      </w:r>
      <w:r>
        <w:rPr>
          <w:spacing w:val="-16"/>
          <w:sz w:val="18"/>
        </w:rPr>
        <w:t> </w:t>
      </w:r>
      <w:r>
        <w:rPr>
          <w:sz w:val="18"/>
        </w:rPr>
        <w:t>with</w:t>
      </w:r>
      <w:r>
        <w:rPr>
          <w:spacing w:val="-17"/>
          <w:sz w:val="18"/>
        </w:rPr>
        <w:t> </w:t>
      </w:r>
      <w:r>
        <w:rPr>
          <w:sz w:val="18"/>
        </w:rPr>
        <w:t>Monitoring</w:t>
      </w:r>
      <w:r>
        <w:rPr>
          <w:spacing w:val="-17"/>
          <w:sz w:val="18"/>
        </w:rPr>
        <w:t> </w:t>
      </w:r>
      <w:r>
        <w:rPr>
          <w:sz w:val="18"/>
        </w:rPr>
        <w:t>and</w:t>
      </w:r>
      <w:r>
        <w:rPr>
          <w:spacing w:val="-19"/>
          <w:sz w:val="18"/>
        </w:rPr>
        <w:t> </w:t>
      </w:r>
      <w:r>
        <w:rPr>
          <w:sz w:val="18"/>
        </w:rPr>
        <w:t>Verification,</w:t>
      </w:r>
      <w:r>
        <w:rPr>
          <w:spacing w:val="-16"/>
          <w:sz w:val="18"/>
        </w:rPr>
        <w:t> </w:t>
      </w:r>
      <w:r>
        <w:rPr>
          <w:sz w:val="18"/>
        </w:rPr>
        <w:t>S.M. Benson (ed.), Elsevier Science, London, pp.</w:t>
      </w:r>
      <w:r>
        <w:rPr>
          <w:spacing w:val="-4"/>
          <w:sz w:val="18"/>
        </w:rPr>
        <w:t> </w:t>
      </w:r>
      <w:r>
        <w:rPr>
          <w:sz w:val="18"/>
        </w:rPr>
        <w:t>1045–1070.</w:t>
      </w:r>
    </w:p>
    <w:p>
      <w:pPr>
        <w:spacing w:line="240" w:lineRule="exact" w:before="0"/>
        <w:ind w:left="894" w:right="0" w:hanging="341"/>
        <w:jc w:val="both"/>
        <w:rPr>
          <w:sz w:val="18"/>
        </w:rPr>
      </w:pPr>
      <w:r>
        <w:rPr>
          <w:b/>
          <w:sz w:val="18"/>
        </w:rPr>
        <w:t>Piessens, </w:t>
      </w:r>
      <w:r>
        <w:rPr>
          <w:sz w:val="18"/>
        </w:rPr>
        <w:t>K. and M. Dusar, 2004: Feasibility of CO</w:t>
      </w:r>
      <w:r>
        <w:rPr>
          <w:position w:val="-5"/>
          <w:sz w:val="10"/>
        </w:rPr>
        <w:t>2 </w:t>
      </w:r>
      <w:r>
        <w:rPr>
          <w:sz w:val="18"/>
        </w:rPr>
        <w:t>sequestration in abandoned coal mines in Belgium. </w:t>
      </w:r>
      <w:r>
        <w:rPr>
          <w:i/>
          <w:sz w:val="18"/>
        </w:rPr>
        <w:t>Geologica Belgica</w:t>
      </w:r>
      <w:r>
        <w:rPr>
          <w:sz w:val="18"/>
        </w:rPr>
        <w:t>, </w:t>
      </w:r>
      <w:r>
        <w:rPr>
          <w:b/>
          <w:sz w:val="18"/>
        </w:rPr>
        <w:t>7</w:t>
      </w:r>
      <w:r>
        <w:rPr>
          <w:sz w:val="18"/>
        </w:rPr>
        <w:t>-3/4. In press.</w:t>
      </w:r>
    </w:p>
    <w:p>
      <w:pPr>
        <w:spacing w:line="278" w:lineRule="auto" w:before="24"/>
        <w:ind w:left="894" w:right="0" w:hanging="341"/>
        <w:jc w:val="both"/>
        <w:rPr>
          <w:sz w:val="18"/>
        </w:rPr>
      </w:pPr>
      <w:r>
        <w:rPr/>
        <w:pict>
          <v:shape style="position:absolute;margin-left:181.351807pt;margin-top:20.664093pt;width:2.65pt;height:5.25pt;mso-position-horizontal-relative:page;mso-position-vertical-relative:paragraph;z-index:-258809856"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Pizzino, </w:t>
      </w:r>
      <w:r>
        <w:rPr>
          <w:sz w:val="18"/>
        </w:rPr>
        <w:t>L., G. Galli, C. Mancini, </w:t>
      </w:r>
      <w:r>
        <w:rPr>
          <w:spacing w:val="-8"/>
          <w:sz w:val="18"/>
        </w:rPr>
        <w:t>F. </w:t>
      </w:r>
      <w:r>
        <w:rPr>
          <w:sz w:val="18"/>
        </w:rPr>
        <w:t>Quattrocchi and </w:t>
      </w:r>
      <w:r>
        <w:rPr>
          <w:spacing w:val="-10"/>
          <w:sz w:val="18"/>
        </w:rPr>
        <w:t>P. </w:t>
      </w:r>
      <w:r>
        <w:rPr>
          <w:sz w:val="18"/>
        </w:rPr>
        <w:t>Scarlato, 2002: Natural gas hazard (CO , </w:t>
      </w:r>
      <w:r>
        <w:rPr>
          <w:position w:val="6"/>
          <w:sz w:val="10"/>
        </w:rPr>
        <w:t>222</w:t>
      </w:r>
      <w:r>
        <w:rPr>
          <w:sz w:val="18"/>
        </w:rPr>
        <w:t>Rn) within a quiescent</w:t>
      </w:r>
      <w:r>
        <w:rPr>
          <w:spacing w:val="-14"/>
          <w:sz w:val="18"/>
        </w:rPr>
        <w:t> </w:t>
      </w:r>
      <w:r>
        <w:rPr>
          <w:sz w:val="18"/>
        </w:rPr>
        <w:t>volcanic region and its relations with tectonics; the case of the Ciampino- Marino area, Alban Hills </w:t>
      </w:r>
      <w:r>
        <w:rPr>
          <w:spacing w:val="-3"/>
          <w:sz w:val="18"/>
        </w:rPr>
        <w:t>Volcano, </w:t>
      </w:r>
      <w:r>
        <w:rPr>
          <w:sz w:val="18"/>
        </w:rPr>
        <w:t>Italy. </w:t>
      </w:r>
      <w:r>
        <w:rPr>
          <w:i/>
          <w:sz w:val="18"/>
        </w:rPr>
        <w:t>Natural Hazards</w:t>
      </w:r>
      <w:r>
        <w:rPr>
          <w:sz w:val="18"/>
        </w:rPr>
        <w:t>, </w:t>
      </w:r>
      <w:r>
        <w:rPr>
          <w:b/>
          <w:sz w:val="18"/>
        </w:rPr>
        <w:t>27</w:t>
      </w:r>
      <w:r>
        <w:rPr>
          <w:sz w:val="18"/>
        </w:rPr>
        <w:t>(3), 257–287.</w:t>
      </w:r>
    </w:p>
    <w:p>
      <w:pPr>
        <w:spacing w:line="278" w:lineRule="auto" w:before="0"/>
        <w:ind w:left="894" w:right="1" w:hanging="341"/>
        <w:jc w:val="both"/>
        <w:rPr>
          <w:sz w:val="18"/>
        </w:rPr>
      </w:pPr>
      <w:r>
        <w:rPr>
          <w:b/>
          <w:sz w:val="18"/>
        </w:rPr>
        <w:t>Poortinga, </w:t>
      </w:r>
      <w:r>
        <w:rPr>
          <w:sz w:val="18"/>
        </w:rPr>
        <w:t>W. and N. Pidgeon, 2003: Public Perceptions of Risk, Science and Governance. Centre for Environmental Risk, University of East Anglia, Norwich, UK, 60 pp.</w:t>
      </w:r>
    </w:p>
    <w:p>
      <w:pPr>
        <w:spacing w:line="278" w:lineRule="auto" w:before="0"/>
        <w:ind w:left="894" w:right="0" w:hanging="341"/>
        <w:jc w:val="both"/>
        <w:rPr>
          <w:sz w:val="18"/>
        </w:rPr>
      </w:pPr>
      <w:r>
        <w:rPr>
          <w:b/>
          <w:sz w:val="18"/>
        </w:rPr>
        <w:t>Pruess, </w:t>
      </w:r>
      <w:r>
        <w:rPr>
          <w:sz w:val="18"/>
        </w:rPr>
        <w:t>K., C. Oldenburg and G. Moridis, 1999: TOUGH2 User’s Guide, Version 2.0, Lawrence Berkeley National Laboratory Report LBNL-43134, Berkeley, CA, November, 1999.</w:t>
      </w:r>
    </w:p>
    <w:p>
      <w:pPr>
        <w:spacing w:line="278" w:lineRule="auto" w:before="0"/>
        <w:ind w:left="894" w:right="0" w:hanging="341"/>
        <w:jc w:val="both"/>
        <w:rPr>
          <w:sz w:val="18"/>
        </w:rPr>
      </w:pPr>
      <w:r>
        <w:rPr>
          <w:b/>
          <w:sz w:val="18"/>
        </w:rPr>
        <w:t>Pruess,</w:t>
      </w:r>
      <w:r>
        <w:rPr>
          <w:b/>
          <w:spacing w:val="-10"/>
          <w:sz w:val="18"/>
        </w:rPr>
        <w:t> </w:t>
      </w:r>
      <w:r>
        <w:rPr>
          <w:sz w:val="18"/>
        </w:rPr>
        <w:t>K.,</w:t>
      </w:r>
      <w:r>
        <w:rPr>
          <w:spacing w:val="-10"/>
          <w:sz w:val="18"/>
        </w:rPr>
        <w:t> </w:t>
      </w:r>
      <w:r>
        <w:rPr>
          <w:sz w:val="18"/>
        </w:rPr>
        <w:t>J.</w:t>
      </w:r>
      <w:r>
        <w:rPr>
          <w:spacing w:val="-10"/>
          <w:sz w:val="18"/>
        </w:rPr>
        <w:t> </w:t>
      </w:r>
      <w:r>
        <w:rPr>
          <w:sz w:val="18"/>
        </w:rPr>
        <w:t>García,</w:t>
      </w:r>
      <w:r>
        <w:rPr>
          <w:spacing w:val="-13"/>
          <w:sz w:val="18"/>
        </w:rPr>
        <w:t> </w:t>
      </w:r>
      <w:r>
        <w:rPr>
          <w:spacing w:val="-7"/>
          <w:sz w:val="18"/>
        </w:rPr>
        <w:t>T.</w:t>
      </w:r>
      <w:r>
        <w:rPr>
          <w:spacing w:val="-10"/>
          <w:sz w:val="18"/>
        </w:rPr>
        <w:t> </w:t>
      </w:r>
      <w:r>
        <w:rPr>
          <w:sz w:val="18"/>
        </w:rPr>
        <w:t>Kovscek,</w:t>
      </w:r>
      <w:r>
        <w:rPr>
          <w:spacing w:val="-10"/>
          <w:sz w:val="18"/>
        </w:rPr>
        <w:t> </w:t>
      </w:r>
      <w:r>
        <w:rPr>
          <w:sz w:val="18"/>
        </w:rPr>
        <w:t>C.</w:t>
      </w:r>
      <w:r>
        <w:rPr>
          <w:spacing w:val="-10"/>
          <w:sz w:val="18"/>
        </w:rPr>
        <w:t> </w:t>
      </w:r>
      <w:r>
        <w:rPr>
          <w:sz w:val="18"/>
        </w:rPr>
        <w:t>Oldenburg,</w:t>
      </w:r>
      <w:r>
        <w:rPr>
          <w:spacing w:val="-10"/>
          <w:sz w:val="18"/>
        </w:rPr>
        <w:t> </w:t>
      </w:r>
      <w:r>
        <w:rPr>
          <w:sz w:val="18"/>
        </w:rPr>
        <w:t>J.</w:t>
      </w:r>
      <w:r>
        <w:rPr>
          <w:spacing w:val="-10"/>
          <w:sz w:val="18"/>
        </w:rPr>
        <w:t> </w:t>
      </w:r>
      <w:r>
        <w:rPr>
          <w:sz w:val="18"/>
        </w:rPr>
        <w:t>Rutqvist,</w:t>
      </w:r>
      <w:r>
        <w:rPr>
          <w:spacing w:val="-9"/>
          <w:sz w:val="18"/>
        </w:rPr>
        <w:t> </w:t>
      </w:r>
      <w:r>
        <w:rPr>
          <w:sz w:val="18"/>
        </w:rPr>
        <w:t>C.</w:t>
      </w:r>
      <w:r>
        <w:rPr>
          <w:spacing w:val="-10"/>
          <w:sz w:val="18"/>
        </w:rPr>
        <w:t> </w:t>
      </w:r>
      <w:r>
        <w:rPr>
          <w:sz w:val="18"/>
        </w:rPr>
        <w:t>Steefel and </w:t>
      </w:r>
      <w:r>
        <w:rPr>
          <w:spacing w:val="-7"/>
          <w:sz w:val="18"/>
        </w:rPr>
        <w:t>T. </w:t>
      </w:r>
      <w:r>
        <w:rPr>
          <w:sz w:val="18"/>
        </w:rPr>
        <w:t>Xu, 2004: Code Intercomparison Builds Confidence </w:t>
      </w:r>
      <w:r>
        <w:rPr>
          <w:spacing w:val="-6"/>
          <w:sz w:val="18"/>
        </w:rPr>
        <w:t>in </w:t>
      </w:r>
      <w:r>
        <w:rPr>
          <w:sz w:val="18"/>
        </w:rPr>
        <w:t>Numerical Simulation Models for Geologic Disposal of</w:t>
      </w:r>
      <w:r>
        <w:rPr>
          <w:spacing w:val="19"/>
          <w:sz w:val="18"/>
        </w:rPr>
        <w:t> </w:t>
      </w:r>
      <w:r>
        <w:rPr>
          <w:sz w:val="18"/>
        </w:rPr>
        <w:t>CO</w:t>
      </w:r>
      <w:r>
        <w:rPr>
          <w:position w:val="-5"/>
          <w:sz w:val="10"/>
        </w:rPr>
        <w:t>2</w:t>
      </w:r>
      <w:r>
        <w:rPr>
          <w:sz w:val="18"/>
        </w:rPr>
        <w:t>.</w:t>
      </w:r>
    </w:p>
    <w:p>
      <w:pPr>
        <w:spacing w:line="164" w:lineRule="exact" w:before="0"/>
        <w:ind w:left="894" w:right="0" w:firstLine="0"/>
        <w:jc w:val="both"/>
        <w:rPr>
          <w:sz w:val="18"/>
        </w:rPr>
      </w:pPr>
      <w:r>
        <w:rPr>
          <w:i/>
          <w:sz w:val="18"/>
        </w:rPr>
        <w:t>Energy</w:t>
      </w:r>
      <w:r>
        <w:rPr>
          <w:sz w:val="18"/>
        </w:rPr>
        <w:t>, 2003.</w:t>
      </w:r>
    </w:p>
    <w:p>
      <w:pPr>
        <w:spacing w:line="278" w:lineRule="auto" w:before="32"/>
        <w:ind w:left="894" w:right="1" w:hanging="341"/>
        <w:jc w:val="both"/>
        <w:rPr>
          <w:sz w:val="18"/>
        </w:rPr>
      </w:pPr>
      <w:r>
        <w:rPr>
          <w:b/>
          <w:sz w:val="18"/>
        </w:rPr>
        <w:t>Purdy, </w:t>
      </w:r>
      <w:r>
        <w:rPr>
          <w:sz w:val="18"/>
        </w:rPr>
        <w:t>R. and R. Macrory, 2004: Geological carbon sequestration: critical legal issues. Tyndall Centre Working Paper 45.</w:t>
      </w:r>
    </w:p>
    <w:p>
      <w:pPr>
        <w:spacing w:line="278" w:lineRule="auto" w:before="0"/>
        <w:ind w:left="894" w:right="0" w:hanging="341"/>
        <w:jc w:val="both"/>
        <w:rPr>
          <w:sz w:val="18"/>
        </w:rPr>
      </w:pPr>
      <w:r>
        <w:rPr>
          <w:b/>
          <w:sz w:val="18"/>
        </w:rPr>
        <w:t>Raleigh, </w:t>
      </w:r>
      <w:r>
        <w:rPr>
          <w:sz w:val="18"/>
        </w:rPr>
        <w:t>C.B., J.D. Healy and J.D. Bredehoeft, 1976: An experiment in earthquake control of Rangely, Colorado. </w:t>
      </w:r>
      <w:r>
        <w:rPr>
          <w:i/>
          <w:sz w:val="18"/>
        </w:rPr>
        <w:t>Science</w:t>
      </w:r>
      <w:r>
        <w:rPr>
          <w:sz w:val="18"/>
        </w:rPr>
        <w:t>, </w:t>
      </w:r>
      <w:r>
        <w:rPr>
          <w:b/>
          <w:sz w:val="18"/>
        </w:rPr>
        <w:t>191</w:t>
      </w:r>
      <w:r>
        <w:rPr>
          <w:sz w:val="18"/>
        </w:rPr>
        <w:t>, 1230–1237.</w:t>
      </w:r>
    </w:p>
    <w:p>
      <w:pPr>
        <w:spacing w:line="278" w:lineRule="auto" w:before="0"/>
        <w:ind w:left="894" w:right="0" w:hanging="341"/>
        <w:jc w:val="both"/>
        <w:rPr>
          <w:sz w:val="18"/>
        </w:rPr>
      </w:pPr>
      <w:r>
        <w:rPr/>
        <w:pict>
          <v:shape style="position:absolute;margin-left:120.181801pt;margin-top:19.464094pt;width:2.65pt;height:5.25pt;mso-position-horizontal-relative:page;mso-position-vertical-relative:paragraph;z-index:-258808832"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Reeves, </w:t>
      </w:r>
      <w:r>
        <w:rPr>
          <w:sz w:val="18"/>
        </w:rPr>
        <w:t>S., 2003a: Coal-Seq project update: field studies of ECBM recovery/CO sequestration in coal seams. Proceedings of the 6</w:t>
      </w:r>
      <w:r>
        <w:rPr>
          <w:position w:val="6"/>
          <w:sz w:val="10"/>
        </w:rPr>
        <w:t>th </w:t>
      </w:r>
      <w:r>
        <w:rPr>
          <w:sz w:val="18"/>
        </w:rPr>
        <w:t>International</w:t>
      </w:r>
      <w:r>
        <w:rPr>
          <w:spacing w:val="-24"/>
          <w:sz w:val="18"/>
        </w:rPr>
        <w:t> </w:t>
      </w:r>
      <w:r>
        <w:rPr>
          <w:sz w:val="18"/>
        </w:rPr>
        <w:t>Conference</w:t>
      </w:r>
      <w:r>
        <w:rPr>
          <w:spacing w:val="-24"/>
          <w:sz w:val="18"/>
        </w:rPr>
        <w:t> </w:t>
      </w:r>
      <w:r>
        <w:rPr>
          <w:sz w:val="18"/>
        </w:rPr>
        <w:t>on</w:t>
      </w:r>
      <w:r>
        <w:rPr>
          <w:spacing w:val="-24"/>
          <w:sz w:val="18"/>
        </w:rPr>
        <w:t> </w:t>
      </w:r>
      <w:r>
        <w:rPr>
          <w:sz w:val="18"/>
        </w:rPr>
        <w:t>Greenhouse</w:t>
      </w:r>
      <w:r>
        <w:rPr>
          <w:spacing w:val="-23"/>
          <w:sz w:val="18"/>
        </w:rPr>
        <w:t> </w:t>
      </w:r>
      <w:r>
        <w:rPr>
          <w:sz w:val="18"/>
        </w:rPr>
        <w:t>Gas</w:t>
      </w:r>
      <w:r>
        <w:rPr>
          <w:spacing w:val="-24"/>
          <w:sz w:val="18"/>
        </w:rPr>
        <w:t> </w:t>
      </w:r>
      <w:r>
        <w:rPr>
          <w:sz w:val="18"/>
        </w:rPr>
        <w:t>Control</w:t>
      </w:r>
      <w:r>
        <w:rPr>
          <w:spacing w:val="-27"/>
          <w:sz w:val="18"/>
        </w:rPr>
        <w:t> </w:t>
      </w:r>
      <w:r>
        <w:rPr>
          <w:sz w:val="18"/>
        </w:rPr>
        <w:t>Technologies (GHGT-6), J. Gale and </w:t>
      </w:r>
      <w:r>
        <w:rPr>
          <w:spacing w:val="-12"/>
          <w:sz w:val="18"/>
        </w:rPr>
        <w:t>Y. </w:t>
      </w:r>
      <w:r>
        <w:rPr>
          <w:sz w:val="18"/>
        </w:rPr>
        <w:t>Kaya (eds.), 1–4 October 2002, Kyoto, Japan, Pergamon, </w:t>
      </w:r>
      <w:r>
        <w:rPr>
          <w:spacing w:val="-3"/>
          <w:sz w:val="18"/>
        </w:rPr>
        <w:t>v.I,</w:t>
      </w:r>
      <w:r>
        <w:rPr>
          <w:spacing w:val="-2"/>
          <w:sz w:val="18"/>
        </w:rPr>
        <w:t> </w:t>
      </w:r>
      <w:r>
        <w:rPr>
          <w:sz w:val="18"/>
        </w:rPr>
        <w:t>557–562.</w:t>
      </w:r>
    </w:p>
    <w:p>
      <w:pPr>
        <w:spacing w:line="230" w:lineRule="auto" w:before="4"/>
        <w:ind w:left="894" w:right="0" w:hanging="341"/>
        <w:jc w:val="both"/>
        <w:rPr>
          <w:sz w:val="18"/>
        </w:rPr>
      </w:pPr>
      <w:r>
        <w:rPr>
          <w:b/>
          <w:sz w:val="18"/>
        </w:rPr>
        <w:t>Reeves, </w:t>
      </w:r>
      <w:r>
        <w:rPr>
          <w:sz w:val="18"/>
        </w:rPr>
        <w:t>S.R., 2003b: Assessment of CO</w:t>
      </w:r>
      <w:r>
        <w:rPr>
          <w:position w:val="-5"/>
          <w:sz w:val="10"/>
        </w:rPr>
        <w:t>2 </w:t>
      </w:r>
      <w:r>
        <w:rPr>
          <w:sz w:val="18"/>
        </w:rPr>
        <w:t>Sequestration and ECBM Potential of US Coalbeds, Topical Report for US Department of</w:t>
      </w:r>
    </w:p>
    <w:p>
      <w:pPr>
        <w:spacing w:line="278" w:lineRule="auto" w:before="35"/>
        <w:ind w:left="894" w:right="1" w:firstLine="0"/>
        <w:jc w:val="both"/>
        <w:rPr>
          <w:sz w:val="18"/>
        </w:rPr>
      </w:pPr>
      <w:r>
        <w:rPr>
          <w:sz w:val="18"/>
        </w:rPr>
        <w:t>Energy by Advanced Resources International, Report No. DE- FC26-00NT40924, February 2003.</w:t>
      </w:r>
    </w:p>
    <w:p>
      <w:pPr>
        <w:spacing w:line="278" w:lineRule="auto" w:before="0"/>
        <w:ind w:left="894" w:right="0" w:hanging="341"/>
        <w:jc w:val="both"/>
        <w:rPr>
          <w:sz w:val="18"/>
        </w:rPr>
      </w:pPr>
      <w:r>
        <w:rPr>
          <w:b/>
          <w:sz w:val="18"/>
        </w:rPr>
        <w:t>Reeves</w:t>
      </w:r>
      <w:r>
        <w:rPr>
          <w:sz w:val="18"/>
        </w:rPr>
        <w:t>, S.R., 2005: The Coal-Seq project: Key results from field, laboratory</w:t>
      </w:r>
      <w:r>
        <w:rPr>
          <w:spacing w:val="-28"/>
          <w:sz w:val="18"/>
        </w:rPr>
        <w:t> </w:t>
      </w:r>
      <w:r>
        <w:rPr>
          <w:sz w:val="18"/>
        </w:rPr>
        <w:t>and</w:t>
      </w:r>
      <w:r>
        <w:rPr>
          <w:spacing w:val="-27"/>
          <w:sz w:val="18"/>
        </w:rPr>
        <w:t> </w:t>
      </w:r>
      <w:r>
        <w:rPr>
          <w:sz w:val="18"/>
        </w:rPr>
        <w:t>modeling</w:t>
      </w:r>
      <w:r>
        <w:rPr>
          <w:spacing w:val="-28"/>
          <w:sz w:val="18"/>
        </w:rPr>
        <w:t> </w:t>
      </w:r>
      <w:r>
        <w:rPr>
          <w:sz w:val="18"/>
        </w:rPr>
        <w:t>studies.</w:t>
      </w:r>
      <w:r>
        <w:rPr>
          <w:spacing w:val="-27"/>
          <w:sz w:val="18"/>
        </w:rPr>
        <w:t> </w:t>
      </w:r>
      <w:r>
        <w:rPr>
          <w:sz w:val="18"/>
        </w:rPr>
        <w:t>Proceedings</w:t>
      </w:r>
      <w:r>
        <w:rPr>
          <w:spacing w:val="-28"/>
          <w:sz w:val="18"/>
        </w:rPr>
        <w:t> </w:t>
      </w:r>
      <w:r>
        <w:rPr>
          <w:sz w:val="18"/>
        </w:rPr>
        <w:t>of</w:t>
      </w:r>
      <w:r>
        <w:rPr>
          <w:spacing w:val="-27"/>
          <w:sz w:val="18"/>
        </w:rPr>
        <w:t> </w:t>
      </w:r>
      <w:r>
        <w:rPr>
          <w:sz w:val="18"/>
        </w:rPr>
        <w:t>the</w:t>
      </w:r>
      <w:r>
        <w:rPr>
          <w:spacing w:val="-27"/>
          <w:sz w:val="18"/>
        </w:rPr>
        <w:t> </w:t>
      </w:r>
      <w:r>
        <w:rPr>
          <w:sz w:val="18"/>
        </w:rPr>
        <w:t>7</w:t>
      </w:r>
      <w:r>
        <w:rPr>
          <w:position w:val="6"/>
          <w:sz w:val="10"/>
        </w:rPr>
        <w:t>th</w:t>
      </w:r>
      <w:r>
        <w:rPr>
          <w:spacing w:val="-8"/>
          <w:position w:val="6"/>
          <w:sz w:val="10"/>
        </w:rPr>
        <w:t> </w:t>
      </w:r>
      <w:r>
        <w:rPr>
          <w:sz w:val="18"/>
        </w:rPr>
        <w:t>International Conference</w:t>
      </w:r>
      <w:r>
        <w:rPr>
          <w:spacing w:val="-7"/>
          <w:sz w:val="18"/>
        </w:rPr>
        <w:t> </w:t>
      </w:r>
      <w:r>
        <w:rPr>
          <w:sz w:val="18"/>
        </w:rPr>
        <w:t>on</w:t>
      </w:r>
      <w:r>
        <w:rPr>
          <w:spacing w:val="-7"/>
          <w:sz w:val="18"/>
        </w:rPr>
        <w:t> </w:t>
      </w:r>
      <w:r>
        <w:rPr>
          <w:sz w:val="18"/>
        </w:rPr>
        <w:t>Greenhouse</w:t>
      </w:r>
      <w:r>
        <w:rPr>
          <w:spacing w:val="-6"/>
          <w:sz w:val="18"/>
        </w:rPr>
        <w:t> </w:t>
      </w:r>
      <w:r>
        <w:rPr>
          <w:sz w:val="18"/>
        </w:rPr>
        <w:t>Gas</w:t>
      </w:r>
      <w:r>
        <w:rPr>
          <w:spacing w:val="-7"/>
          <w:sz w:val="18"/>
        </w:rPr>
        <w:t> </w:t>
      </w:r>
      <w:r>
        <w:rPr>
          <w:sz w:val="18"/>
        </w:rPr>
        <w:t>Control</w:t>
      </w:r>
      <w:r>
        <w:rPr>
          <w:spacing w:val="-9"/>
          <w:sz w:val="18"/>
        </w:rPr>
        <w:t> </w:t>
      </w:r>
      <w:r>
        <w:rPr>
          <w:sz w:val="18"/>
        </w:rPr>
        <w:t>Technologies</w:t>
      </w:r>
      <w:r>
        <w:rPr>
          <w:spacing w:val="-6"/>
          <w:sz w:val="18"/>
        </w:rPr>
        <w:t> </w:t>
      </w:r>
      <w:r>
        <w:rPr>
          <w:sz w:val="18"/>
        </w:rPr>
        <w:t>(GHGT-7), September 5–9, 2004, </w:t>
      </w:r>
      <w:r>
        <w:rPr>
          <w:spacing w:val="-3"/>
          <w:sz w:val="18"/>
        </w:rPr>
        <w:t>Vancouver, </w:t>
      </w:r>
      <w:r>
        <w:rPr>
          <w:sz w:val="18"/>
        </w:rPr>
        <w:t>Canada, </w:t>
      </w:r>
      <w:r>
        <w:rPr>
          <w:spacing w:val="-3"/>
          <w:sz w:val="18"/>
        </w:rPr>
        <w:t>v.II,</w:t>
      </w:r>
      <w:r>
        <w:rPr>
          <w:spacing w:val="-4"/>
          <w:sz w:val="18"/>
        </w:rPr>
        <w:t> </w:t>
      </w:r>
      <w:r>
        <w:rPr>
          <w:sz w:val="18"/>
        </w:rPr>
        <w:t>1399-1406.</w:t>
      </w:r>
    </w:p>
    <w:p>
      <w:pPr>
        <w:spacing w:line="278" w:lineRule="auto" w:before="0"/>
        <w:ind w:left="894" w:right="0" w:hanging="341"/>
        <w:jc w:val="both"/>
        <w:rPr>
          <w:sz w:val="18"/>
        </w:rPr>
      </w:pPr>
      <w:r>
        <w:rPr>
          <w:b/>
          <w:sz w:val="18"/>
        </w:rPr>
        <w:t>Reeves, </w:t>
      </w:r>
      <w:r>
        <w:rPr>
          <w:sz w:val="18"/>
        </w:rPr>
        <w:t>S., A. Taillefert, L. Pekot and C. Clarkson, 2003: The Allison Unit</w:t>
      </w:r>
      <w:r>
        <w:rPr>
          <w:spacing w:val="-15"/>
          <w:sz w:val="18"/>
        </w:rPr>
        <w:t> </w:t>
      </w:r>
      <w:r>
        <w:rPr>
          <w:sz w:val="18"/>
        </w:rPr>
        <w:t>CO</w:t>
      </w:r>
      <w:r>
        <w:rPr>
          <w:position w:val="-5"/>
          <w:sz w:val="10"/>
        </w:rPr>
        <w:t>2</w:t>
      </w:r>
      <w:r>
        <w:rPr>
          <w:sz w:val="18"/>
        </w:rPr>
        <w:t>-ECBM</w:t>
      </w:r>
      <w:r>
        <w:rPr>
          <w:spacing w:val="-14"/>
          <w:sz w:val="18"/>
        </w:rPr>
        <w:t> </w:t>
      </w:r>
      <w:r>
        <w:rPr>
          <w:sz w:val="18"/>
        </w:rPr>
        <w:t>Pilot:</w:t>
      </w:r>
      <w:r>
        <w:rPr>
          <w:spacing w:val="-23"/>
          <w:sz w:val="18"/>
        </w:rPr>
        <w:t> </w:t>
      </w:r>
      <w:r>
        <w:rPr>
          <w:sz w:val="18"/>
        </w:rPr>
        <w:t>A</w:t>
      </w:r>
      <w:r>
        <w:rPr>
          <w:spacing w:val="-23"/>
          <w:sz w:val="18"/>
        </w:rPr>
        <w:t> </w:t>
      </w:r>
      <w:r>
        <w:rPr>
          <w:sz w:val="18"/>
        </w:rPr>
        <w:t>Reservoir</w:t>
      </w:r>
      <w:r>
        <w:rPr>
          <w:spacing w:val="-14"/>
          <w:sz w:val="18"/>
        </w:rPr>
        <w:t> </w:t>
      </w:r>
      <w:r>
        <w:rPr>
          <w:sz w:val="18"/>
        </w:rPr>
        <w:t>Modeling</w:t>
      </w:r>
      <w:r>
        <w:rPr>
          <w:spacing w:val="-15"/>
          <w:sz w:val="18"/>
        </w:rPr>
        <w:t> </w:t>
      </w:r>
      <w:r>
        <w:rPr>
          <w:spacing w:val="-3"/>
          <w:sz w:val="18"/>
        </w:rPr>
        <w:t>Study.</w:t>
      </w:r>
      <w:r>
        <w:rPr>
          <w:spacing w:val="-14"/>
          <w:sz w:val="18"/>
        </w:rPr>
        <w:t> </w:t>
      </w:r>
      <w:r>
        <w:rPr>
          <w:sz w:val="18"/>
        </w:rPr>
        <w:t>DOE</w:t>
      </w:r>
      <w:r>
        <w:rPr>
          <w:spacing w:val="-17"/>
          <w:sz w:val="18"/>
        </w:rPr>
        <w:t> </w:t>
      </w:r>
      <w:r>
        <w:rPr>
          <w:sz w:val="18"/>
        </w:rPr>
        <w:t>Topical</w:t>
      </w:r>
    </w:p>
    <w:p>
      <w:pPr>
        <w:spacing w:line="164" w:lineRule="exact" w:before="0"/>
        <w:ind w:left="894" w:right="0" w:firstLine="0"/>
        <w:jc w:val="both"/>
        <w:rPr>
          <w:sz w:val="18"/>
        </w:rPr>
      </w:pPr>
      <w:r>
        <w:rPr>
          <w:sz w:val="18"/>
        </w:rPr>
        <w:t>Report, February, 2003.</w:t>
      </w:r>
    </w:p>
    <w:p>
      <w:pPr>
        <w:spacing w:line="278" w:lineRule="auto" w:before="67"/>
        <w:ind w:left="539" w:right="135" w:hanging="341"/>
        <w:jc w:val="both"/>
        <w:rPr>
          <w:sz w:val="18"/>
        </w:rPr>
      </w:pPr>
      <w:r>
        <w:rPr/>
        <w:br w:type="column"/>
      </w:r>
      <w:r>
        <w:rPr>
          <w:b/>
          <w:sz w:val="18"/>
        </w:rPr>
        <w:t>Reeves,</w:t>
      </w:r>
      <w:r>
        <w:rPr>
          <w:b/>
          <w:spacing w:val="-9"/>
          <w:sz w:val="18"/>
        </w:rPr>
        <w:t> </w:t>
      </w:r>
      <w:r>
        <w:rPr>
          <w:sz w:val="18"/>
        </w:rPr>
        <w:t>S.,</w:t>
      </w:r>
      <w:r>
        <w:rPr>
          <w:spacing w:val="-8"/>
          <w:sz w:val="18"/>
        </w:rPr>
        <w:t> </w:t>
      </w:r>
      <w:r>
        <w:rPr>
          <w:sz w:val="18"/>
        </w:rPr>
        <w:t>D.</w:t>
      </w:r>
      <w:r>
        <w:rPr>
          <w:spacing w:val="-8"/>
          <w:sz w:val="18"/>
        </w:rPr>
        <w:t> </w:t>
      </w:r>
      <w:r>
        <w:rPr>
          <w:sz w:val="18"/>
        </w:rPr>
        <w:t>Davis</w:t>
      </w:r>
      <w:r>
        <w:rPr>
          <w:spacing w:val="-8"/>
          <w:sz w:val="18"/>
        </w:rPr>
        <w:t> </w:t>
      </w:r>
      <w:r>
        <w:rPr>
          <w:sz w:val="18"/>
        </w:rPr>
        <w:t>and</w:t>
      </w:r>
      <w:r>
        <w:rPr>
          <w:spacing w:val="-17"/>
          <w:sz w:val="18"/>
        </w:rPr>
        <w:t> </w:t>
      </w:r>
      <w:r>
        <w:rPr>
          <w:sz w:val="18"/>
        </w:rPr>
        <w:t>A.</w:t>
      </w:r>
      <w:r>
        <w:rPr>
          <w:spacing w:val="-9"/>
          <w:sz w:val="18"/>
        </w:rPr>
        <w:t> </w:t>
      </w:r>
      <w:r>
        <w:rPr>
          <w:sz w:val="18"/>
        </w:rPr>
        <w:t>Oudinot,</w:t>
      </w:r>
      <w:r>
        <w:rPr>
          <w:spacing w:val="-9"/>
          <w:sz w:val="18"/>
        </w:rPr>
        <w:t> </w:t>
      </w:r>
      <w:r>
        <w:rPr>
          <w:sz w:val="18"/>
        </w:rPr>
        <w:t>2004:</w:t>
      </w:r>
      <w:r>
        <w:rPr>
          <w:spacing w:val="-17"/>
          <w:sz w:val="18"/>
        </w:rPr>
        <w:t> </w:t>
      </w:r>
      <w:r>
        <w:rPr>
          <w:sz w:val="18"/>
        </w:rPr>
        <w:t>A</w:t>
      </w:r>
      <w:r>
        <w:rPr>
          <w:spacing w:val="-21"/>
          <w:sz w:val="18"/>
        </w:rPr>
        <w:t> </w:t>
      </w:r>
      <w:r>
        <w:rPr>
          <w:sz w:val="18"/>
        </w:rPr>
        <w:t>Technical</w:t>
      </w:r>
      <w:r>
        <w:rPr>
          <w:spacing w:val="-8"/>
          <w:sz w:val="18"/>
        </w:rPr>
        <w:t> </w:t>
      </w:r>
      <w:r>
        <w:rPr>
          <w:sz w:val="18"/>
        </w:rPr>
        <w:t>and</w:t>
      </w:r>
      <w:r>
        <w:rPr>
          <w:spacing w:val="-8"/>
          <w:sz w:val="18"/>
        </w:rPr>
        <w:t> </w:t>
      </w:r>
      <w:r>
        <w:rPr>
          <w:sz w:val="18"/>
        </w:rPr>
        <w:t>Economic Sensitivity Study of Enhanced Coalbed Methane Recovery and Carbon Sequestration in Coal. DOE Topical Report, March, 2004.</w:t>
      </w:r>
    </w:p>
    <w:p>
      <w:pPr>
        <w:spacing w:line="278" w:lineRule="auto" w:before="0"/>
        <w:ind w:left="539" w:right="136" w:hanging="341"/>
        <w:jc w:val="both"/>
        <w:rPr>
          <w:sz w:val="18"/>
        </w:rPr>
      </w:pPr>
      <w:r>
        <w:rPr>
          <w:b/>
          <w:sz w:val="18"/>
        </w:rPr>
        <w:t>Reiner, </w:t>
      </w:r>
      <w:r>
        <w:rPr>
          <w:sz w:val="18"/>
        </w:rPr>
        <w:t>D.M. and H.J. Herzog, 2004: Developing a set of regulatory analogs for carbon sequestration. </w:t>
      </w:r>
      <w:r>
        <w:rPr>
          <w:i/>
          <w:sz w:val="18"/>
        </w:rPr>
        <w:t>Energy</w:t>
      </w:r>
      <w:r>
        <w:rPr>
          <w:sz w:val="18"/>
        </w:rPr>
        <w:t>, </w:t>
      </w:r>
      <w:r>
        <w:rPr>
          <w:b/>
          <w:sz w:val="18"/>
        </w:rPr>
        <w:t>29</w:t>
      </w:r>
      <w:r>
        <w:rPr>
          <w:sz w:val="18"/>
        </w:rPr>
        <w:t>(9/10): 1561–1570.</w:t>
      </w:r>
    </w:p>
    <w:p>
      <w:pPr>
        <w:spacing w:line="278" w:lineRule="auto" w:before="0"/>
        <w:ind w:left="539" w:right="135" w:hanging="341"/>
        <w:jc w:val="both"/>
        <w:rPr>
          <w:sz w:val="18"/>
        </w:rPr>
      </w:pPr>
      <w:r>
        <w:rPr>
          <w:b/>
          <w:sz w:val="18"/>
        </w:rPr>
        <w:t>Riddiford, </w:t>
      </w:r>
      <w:r>
        <w:rPr>
          <w:spacing w:val="-3"/>
          <w:sz w:val="18"/>
        </w:rPr>
        <w:t>F.A., </w:t>
      </w:r>
      <w:r>
        <w:rPr>
          <w:sz w:val="18"/>
        </w:rPr>
        <w:t>A. Tourqui, C.D. Bishop, B. </w:t>
      </w:r>
      <w:r>
        <w:rPr>
          <w:spacing w:val="-3"/>
          <w:sz w:val="18"/>
        </w:rPr>
        <w:t>Taylor </w:t>
      </w:r>
      <w:r>
        <w:rPr>
          <w:sz w:val="18"/>
        </w:rPr>
        <w:t>and M. Smith, 2003: A cleaner development: The In Salah Gas Project, Algeria. Proceedings of the 6</w:t>
      </w:r>
      <w:r>
        <w:rPr>
          <w:position w:val="6"/>
          <w:sz w:val="10"/>
        </w:rPr>
        <w:t>th </w:t>
      </w:r>
      <w:r>
        <w:rPr>
          <w:sz w:val="18"/>
        </w:rPr>
        <w:t>International Conference on Greenhouse Gas</w:t>
      </w:r>
      <w:r>
        <w:rPr>
          <w:spacing w:val="-5"/>
          <w:sz w:val="18"/>
        </w:rPr>
        <w:t> </w:t>
      </w:r>
      <w:r>
        <w:rPr>
          <w:sz w:val="18"/>
        </w:rPr>
        <w:t>Control</w:t>
      </w:r>
      <w:r>
        <w:rPr>
          <w:spacing w:val="-7"/>
          <w:sz w:val="18"/>
        </w:rPr>
        <w:t> </w:t>
      </w:r>
      <w:r>
        <w:rPr>
          <w:sz w:val="18"/>
        </w:rPr>
        <w:t>Technologies</w:t>
      </w:r>
      <w:r>
        <w:rPr>
          <w:spacing w:val="-4"/>
          <w:sz w:val="18"/>
        </w:rPr>
        <w:t> </w:t>
      </w:r>
      <w:r>
        <w:rPr>
          <w:sz w:val="18"/>
        </w:rPr>
        <w:t>(GHGT-6),</w:t>
      </w:r>
      <w:r>
        <w:rPr>
          <w:spacing w:val="-5"/>
          <w:sz w:val="18"/>
        </w:rPr>
        <w:t> </w:t>
      </w:r>
      <w:r>
        <w:rPr>
          <w:sz w:val="18"/>
        </w:rPr>
        <w:t>J.</w:t>
      </w:r>
      <w:r>
        <w:rPr>
          <w:spacing w:val="-4"/>
          <w:sz w:val="18"/>
        </w:rPr>
        <w:t> </w:t>
      </w:r>
      <w:r>
        <w:rPr>
          <w:sz w:val="18"/>
        </w:rPr>
        <w:t>Gale</w:t>
      </w:r>
      <w:r>
        <w:rPr>
          <w:spacing w:val="-4"/>
          <w:sz w:val="18"/>
        </w:rPr>
        <w:t> </w:t>
      </w:r>
      <w:r>
        <w:rPr>
          <w:sz w:val="18"/>
        </w:rPr>
        <w:t>and</w:t>
      </w:r>
      <w:r>
        <w:rPr>
          <w:spacing w:val="-11"/>
          <w:sz w:val="18"/>
        </w:rPr>
        <w:t> </w:t>
      </w:r>
      <w:r>
        <w:rPr>
          <w:spacing w:val="-12"/>
          <w:sz w:val="18"/>
        </w:rPr>
        <w:t>Y.</w:t>
      </w:r>
      <w:r>
        <w:rPr>
          <w:spacing w:val="-4"/>
          <w:sz w:val="18"/>
        </w:rPr>
        <w:t> </w:t>
      </w:r>
      <w:r>
        <w:rPr>
          <w:sz w:val="18"/>
        </w:rPr>
        <w:t>Kaya,</w:t>
      </w:r>
      <w:r>
        <w:rPr>
          <w:spacing w:val="-5"/>
          <w:sz w:val="18"/>
        </w:rPr>
        <w:t> </w:t>
      </w:r>
      <w:r>
        <w:rPr>
          <w:sz w:val="18"/>
        </w:rPr>
        <w:t>(eds.), 1–4 October 2002, Kyoto, Japan, </w:t>
      </w:r>
      <w:r>
        <w:rPr>
          <w:spacing w:val="-3"/>
          <w:sz w:val="18"/>
        </w:rPr>
        <w:t>v.I,</w:t>
      </w:r>
      <w:r>
        <w:rPr>
          <w:spacing w:val="-6"/>
          <w:sz w:val="18"/>
        </w:rPr>
        <w:t> </w:t>
      </w:r>
      <w:r>
        <w:rPr>
          <w:sz w:val="18"/>
        </w:rPr>
        <w:t>601–606.</w:t>
      </w:r>
    </w:p>
    <w:p>
      <w:pPr>
        <w:spacing w:line="206" w:lineRule="exact" w:before="0"/>
        <w:ind w:left="199" w:right="0" w:firstLine="0"/>
        <w:jc w:val="both"/>
        <w:rPr>
          <w:sz w:val="18"/>
        </w:rPr>
      </w:pPr>
      <w:r>
        <w:rPr>
          <w:b/>
          <w:sz w:val="18"/>
        </w:rPr>
        <w:t>Rigg, </w:t>
      </w:r>
      <w:r>
        <w:rPr>
          <w:sz w:val="18"/>
        </w:rPr>
        <w:t>A., G. Allinson, J. Bradshaw, J. Ennis-King, C.M. Gibson-Poole,</w:t>
      </w:r>
    </w:p>
    <w:p>
      <w:pPr>
        <w:spacing w:line="240" w:lineRule="exact" w:before="8"/>
        <w:ind w:left="539" w:right="135" w:firstLine="0"/>
        <w:jc w:val="both"/>
        <w:rPr>
          <w:sz w:val="18"/>
        </w:rPr>
      </w:pPr>
      <w:r>
        <w:rPr>
          <w:sz w:val="18"/>
        </w:rPr>
        <w:t>R.R. Hillis, S.C. Lang and J.E. Streit, 2001: The search for sites for</w:t>
      </w:r>
      <w:r>
        <w:rPr>
          <w:spacing w:val="-6"/>
          <w:sz w:val="18"/>
        </w:rPr>
        <w:t> </w:t>
      </w:r>
      <w:r>
        <w:rPr>
          <w:sz w:val="18"/>
        </w:rPr>
        <w:t>geological</w:t>
      </w:r>
      <w:r>
        <w:rPr>
          <w:spacing w:val="-6"/>
          <w:sz w:val="18"/>
        </w:rPr>
        <w:t> </w:t>
      </w:r>
      <w:r>
        <w:rPr>
          <w:sz w:val="18"/>
        </w:rPr>
        <w:t>sequestration</w:t>
      </w:r>
      <w:r>
        <w:rPr>
          <w:spacing w:val="-6"/>
          <w:sz w:val="18"/>
        </w:rPr>
        <w:t> </w:t>
      </w:r>
      <w:r>
        <w:rPr>
          <w:sz w:val="18"/>
        </w:rPr>
        <w:t>of</w:t>
      </w:r>
      <w:r>
        <w:rPr>
          <w:spacing w:val="-6"/>
          <w:sz w:val="18"/>
        </w:rPr>
        <w:t> </w:t>
      </w:r>
      <w:r>
        <w:rPr>
          <w:sz w:val="18"/>
        </w:rPr>
        <w:t>CO</w:t>
      </w:r>
      <w:r>
        <w:rPr>
          <w:position w:val="-5"/>
          <w:sz w:val="10"/>
        </w:rPr>
        <w:t>2</w:t>
      </w:r>
      <w:r>
        <w:rPr>
          <w:spacing w:val="14"/>
          <w:position w:val="-5"/>
          <w:sz w:val="10"/>
        </w:rPr>
        <w:t> </w:t>
      </w:r>
      <w:r>
        <w:rPr>
          <w:sz w:val="18"/>
        </w:rPr>
        <w:t>in</w:t>
      </w:r>
      <w:r>
        <w:rPr>
          <w:spacing w:val="-16"/>
          <w:sz w:val="18"/>
        </w:rPr>
        <w:t> </w:t>
      </w:r>
      <w:r>
        <w:rPr>
          <w:sz w:val="18"/>
        </w:rPr>
        <w:t>Australia:</w:t>
      </w:r>
      <w:r>
        <w:rPr>
          <w:spacing w:val="-15"/>
          <w:sz w:val="18"/>
        </w:rPr>
        <w:t> </w:t>
      </w:r>
      <w:r>
        <w:rPr>
          <w:sz w:val="18"/>
        </w:rPr>
        <w:t>A</w:t>
      </w:r>
      <w:r>
        <w:rPr>
          <w:spacing w:val="-16"/>
          <w:sz w:val="18"/>
        </w:rPr>
        <w:t> </w:t>
      </w:r>
      <w:r>
        <w:rPr>
          <w:sz w:val="18"/>
        </w:rPr>
        <w:t>progress</w:t>
      </w:r>
      <w:r>
        <w:rPr>
          <w:spacing w:val="-6"/>
          <w:sz w:val="18"/>
        </w:rPr>
        <w:t> </w:t>
      </w:r>
      <w:r>
        <w:rPr>
          <w:sz w:val="18"/>
        </w:rPr>
        <w:t>report on GEODISC. </w:t>
      </w:r>
      <w:r>
        <w:rPr>
          <w:i/>
          <w:sz w:val="18"/>
        </w:rPr>
        <w:t>APPEA Journal, </w:t>
      </w:r>
      <w:r>
        <w:rPr>
          <w:b/>
          <w:sz w:val="18"/>
        </w:rPr>
        <w:t>41</w:t>
      </w:r>
      <w:r>
        <w:rPr>
          <w:sz w:val="18"/>
        </w:rPr>
        <w:t>,</w:t>
      </w:r>
      <w:r>
        <w:rPr>
          <w:spacing w:val="-7"/>
          <w:sz w:val="18"/>
        </w:rPr>
        <w:t> </w:t>
      </w:r>
      <w:r>
        <w:rPr>
          <w:sz w:val="18"/>
        </w:rPr>
        <w:t>711–725.</w:t>
      </w:r>
    </w:p>
    <w:p>
      <w:pPr>
        <w:spacing w:line="278" w:lineRule="auto" w:before="24"/>
        <w:ind w:left="539" w:right="134" w:hanging="341"/>
        <w:jc w:val="both"/>
        <w:rPr>
          <w:sz w:val="18"/>
        </w:rPr>
      </w:pPr>
      <w:r>
        <w:rPr>
          <w:b/>
          <w:sz w:val="18"/>
        </w:rPr>
        <w:t>Rochelle, </w:t>
      </w:r>
      <w:r>
        <w:rPr>
          <w:sz w:val="18"/>
        </w:rPr>
        <w:t>C.A., J.M. Pearce and S. Holloway, 1999: The underground sequestration of carbon dioxide: containment by chemical reactions. In: Chemical Containment of Waste in the Geosphere, Geological Society of London Special Publication No. 157, 117–129.</w:t>
      </w:r>
    </w:p>
    <w:p>
      <w:pPr>
        <w:spacing w:line="278" w:lineRule="auto" w:before="0"/>
        <w:ind w:left="539" w:right="135" w:hanging="341"/>
        <w:jc w:val="both"/>
        <w:rPr>
          <w:sz w:val="18"/>
        </w:rPr>
      </w:pPr>
      <w:r>
        <w:rPr>
          <w:b/>
          <w:sz w:val="18"/>
        </w:rPr>
        <w:t>Rochelle,</w:t>
      </w:r>
      <w:r>
        <w:rPr>
          <w:b/>
          <w:spacing w:val="-6"/>
          <w:sz w:val="18"/>
        </w:rPr>
        <w:t> </w:t>
      </w:r>
      <w:r>
        <w:rPr>
          <w:sz w:val="18"/>
        </w:rPr>
        <w:t>C.A.,</w:t>
      </w:r>
      <w:r>
        <w:rPr>
          <w:spacing w:val="-6"/>
          <w:sz w:val="18"/>
        </w:rPr>
        <w:t> </w:t>
      </w:r>
      <w:r>
        <w:rPr>
          <w:sz w:val="18"/>
        </w:rPr>
        <w:t>I.</w:t>
      </w:r>
      <w:r>
        <w:rPr>
          <w:spacing w:val="-6"/>
          <w:sz w:val="18"/>
        </w:rPr>
        <w:t> </w:t>
      </w:r>
      <w:r>
        <w:rPr>
          <w:sz w:val="18"/>
        </w:rPr>
        <w:t>Czernichowski-Lauriol</w:t>
      </w:r>
      <w:r>
        <w:rPr>
          <w:spacing w:val="-7"/>
          <w:sz w:val="18"/>
        </w:rPr>
        <w:t> </w:t>
      </w:r>
      <w:r>
        <w:rPr>
          <w:sz w:val="18"/>
        </w:rPr>
        <w:t>and</w:t>
      </w:r>
      <w:r>
        <w:rPr>
          <w:spacing w:val="-15"/>
          <w:sz w:val="18"/>
        </w:rPr>
        <w:t> </w:t>
      </w:r>
      <w:r>
        <w:rPr>
          <w:sz w:val="18"/>
        </w:rPr>
        <w:t>A.E.</w:t>
      </w:r>
      <w:r>
        <w:rPr>
          <w:spacing w:val="-6"/>
          <w:sz w:val="18"/>
        </w:rPr>
        <w:t> </w:t>
      </w:r>
      <w:r>
        <w:rPr>
          <w:sz w:val="18"/>
        </w:rPr>
        <w:t>Milodowski,</w:t>
      </w:r>
      <w:r>
        <w:rPr>
          <w:spacing w:val="-6"/>
          <w:sz w:val="18"/>
        </w:rPr>
        <w:t> </w:t>
      </w:r>
      <w:r>
        <w:rPr>
          <w:sz w:val="18"/>
        </w:rPr>
        <w:t>2004: The</w:t>
      </w:r>
      <w:r>
        <w:rPr>
          <w:spacing w:val="22"/>
          <w:sz w:val="18"/>
        </w:rPr>
        <w:t> </w:t>
      </w:r>
      <w:r>
        <w:rPr>
          <w:sz w:val="18"/>
        </w:rPr>
        <w:t>impact</w:t>
      </w:r>
      <w:r>
        <w:rPr>
          <w:spacing w:val="23"/>
          <w:sz w:val="18"/>
        </w:rPr>
        <w:t> </w:t>
      </w:r>
      <w:r>
        <w:rPr>
          <w:sz w:val="18"/>
        </w:rPr>
        <w:t>of</w:t>
      </w:r>
      <w:r>
        <w:rPr>
          <w:spacing w:val="22"/>
          <w:sz w:val="18"/>
        </w:rPr>
        <w:t> </w:t>
      </w:r>
      <w:r>
        <w:rPr>
          <w:sz w:val="18"/>
        </w:rPr>
        <w:t>chemical</w:t>
      </w:r>
      <w:r>
        <w:rPr>
          <w:spacing w:val="22"/>
          <w:sz w:val="18"/>
        </w:rPr>
        <w:t> </w:t>
      </w:r>
      <w:r>
        <w:rPr>
          <w:sz w:val="18"/>
        </w:rPr>
        <w:t>reactions</w:t>
      </w:r>
      <w:r>
        <w:rPr>
          <w:spacing w:val="23"/>
          <w:sz w:val="18"/>
        </w:rPr>
        <w:t> </w:t>
      </w:r>
      <w:r>
        <w:rPr>
          <w:sz w:val="18"/>
        </w:rPr>
        <w:t>on</w:t>
      </w:r>
      <w:r>
        <w:rPr>
          <w:spacing w:val="22"/>
          <w:sz w:val="18"/>
        </w:rPr>
        <w:t> </w:t>
      </w:r>
      <w:r>
        <w:rPr>
          <w:sz w:val="18"/>
        </w:rPr>
        <w:t>CO</w:t>
      </w:r>
      <w:r>
        <w:rPr>
          <w:position w:val="-5"/>
          <w:sz w:val="10"/>
        </w:rPr>
        <w:t>2 </w:t>
      </w:r>
      <w:r>
        <w:rPr>
          <w:spacing w:val="18"/>
          <w:position w:val="-5"/>
          <w:sz w:val="10"/>
        </w:rPr>
        <w:t> </w:t>
      </w:r>
      <w:r>
        <w:rPr>
          <w:sz w:val="18"/>
        </w:rPr>
        <w:t>storage</w:t>
      </w:r>
      <w:r>
        <w:rPr>
          <w:spacing w:val="21"/>
          <w:sz w:val="18"/>
        </w:rPr>
        <w:t> </w:t>
      </w:r>
      <w:r>
        <w:rPr>
          <w:sz w:val="18"/>
        </w:rPr>
        <w:t>in</w:t>
      </w:r>
      <w:r>
        <w:rPr>
          <w:spacing w:val="23"/>
          <w:sz w:val="18"/>
        </w:rPr>
        <w:t> </w:t>
      </w:r>
      <w:r>
        <w:rPr>
          <w:sz w:val="18"/>
        </w:rPr>
        <w:t>geological</w:t>
      </w:r>
    </w:p>
    <w:p>
      <w:pPr>
        <w:spacing w:line="164" w:lineRule="exact" w:before="0"/>
        <w:ind w:left="539" w:right="0" w:firstLine="0"/>
        <w:jc w:val="both"/>
        <w:rPr>
          <w:sz w:val="18"/>
        </w:rPr>
      </w:pPr>
      <w:r>
        <w:rPr>
          <w:sz w:val="18"/>
        </w:rPr>
        <w:t>formations,  a  brief  review.  In:  Geological  Storage  of</w:t>
      </w:r>
      <w:r>
        <w:rPr>
          <w:spacing w:val="33"/>
          <w:sz w:val="18"/>
        </w:rPr>
        <w:t> </w:t>
      </w:r>
      <w:r>
        <w:rPr>
          <w:sz w:val="18"/>
        </w:rPr>
        <w:t>Carbon</w:t>
      </w:r>
    </w:p>
    <w:p>
      <w:pPr>
        <w:spacing w:before="33"/>
        <w:ind w:left="539" w:right="0" w:firstLine="0"/>
        <w:jc w:val="both"/>
        <w:rPr>
          <w:sz w:val="18"/>
        </w:rPr>
      </w:pPr>
      <w:r>
        <w:rPr>
          <w:sz w:val="18"/>
        </w:rPr>
        <w:t>Dioxide</w:t>
      </w:r>
      <w:r>
        <w:rPr>
          <w:spacing w:val="27"/>
          <w:sz w:val="18"/>
        </w:rPr>
        <w:t> </w:t>
      </w:r>
      <w:r>
        <w:rPr>
          <w:sz w:val="18"/>
        </w:rPr>
        <w:t>for</w:t>
      </w:r>
      <w:r>
        <w:rPr>
          <w:spacing w:val="28"/>
          <w:sz w:val="18"/>
        </w:rPr>
        <w:t> </w:t>
      </w:r>
      <w:r>
        <w:rPr>
          <w:sz w:val="18"/>
        </w:rPr>
        <w:t>Emissions</w:t>
      </w:r>
      <w:r>
        <w:rPr>
          <w:spacing w:val="28"/>
          <w:sz w:val="18"/>
        </w:rPr>
        <w:t> </w:t>
      </w:r>
      <w:r>
        <w:rPr>
          <w:sz w:val="18"/>
        </w:rPr>
        <w:t>Reduction:</w:t>
      </w:r>
      <w:r>
        <w:rPr>
          <w:spacing w:val="25"/>
          <w:sz w:val="18"/>
        </w:rPr>
        <w:t> </w:t>
      </w:r>
      <w:r>
        <w:rPr>
          <w:spacing w:val="-3"/>
          <w:sz w:val="18"/>
        </w:rPr>
        <w:t>Technology,</w:t>
      </w:r>
      <w:r>
        <w:rPr>
          <w:spacing w:val="28"/>
          <w:sz w:val="18"/>
        </w:rPr>
        <w:t> </w:t>
      </w:r>
      <w:r>
        <w:rPr>
          <w:sz w:val="18"/>
        </w:rPr>
        <w:t>S.J.</w:t>
      </w:r>
      <w:r>
        <w:rPr>
          <w:spacing w:val="28"/>
          <w:sz w:val="18"/>
        </w:rPr>
        <w:t> </w:t>
      </w:r>
      <w:r>
        <w:rPr>
          <w:sz w:val="18"/>
        </w:rPr>
        <w:t>Baines</w:t>
      </w:r>
      <w:r>
        <w:rPr>
          <w:spacing w:val="28"/>
          <w:sz w:val="18"/>
        </w:rPr>
        <w:t> </w:t>
      </w:r>
      <w:r>
        <w:rPr>
          <w:sz w:val="18"/>
        </w:rPr>
        <w:t>and</w:t>
      </w:r>
    </w:p>
    <w:p>
      <w:pPr>
        <w:spacing w:line="278" w:lineRule="auto" w:before="33"/>
        <w:ind w:left="539" w:right="137" w:firstLine="0"/>
        <w:jc w:val="both"/>
        <w:rPr>
          <w:sz w:val="18"/>
        </w:rPr>
      </w:pPr>
      <w:r>
        <w:rPr>
          <w:sz w:val="18"/>
        </w:rPr>
        <w:t>R.H.</w:t>
      </w:r>
      <w:r>
        <w:rPr>
          <w:spacing w:val="-15"/>
          <w:sz w:val="18"/>
        </w:rPr>
        <w:t> </w:t>
      </w:r>
      <w:r>
        <w:rPr>
          <w:spacing w:val="-3"/>
          <w:sz w:val="18"/>
        </w:rPr>
        <w:t>Worden</w:t>
      </w:r>
      <w:r>
        <w:rPr>
          <w:spacing w:val="-12"/>
          <w:sz w:val="18"/>
        </w:rPr>
        <w:t> </w:t>
      </w:r>
      <w:r>
        <w:rPr>
          <w:sz w:val="18"/>
        </w:rPr>
        <w:t>(eds.).</w:t>
      </w:r>
      <w:r>
        <w:rPr>
          <w:spacing w:val="-11"/>
          <w:sz w:val="18"/>
        </w:rPr>
        <w:t> </w:t>
      </w:r>
      <w:r>
        <w:rPr>
          <w:sz w:val="18"/>
        </w:rPr>
        <w:t>Geological</w:t>
      </w:r>
      <w:r>
        <w:rPr>
          <w:spacing w:val="-12"/>
          <w:sz w:val="18"/>
        </w:rPr>
        <w:t> </w:t>
      </w:r>
      <w:r>
        <w:rPr>
          <w:sz w:val="18"/>
        </w:rPr>
        <w:t>Society</w:t>
      </w:r>
      <w:r>
        <w:rPr>
          <w:spacing w:val="-11"/>
          <w:sz w:val="18"/>
        </w:rPr>
        <w:t> </w:t>
      </w:r>
      <w:r>
        <w:rPr>
          <w:sz w:val="18"/>
        </w:rPr>
        <w:t>Special</w:t>
      </w:r>
      <w:r>
        <w:rPr>
          <w:spacing w:val="-12"/>
          <w:sz w:val="18"/>
        </w:rPr>
        <w:t> </w:t>
      </w:r>
      <w:r>
        <w:rPr>
          <w:sz w:val="18"/>
        </w:rPr>
        <w:t>Publication,</w:t>
      </w:r>
      <w:r>
        <w:rPr>
          <w:spacing w:val="-12"/>
          <w:sz w:val="18"/>
        </w:rPr>
        <w:t> </w:t>
      </w:r>
      <w:r>
        <w:rPr>
          <w:sz w:val="18"/>
        </w:rPr>
        <w:t>Bath, UK.</w:t>
      </w:r>
    </w:p>
    <w:p>
      <w:pPr>
        <w:spacing w:line="278" w:lineRule="auto" w:before="0"/>
        <w:ind w:left="539" w:right="135" w:hanging="341"/>
        <w:jc w:val="both"/>
        <w:rPr>
          <w:sz w:val="18"/>
        </w:rPr>
      </w:pPr>
      <w:r>
        <w:rPr>
          <w:b/>
          <w:sz w:val="18"/>
        </w:rPr>
        <w:t>Rogie,</w:t>
      </w:r>
      <w:r>
        <w:rPr>
          <w:b/>
          <w:spacing w:val="-14"/>
          <w:sz w:val="18"/>
        </w:rPr>
        <w:t> </w:t>
      </w:r>
      <w:r>
        <w:rPr>
          <w:sz w:val="18"/>
        </w:rPr>
        <w:t>J.D.,</w:t>
      </w:r>
      <w:r>
        <w:rPr>
          <w:spacing w:val="-14"/>
          <w:sz w:val="18"/>
        </w:rPr>
        <w:t> </w:t>
      </w:r>
      <w:r>
        <w:rPr>
          <w:sz w:val="18"/>
        </w:rPr>
        <w:t>D.M.</w:t>
      </w:r>
      <w:r>
        <w:rPr>
          <w:spacing w:val="-15"/>
          <w:sz w:val="18"/>
        </w:rPr>
        <w:t> </w:t>
      </w:r>
      <w:r>
        <w:rPr>
          <w:sz w:val="18"/>
        </w:rPr>
        <w:t>Kerrick,</w:t>
      </w:r>
      <w:r>
        <w:rPr>
          <w:spacing w:val="-14"/>
          <w:sz w:val="18"/>
        </w:rPr>
        <w:t> </w:t>
      </w:r>
      <w:r>
        <w:rPr>
          <w:sz w:val="18"/>
        </w:rPr>
        <w:t>M.L.</w:t>
      </w:r>
      <w:r>
        <w:rPr>
          <w:spacing w:val="-14"/>
          <w:sz w:val="18"/>
        </w:rPr>
        <w:t> </w:t>
      </w:r>
      <w:r>
        <w:rPr>
          <w:spacing w:val="-3"/>
          <w:sz w:val="18"/>
        </w:rPr>
        <w:t>Sorey,</w:t>
      </w:r>
      <w:r>
        <w:rPr>
          <w:spacing w:val="-15"/>
          <w:sz w:val="18"/>
        </w:rPr>
        <w:t> </w:t>
      </w:r>
      <w:r>
        <w:rPr>
          <w:sz w:val="18"/>
        </w:rPr>
        <w:t>G.</w:t>
      </w:r>
      <w:r>
        <w:rPr>
          <w:spacing w:val="-14"/>
          <w:sz w:val="18"/>
        </w:rPr>
        <w:t> </w:t>
      </w:r>
      <w:r>
        <w:rPr>
          <w:sz w:val="18"/>
        </w:rPr>
        <w:t>Chiodini</w:t>
      </w:r>
      <w:r>
        <w:rPr>
          <w:spacing w:val="-15"/>
          <w:sz w:val="18"/>
        </w:rPr>
        <w:t> </w:t>
      </w:r>
      <w:r>
        <w:rPr>
          <w:sz w:val="18"/>
        </w:rPr>
        <w:t>and</w:t>
      </w:r>
      <w:r>
        <w:rPr>
          <w:spacing w:val="-14"/>
          <w:sz w:val="18"/>
        </w:rPr>
        <w:t> </w:t>
      </w:r>
      <w:r>
        <w:rPr>
          <w:sz w:val="18"/>
        </w:rPr>
        <w:t>D.L.</w:t>
      </w:r>
      <w:r>
        <w:rPr>
          <w:spacing w:val="-14"/>
          <w:sz w:val="18"/>
        </w:rPr>
        <w:t> </w:t>
      </w:r>
      <w:r>
        <w:rPr>
          <w:spacing w:val="-3"/>
          <w:sz w:val="18"/>
        </w:rPr>
        <w:t>Galloway, </w:t>
      </w:r>
      <w:r>
        <w:rPr>
          <w:sz w:val="18"/>
        </w:rPr>
        <w:t>2001: Dynamics of carbon dioxide emission at Mammoth Mountain, California. </w:t>
      </w:r>
      <w:r>
        <w:rPr>
          <w:i/>
          <w:sz w:val="18"/>
        </w:rPr>
        <w:t>Earth and Planetary Science Letters</w:t>
      </w:r>
      <w:r>
        <w:rPr>
          <w:sz w:val="18"/>
        </w:rPr>
        <w:t>, </w:t>
      </w:r>
      <w:r>
        <w:rPr>
          <w:b/>
          <w:sz w:val="18"/>
        </w:rPr>
        <w:t>188</w:t>
      </w:r>
      <w:r>
        <w:rPr>
          <w:sz w:val="18"/>
        </w:rPr>
        <w:t>, 535–541.</w:t>
      </w:r>
    </w:p>
    <w:p>
      <w:pPr>
        <w:spacing w:line="278" w:lineRule="auto" w:before="0"/>
        <w:ind w:left="539" w:right="134" w:hanging="341"/>
        <w:jc w:val="both"/>
        <w:rPr>
          <w:sz w:val="18"/>
        </w:rPr>
      </w:pPr>
      <w:r>
        <w:rPr>
          <w:b/>
          <w:sz w:val="18"/>
        </w:rPr>
        <w:t>Rutqvist,</w:t>
      </w:r>
      <w:r>
        <w:rPr>
          <w:b/>
          <w:spacing w:val="-14"/>
          <w:sz w:val="18"/>
        </w:rPr>
        <w:t> </w:t>
      </w:r>
      <w:r>
        <w:rPr>
          <w:sz w:val="18"/>
        </w:rPr>
        <w:t>J.</w:t>
      </w:r>
      <w:r>
        <w:rPr>
          <w:spacing w:val="-13"/>
          <w:sz w:val="18"/>
        </w:rPr>
        <w:t> </w:t>
      </w:r>
      <w:r>
        <w:rPr>
          <w:sz w:val="18"/>
        </w:rPr>
        <w:t>and</w:t>
      </w:r>
      <w:r>
        <w:rPr>
          <w:spacing w:val="-13"/>
          <w:sz w:val="18"/>
        </w:rPr>
        <w:t> </w:t>
      </w:r>
      <w:r>
        <w:rPr>
          <w:spacing w:val="-4"/>
          <w:sz w:val="18"/>
        </w:rPr>
        <w:t>C-F.</w:t>
      </w:r>
      <w:r>
        <w:rPr>
          <w:spacing w:val="-16"/>
          <w:sz w:val="18"/>
        </w:rPr>
        <w:t> </w:t>
      </w:r>
      <w:r>
        <w:rPr>
          <w:spacing w:val="-3"/>
          <w:sz w:val="18"/>
        </w:rPr>
        <w:t>Tsang,</w:t>
      </w:r>
      <w:r>
        <w:rPr>
          <w:spacing w:val="-13"/>
          <w:sz w:val="18"/>
        </w:rPr>
        <w:t> </w:t>
      </w:r>
      <w:r>
        <w:rPr>
          <w:sz w:val="18"/>
        </w:rPr>
        <w:t>2002:</w:t>
      </w:r>
      <w:r>
        <w:rPr>
          <w:spacing w:val="-23"/>
          <w:sz w:val="18"/>
        </w:rPr>
        <w:t> </w:t>
      </w:r>
      <w:r>
        <w:rPr>
          <w:sz w:val="18"/>
        </w:rPr>
        <w:t>A</w:t>
      </w:r>
      <w:r>
        <w:rPr>
          <w:spacing w:val="-22"/>
          <w:sz w:val="18"/>
        </w:rPr>
        <w:t> </w:t>
      </w:r>
      <w:r>
        <w:rPr>
          <w:sz w:val="18"/>
        </w:rPr>
        <w:t>study</w:t>
      </w:r>
      <w:r>
        <w:rPr>
          <w:spacing w:val="-13"/>
          <w:sz w:val="18"/>
        </w:rPr>
        <w:t> </w:t>
      </w:r>
      <w:r>
        <w:rPr>
          <w:sz w:val="18"/>
        </w:rPr>
        <w:t>of</w:t>
      </w:r>
      <w:r>
        <w:rPr>
          <w:spacing w:val="-13"/>
          <w:sz w:val="18"/>
        </w:rPr>
        <w:t> </w:t>
      </w:r>
      <w:r>
        <w:rPr>
          <w:sz w:val="18"/>
        </w:rPr>
        <w:t>caprock</w:t>
      </w:r>
      <w:r>
        <w:rPr>
          <w:spacing w:val="-14"/>
          <w:sz w:val="18"/>
        </w:rPr>
        <w:t> </w:t>
      </w:r>
      <w:r>
        <w:rPr>
          <w:sz w:val="18"/>
        </w:rPr>
        <w:t>hydromechanical changes associated with CO</w:t>
      </w:r>
      <w:r>
        <w:rPr>
          <w:position w:val="-5"/>
          <w:sz w:val="10"/>
        </w:rPr>
        <w:t>2 </w:t>
      </w:r>
      <w:r>
        <w:rPr>
          <w:sz w:val="18"/>
        </w:rPr>
        <w:t>injection into a brine</w:t>
      </w:r>
      <w:r>
        <w:rPr>
          <w:spacing w:val="2"/>
          <w:sz w:val="18"/>
        </w:rPr>
        <w:t> </w:t>
      </w:r>
      <w:r>
        <w:rPr>
          <w:sz w:val="18"/>
        </w:rPr>
        <w:t>formation.</w:t>
      </w:r>
    </w:p>
    <w:p>
      <w:pPr>
        <w:spacing w:line="164" w:lineRule="exact" w:before="0"/>
        <w:ind w:left="539" w:right="0" w:firstLine="0"/>
        <w:jc w:val="both"/>
        <w:rPr>
          <w:sz w:val="18"/>
        </w:rPr>
      </w:pPr>
      <w:r>
        <w:rPr>
          <w:i/>
          <w:sz w:val="18"/>
        </w:rPr>
        <w:t>Environmental Geology</w:t>
      </w:r>
      <w:r>
        <w:rPr>
          <w:sz w:val="18"/>
        </w:rPr>
        <w:t>, </w:t>
      </w:r>
      <w:r>
        <w:rPr>
          <w:b/>
          <w:sz w:val="18"/>
        </w:rPr>
        <w:t>42</w:t>
      </w:r>
      <w:r>
        <w:rPr>
          <w:sz w:val="18"/>
        </w:rPr>
        <w:t>, 296–305.</w:t>
      </w:r>
    </w:p>
    <w:p>
      <w:pPr>
        <w:spacing w:line="278" w:lineRule="auto" w:before="32"/>
        <w:ind w:left="539" w:right="136" w:hanging="341"/>
        <w:jc w:val="both"/>
        <w:rPr>
          <w:sz w:val="18"/>
        </w:rPr>
      </w:pPr>
      <w:r>
        <w:rPr>
          <w:b/>
          <w:sz w:val="18"/>
        </w:rPr>
        <w:t>Salvi, </w:t>
      </w:r>
      <w:r>
        <w:rPr>
          <w:sz w:val="18"/>
        </w:rPr>
        <w:t>S., F. Quattrocchi, M. Angelone, C.A. Brunori, A. Billi, F. Buongiorno, F. Doumaz, R. Funiciello, M. Guerra, S. Lombardi,</w:t>
      </w:r>
    </w:p>
    <w:p>
      <w:pPr>
        <w:spacing w:line="278" w:lineRule="auto" w:before="0"/>
        <w:ind w:left="539" w:right="134" w:firstLine="0"/>
        <w:jc w:val="both"/>
        <w:rPr>
          <w:sz w:val="18"/>
        </w:rPr>
      </w:pPr>
      <w:r>
        <w:rPr>
          <w:sz w:val="18"/>
        </w:rPr>
        <w:t>G. Mele, L. Pizzino and </w:t>
      </w:r>
      <w:r>
        <w:rPr>
          <w:spacing w:val="-8"/>
          <w:sz w:val="18"/>
        </w:rPr>
        <w:t>F. </w:t>
      </w:r>
      <w:r>
        <w:rPr>
          <w:sz w:val="18"/>
        </w:rPr>
        <w:t>Salvini, 2000: A multidisciplinary approach</w:t>
      </w:r>
      <w:r>
        <w:rPr>
          <w:spacing w:val="-22"/>
          <w:sz w:val="18"/>
        </w:rPr>
        <w:t> </w:t>
      </w:r>
      <w:r>
        <w:rPr>
          <w:sz w:val="18"/>
        </w:rPr>
        <w:t>to</w:t>
      </w:r>
      <w:r>
        <w:rPr>
          <w:spacing w:val="-21"/>
          <w:sz w:val="18"/>
        </w:rPr>
        <w:t> </w:t>
      </w:r>
      <w:r>
        <w:rPr>
          <w:sz w:val="18"/>
        </w:rPr>
        <w:t>earthquake</w:t>
      </w:r>
      <w:r>
        <w:rPr>
          <w:spacing w:val="-22"/>
          <w:sz w:val="18"/>
        </w:rPr>
        <w:t> </w:t>
      </w:r>
      <w:r>
        <w:rPr>
          <w:sz w:val="18"/>
        </w:rPr>
        <w:t>research:</w:t>
      </w:r>
      <w:r>
        <w:rPr>
          <w:spacing w:val="-21"/>
          <w:sz w:val="18"/>
        </w:rPr>
        <w:t> </w:t>
      </w:r>
      <w:r>
        <w:rPr>
          <w:sz w:val="18"/>
        </w:rPr>
        <w:t>implementation</w:t>
      </w:r>
      <w:r>
        <w:rPr>
          <w:spacing w:val="-22"/>
          <w:sz w:val="18"/>
        </w:rPr>
        <w:t> </w:t>
      </w:r>
      <w:r>
        <w:rPr>
          <w:sz w:val="18"/>
        </w:rPr>
        <w:t>of</w:t>
      </w:r>
      <w:r>
        <w:rPr>
          <w:spacing w:val="-21"/>
          <w:sz w:val="18"/>
        </w:rPr>
        <w:t> </w:t>
      </w:r>
      <w:r>
        <w:rPr>
          <w:sz w:val="18"/>
        </w:rPr>
        <w:t>a</w:t>
      </w:r>
      <w:r>
        <w:rPr>
          <w:spacing w:val="-22"/>
          <w:sz w:val="18"/>
        </w:rPr>
        <w:t> </w:t>
      </w:r>
      <w:r>
        <w:rPr>
          <w:sz w:val="18"/>
        </w:rPr>
        <w:t>Geochemical Geographic Information System for the Gargano site, Southern Italy. Natural Hazard, 20(1),</w:t>
      </w:r>
      <w:r>
        <w:rPr>
          <w:spacing w:val="-4"/>
          <w:sz w:val="18"/>
        </w:rPr>
        <w:t> </w:t>
      </w:r>
      <w:r>
        <w:rPr>
          <w:sz w:val="18"/>
        </w:rPr>
        <w:t>255–278.</w:t>
      </w:r>
    </w:p>
    <w:p>
      <w:pPr>
        <w:spacing w:line="278" w:lineRule="auto" w:before="0"/>
        <w:ind w:left="539" w:right="134" w:hanging="341"/>
        <w:jc w:val="both"/>
        <w:rPr>
          <w:sz w:val="18"/>
        </w:rPr>
      </w:pPr>
      <w:r>
        <w:rPr/>
        <w:pict>
          <v:shape style="position:absolute;margin-left:364.407288pt;margin-top:31.464094pt;width:2.65pt;height:5.25pt;mso-position-horizontal-relative:page;mso-position-vertical-relative:paragraph;z-index:-258807808"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Saripalli</w:t>
      </w:r>
      <w:r>
        <w:rPr>
          <w:sz w:val="18"/>
        </w:rPr>
        <w:t>,</w:t>
      </w:r>
      <w:r>
        <w:rPr>
          <w:spacing w:val="-20"/>
          <w:sz w:val="18"/>
        </w:rPr>
        <w:t> </w:t>
      </w:r>
      <w:r>
        <w:rPr>
          <w:spacing w:val="-5"/>
          <w:sz w:val="18"/>
        </w:rPr>
        <w:t>K.P.,</w:t>
      </w:r>
      <w:r>
        <w:rPr>
          <w:spacing w:val="-19"/>
          <w:sz w:val="18"/>
        </w:rPr>
        <w:t> </w:t>
      </w:r>
      <w:r>
        <w:rPr>
          <w:sz w:val="18"/>
        </w:rPr>
        <w:t>N.M.</w:t>
      </w:r>
      <w:r>
        <w:rPr>
          <w:spacing w:val="-18"/>
          <w:sz w:val="18"/>
        </w:rPr>
        <w:t> </w:t>
      </w:r>
      <w:r>
        <w:rPr>
          <w:sz w:val="18"/>
        </w:rPr>
        <w:t>Mahasenan</w:t>
      </w:r>
      <w:r>
        <w:rPr>
          <w:spacing w:val="-20"/>
          <w:sz w:val="18"/>
        </w:rPr>
        <w:t> </w:t>
      </w:r>
      <w:r>
        <w:rPr>
          <w:sz w:val="18"/>
        </w:rPr>
        <w:t>and</w:t>
      </w:r>
      <w:r>
        <w:rPr>
          <w:spacing w:val="-19"/>
          <w:sz w:val="18"/>
        </w:rPr>
        <w:t> </w:t>
      </w:r>
      <w:r>
        <w:rPr>
          <w:sz w:val="18"/>
        </w:rPr>
        <w:t>E.M.</w:t>
      </w:r>
      <w:r>
        <w:rPr>
          <w:spacing w:val="-20"/>
          <w:sz w:val="18"/>
        </w:rPr>
        <w:t> </w:t>
      </w:r>
      <w:r>
        <w:rPr>
          <w:sz w:val="18"/>
        </w:rPr>
        <w:t>Cook,</w:t>
      </w:r>
      <w:r>
        <w:rPr>
          <w:spacing w:val="-18"/>
          <w:sz w:val="18"/>
        </w:rPr>
        <w:t> </w:t>
      </w:r>
      <w:r>
        <w:rPr>
          <w:sz w:val="18"/>
        </w:rPr>
        <w:t>2003:</w:t>
      </w:r>
      <w:r>
        <w:rPr>
          <w:spacing w:val="-20"/>
          <w:sz w:val="18"/>
        </w:rPr>
        <w:t> </w:t>
      </w:r>
      <w:r>
        <w:rPr>
          <w:sz w:val="18"/>
        </w:rPr>
        <w:t>Risk</w:t>
      </w:r>
      <w:r>
        <w:rPr>
          <w:spacing w:val="-18"/>
          <w:sz w:val="18"/>
        </w:rPr>
        <w:t> </w:t>
      </w:r>
      <w:r>
        <w:rPr>
          <w:sz w:val="18"/>
        </w:rPr>
        <w:t>and</w:t>
      </w:r>
      <w:r>
        <w:rPr>
          <w:spacing w:val="-20"/>
          <w:sz w:val="18"/>
        </w:rPr>
        <w:t> </w:t>
      </w:r>
      <w:r>
        <w:rPr>
          <w:sz w:val="18"/>
        </w:rPr>
        <w:t>hazard assessment for projects involving  the  geological</w:t>
      </w:r>
      <w:r>
        <w:rPr>
          <w:spacing w:val="26"/>
          <w:sz w:val="18"/>
        </w:rPr>
        <w:t> </w:t>
      </w:r>
      <w:r>
        <w:rPr>
          <w:sz w:val="18"/>
        </w:rPr>
        <w:t>sequestration of CO . Proceedings of the 6</w:t>
      </w:r>
      <w:r>
        <w:rPr>
          <w:position w:val="6"/>
          <w:sz w:val="10"/>
        </w:rPr>
        <w:t>th </w:t>
      </w:r>
      <w:r>
        <w:rPr>
          <w:sz w:val="18"/>
        </w:rPr>
        <w:t>International Conference on Greenhouse Gas Control Technologies (GHGT-6), J. Gale</w:t>
      </w:r>
      <w:r>
        <w:rPr>
          <w:spacing w:val="-22"/>
          <w:sz w:val="18"/>
        </w:rPr>
        <w:t> </w:t>
      </w:r>
      <w:r>
        <w:rPr>
          <w:sz w:val="18"/>
        </w:rPr>
        <w:t>and</w:t>
      </w:r>
    </w:p>
    <w:p>
      <w:pPr>
        <w:spacing w:line="278" w:lineRule="auto" w:before="0"/>
        <w:ind w:left="539" w:right="137" w:firstLine="0"/>
        <w:jc w:val="both"/>
        <w:rPr>
          <w:sz w:val="18"/>
        </w:rPr>
      </w:pPr>
      <w:r>
        <w:rPr>
          <w:sz w:val="18"/>
        </w:rPr>
        <w:t>Y. Kaya (eds.), 1–4 October 2002, Kyoto, Japan, Pergamon, v.I, 511–516.</w:t>
      </w:r>
    </w:p>
    <w:p>
      <w:pPr>
        <w:spacing w:line="278" w:lineRule="auto" w:before="0"/>
        <w:ind w:left="539" w:right="135" w:hanging="341"/>
        <w:jc w:val="both"/>
        <w:rPr>
          <w:sz w:val="18"/>
        </w:rPr>
      </w:pPr>
      <w:r>
        <w:rPr>
          <w:b/>
          <w:sz w:val="18"/>
        </w:rPr>
        <w:t>Scherer</w:t>
      </w:r>
      <w:r>
        <w:rPr>
          <w:sz w:val="18"/>
        </w:rPr>
        <w:t>, </w:t>
      </w:r>
      <w:r>
        <w:rPr>
          <w:spacing w:val="-4"/>
          <w:sz w:val="18"/>
        </w:rPr>
        <w:t>G.W., </w:t>
      </w:r>
      <w:r>
        <w:rPr>
          <w:sz w:val="18"/>
        </w:rPr>
        <w:t>M.A. Celia, J-H. Prevost, S. Bachu, R. Bruant, A. Duguid, R. Fuller, S.E. Gasda, M. Radonjic and </w:t>
      </w:r>
      <w:r>
        <w:rPr>
          <w:spacing w:val="-9"/>
          <w:sz w:val="18"/>
        </w:rPr>
        <w:t>W. </w:t>
      </w:r>
      <w:r>
        <w:rPr>
          <w:sz w:val="18"/>
        </w:rPr>
        <w:t>Vichit- </w:t>
      </w:r>
      <w:r>
        <w:rPr>
          <w:spacing w:val="-3"/>
          <w:sz w:val="18"/>
        </w:rPr>
        <w:t>Vadakan, </w:t>
      </w:r>
      <w:r>
        <w:rPr>
          <w:sz w:val="18"/>
        </w:rPr>
        <w:t>2005: Leakage of CO</w:t>
      </w:r>
      <w:r>
        <w:rPr>
          <w:position w:val="-5"/>
          <w:sz w:val="10"/>
        </w:rPr>
        <w:t>2  </w:t>
      </w:r>
      <w:r>
        <w:rPr>
          <w:sz w:val="18"/>
        </w:rPr>
        <w:t>through Abandoned </w:t>
      </w:r>
      <w:r>
        <w:rPr>
          <w:spacing w:val="-3"/>
          <w:sz w:val="18"/>
        </w:rPr>
        <w:t>Wells:</w:t>
      </w:r>
      <w:r>
        <w:rPr>
          <w:spacing w:val="34"/>
          <w:sz w:val="18"/>
        </w:rPr>
        <w:t> </w:t>
      </w:r>
      <w:r>
        <w:rPr>
          <w:sz w:val="18"/>
        </w:rPr>
        <w:t>Role</w:t>
      </w:r>
    </w:p>
    <w:p>
      <w:pPr>
        <w:spacing w:line="164" w:lineRule="exact" w:before="0"/>
        <w:ind w:left="539" w:right="0" w:firstLine="0"/>
        <w:jc w:val="both"/>
        <w:rPr>
          <w:sz w:val="18"/>
        </w:rPr>
      </w:pPr>
      <w:r>
        <w:rPr>
          <w:sz w:val="18"/>
        </w:rPr>
        <w:t>of</w:t>
      </w:r>
      <w:r>
        <w:rPr>
          <w:spacing w:val="35"/>
          <w:sz w:val="18"/>
        </w:rPr>
        <w:t> </w:t>
      </w:r>
      <w:r>
        <w:rPr>
          <w:sz w:val="18"/>
        </w:rPr>
        <w:t>Corrosion</w:t>
      </w:r>
      <w:r>
        <w:rPr>
          <w:spacing w:val="35"/>
          <w:sz w:val="18"/>
        </w:rPr>
        <w:t> </w:t>
      </w:r>
      <w:r>
        <w:rPr>
          <w:sz w:val="18"/>
        </w:rPr>
        <w:t>of</w:t>
      </w:r>
      <w:r>
        <w:rPr>
          <w:spacing w:val="36"/>
          <w:sz w:val="18"/>
        </w:rPr>
        <w:t> </w:t>
      </w:r>
      <w:r>
        <w:rPr>
          <w:sz w:val="18"/>
        </w:rPr>
        <w:t>Cement,</w:t>
      </w:r>
      <w:r>
        <w:rPr>
          <w:spacing w:val="35"/>
          <w:sz w:val="18"/>
        </w:rPr>
        <w:t> </w:t>
      </w:r>
      <w:r>
        <w:rPr>
          <w:sz w:val="18"/>
        </w:rPr>
        <w:t>Carbon</w:t>
      </w:r>
      <w:r>
        <w:rPr>
          <w:spacing w:val="35"/>
          <w:sz w:val="18"/>
        </w:rPr>
        <w:t> </w:t>
      </w:r>
      <w:r>
        <w:rPr>
          <w:sz w:val="18"/>
        </w:rPr>
        <w:t>Dioxide</w:t>
      </w:r>
      <w:r>
        <w:rPr>
          <w:spacing w:val="36"/>
          <w:sz w:val="18"/>
        </w:rPr>
        <w:t> </w:t>
      </w:r>
      <w:r>
        <w:rPr>
          <w:sz w:val="18"/>
        </w:rPr>
        <w:t>Capture</w:t>
      </w:r>
      <w:r>
        <w:rPr>
          <w:spacing w:val="35"/>
          <w:sz w:val="18"/>
        </w:rPr>
        <w:t> </w:t>
      </w:r>
      <w:r>
        <w:rPr>
          <w:sz w:val="18"/>
        </w:rPr>
        <w:t>for</w:t>
      </w:r>
      <w:r>
        <w:rPr>
          <w:spacing w:val="36"/>
          <w:sz w:val="18"/>
        </w:rPr>
        <w:t> </w:t>
      </w:r>
      <w:r>
        <w:rPr>
          <w:sz w:val="18"/>
        </w:rPr>
        <w:t>Storage</w:t>
      </w:r>
    </w:p>
    <w:p>
      <w:pPr>
        <w:spacing w:line="240" w:lineRule="exact" w:before="8"/>
        <w:ind w:left="539" w:right="134" w:firstLine="0"/>
        <w:jc w:val="both"/>
        <w:rPr>
          <w:sz w:val="18"/>
        </w:rPr>
      </w:pPr>
      <w:r>
        <w:rPr>
          <w:sz w:val="18"/>
        </w:rPr>
        <w:t>in Deep Geologic Formations—Results from the CO</w:t>
      </w:r>
      <w:r>
        <w:rPr>
          <w:position w:val="-5"/>
          <w:sz w:val="10"/>
        </w:rPr>
        <w:t>2 </w:t>
      </w:r>
      <w:r>
        <w:rPr>
          <w:sz w:val="18"/>
        </w:rPr>
        <w:t>Capture Project,</w:t>
      </w:r>
      <w:r>
        <w:rPr>
          <w:spacing w:val="-17"/>
          <w:sz w:val="18"/>
        </w:rPr>
        <w:t> </w:t>
      </w:r>
      <w:r>
        <w:rPr>
          <w:spacing w:val="-6"/>
          <w:sz w:val="18"/>
        </w:rPr>
        <w:t>v.</w:t>
      </w:r>
      <w:r>
        <w:rPr>
          <w:spacing w:val="-17"/>
          <w:sz w:val="18"/>
        </w:rPr>
        <w:t> </w:t>
      </w:r>
      <w:r>
        <w:rPr>
          <w:sz w:val="18"/>
        </w:rPr>
        <w:t>2:</w:t>
      </w:r>
      <w:r>
        <w:rPr>
          <w:spacing w:val="-17"/>
          <w:sz w:val="18"/>
        </w:rPr>
        <w:t> </w:t>
      </w:r>
      <w:r>
        <w:rPr>
          <w:sz w:val="18"/>
        </w:rPr>
        <w:t>Geologic</w:t>
      </w:r>
      <w:r>
        <w:rPr>
          <w:spacing w:val="-16"/>
          <w:sz w:val="18"/>
        </w:rPr>
        <w:t> </w:t>
      </w:r>
      <w:r>
        <w:rPr>
          <w:sz w:val="18"/>
        </w:rPr>
        <w:t>Storage</w:t>
      </w:r>
      <w:r>
        <w:rPr>
          <w:spacing w:val="-17"/>
          <w:sz w:val="18"/>
        </w:rPr>
        <w:t> </w:t>
      </w:r>
      <w:r>
        <w:rPr>
          <w:sz w:val="18"/>
        </w:rPr>
        <w:t>of</w:t>
      </w:r>
      <w:r>
        <w:rPr>
          <w:spacing w:val="-17"/>
          <w:sz w:val="18"/>
        </w:rPr>
        <w:t> </w:t>
      </w:r>
      <w:r>
        <w:rPr>
          <w:sz w:val="18"/>
        </w:rPr>
        <w:t>Carbon</w:t>
      </w:r>
      <w:r>
        <w:rPr>
          <w:spacing w:val="-16"/>
          <w:sz w:val="18"/>
        </w:rPr>
        <w:t> </w:t>
      </w:r>
      <w:r>
        <w:rPr>
          <w:sz w:val="18"/>
        </w:rPr>
        <w:t>Dioxide</w:t>
      </w:r>
      <w:r>
        <w:rPr>
          <w:spacing w:val="-17"/>
          <w:sz w:val="18"/>
        </w:rPr>
        <w:t> </w:t>
      </w:r>
      <w:r>
        <w:rPr>
          <w:sz w:val="18"/>
        </w:rPr>
        <w:t>with</w:t>
      </w:r>
      <w:r>
        <w:rPr>
          <w:spacing w:val="-17"/>
          <w:sz w:val="18"/>
        </w:rPr>
        <w:t> </w:t>
      </w:r>
      <w:r>
        <w:rPr>
          <w:sz w:val="18"/>
        </w:rPr>
        <w:t>Monitoring and Verification, Benson, S.M. (Ed.), Elsevier Science, London, pp. 827–850.</w:t>
      </w:r>
    </w:p>
    <w:p>
      <w:pPr>
        <w:spacing w:line="240" w:lineRule="exact" w:before="0"/>
        <w:ind w:left="539" w:right="135" w:hanging="341"/>
        <w:jc w:val="both"/>
        <w:rPr>
          <w:sz w:val="18"/>
        </w:rPr>
      </w:pPr>
      <w:r>
        <w:rPr>
          <w:b/>
          <w:sz w:val="18"/>
        </w:rPr>
        <w:t>Schremp</w:t>
      </w:r>
      <w:r>
        <w:rPr>
          <w:sz w:val="18"/>
        </w:rPr>
        <w:t>,</w:t>
      </w:r>
      <w:r>
        <w:rPr>
          <w:spacing w:val="-16"/>
          <w:sz w:val="18"/>
        </w:rPr>
        <w:t> </w:t>
      </w:r>
      <w:r>
        <w:rPr>
          <w:spacing w:val="-8"/>
          <w:sz w:val="18"/>
        </w:rPr>
        <w:t>F.W.</w:t>
      </w:r>
      <w:r>
        <w:rPr>
          <w:spacing w:val="-16"/>
          <w:sz w:val="18"/>
        </w:rPr>
        <w:t> </w:t>
      </w:r>
      <w:r>
        <w:rPr>
          <w:sz w:val="18"/>
        </w:rPr>
        <w:t>and</w:t>
      </w:r>
      <w:r>
        <w:rPr>
          <w:spacing w:val="-15"/>
          <w:sz w:val="18"/>
        </w:rPr>
        <w:t> </w:t>
      </w:r>
      <w:r>
        <w:rPr>
          <w:sz w:val="18"/>
        </w:rPr>
        <w:t>G.R.</w:t>
      </w:r>
      <w:r>
        <w:rPr>
          <w:spacing w:val="-16"/>
          <w:sz w:val="18"/>
        </w:rPr>
        <w:t> </w:t>
      </w:r>
      <w:r>
        <w:rPr>
          <w:sz w:val="18"/>
        </w:rPr>
        <w:t>Roberson,</w:t>
      </w:r>
      <w:r>
        <w:rPr>
          <w:spacing w:val="-16"/>
          <w:sz w:val="18"/>
        </w:rPr>
        <w:t> </w:t>
      </w:r>
      <w:r>
        <w:rPr>
          <w:sz w:val="18"/>
        </w:rPr>
        <w:t>1975:</w:t>
      </w:r>
      <w:r>
        <w:rPr>
          <w:spacing w:val="-15"/>
          <w:sz w:val="18"/>
        </w:rPr>
        <w:t> </w:t>
      </w:r>
      <w:r>
        <w:rPr>
          <w:sz w:val="18"/>
        </w:rPr>
        <w:t>Effect</w:t>
      </w:r>
      <w:r>
        <w:rPr>
          <w:spacing w:val="-16"/>
          <w:sz w:val="18"/>
        </w:rPr>
        <w:t> </w:t>
      </w:r>
      <w:r>
        <w:rPr>
          <w:sz w:val="18"/>
        </w:rPr>
        <w:t>of</w:t>
      </w:r>
      <w:r>
        <w:rPr>
          <w:spacing w:val="-15"/>
          <w:sz w:val="18"/>
        </w:rPr>
        <w:t> </w:t>
      </w:r>
      <w:r>
        <w:rPr>
          <w:sz w:val="18"/>
        </w:rPr>
        <w:t>supercritical</w:t>
      </w:r>
      <w:r>
        <w:rPr>
          <w:spacing w:val="-16"/>
          <w:sz w:val="18"/>
        </w:rPr>
        <w:t> </w:t>
      </w:r>
      <w:r>
        <w:rPr>
          <w:sz w:val="18"/>
        </w:rPr>
        <w:t>carbon dioxide (CO</w:t>
      </w:r>
      <w:r>
        <w:rPr>
          <w:position w:val="-5"/>
          <w:sz w:val="10"/>
        </w:rPr>
        <w:t>2</w:t>
      </w:r>
      <w:r>
        <w:rPr>
          <w:sz w:val="18"/>
        </w:rPr>
        <w:t>) on construction materials. </w:t>
      </w:r>
      <w:r>
        <w:rPr>
          <w:i/>
          <w:sz w:val="18"/>
        </w:rPr>
        <w:t>Society of </w:t>
      </w:r>
      <w:r>
        <w:rPr>
          <w:i/>
          <w:spacing w:val="-3"/>
          <w:sz w:val="18"/>
        </w:rPr>
        <w:t>Petroleum </w:t>
      </w:r>
      <w:r>
        <w:rPr>
          <w:i/>
          <w:sz w:val="18"/>
        </w:rPr>
        <w:t>Engineers Journal, </w:t>
      </w:r>
      <w:r>
        <w:rPr>
          <w:sz w:val="18"/>
        </w:rPr>
        <w:t>June 1975,</w:t>
      </w:r>
      <w:r>
        <w:rPr>
          <w:spacing w:val="-3"/>
          <w:sz w:val="18"/>
        </w:rPr>
        <w:t> </w:t>
      </w:r>
      <w:r>
        <w:rPr>
          <w:sz w:val="18"/>
        </w:rPr>
        <w:t>227–233.</w:t>
      </w:r>
    </w:p>
    <w:p>
      <w:pPr>
        <w:spacing w:after="0" w:line="240" w:lineRule="exact"/>
        <w:jc w:val="both"/>
        <w:rPr>
          <w:sz w:val="18"/>
        </w:rPr>
        <w:sectPr>
          <w:type w:val="continuous"/>
          <w:pgSz w:w="12240" w:h="15840"/>
          <w:pgMar w:top="400" w:bottom="280" w:left="580" w:right="600"/>
          <w:cols w:num="2" w:equalWidth="0">
            <w:col w:w="5619" w:space="40"/>
            <w:col w:w="5401"/>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40" w:lineRule="exact" w:before="43"/>
        <w:ind w:left="497" w:right="38" w:hanging="341"/>
        <w:jc w:val="both"/>
        <w:rPr>
          <w:sz w:val="18"/>
        </w:rPr>
      </w:pPr>
      <w:r>
        <w:rPr>
          <w:b/>
          <w:sz w:val="18"/>
        </w:rPr>
        <w:t>Schreurs</w:t>
      </w:r>
      <w:r>
        <w:rPr>
          <w:sz w:val="18"/>
        </w:rPr>
        <w:t>, H.C.E., 2002: Potential for geological storage of CO</w:t>
      </w:r>
      <w:r>
        <w:rPr>
          <w:position w:val="-5"/>
          <w:sz w:val="10"/>
        </w:rPr>
        <w:t>2 </w:t>
      </w:r>
      <w:r>
        <w:rPr>
          <w:sz w:val="18"/>
        </w:rPr>
        <w:t>in the Netherlands. Proceedings of the 6</w:t>
      </w:r>
      <w:r>
        <w:rPr>
          <w:position w:val="6"/>
          <w:sz w:val="10"/>
        </w:rPr>
        <w:t>th </w:t>
      </w:r>
      <w:r>
        <w:rPr>
          <w:sz w:val="18"/>
        </w:rPr>
        <w:t>International Conference on Greenhouse Gas Control Technologies (GHGT-6), J. Gale and</w:t>
      </w:r>
    </w:p>
    <w:p>
      <w:pPr>
        <w:spacing w:line="278" w:lineRule="auto" w:before="24"/>
        <w:ind w:left="497" w:right="41" w:firstLine="0"/>
        <w:jc w:val="both"/>
        <w:rPr>
          <w:sz w:val="18"/>
        </w:rPr>
      </w:pPr>
      <w:r>
        <w:rPr>
          <w:sz w:val="18"/>
        </w:rPr>
        <w:t>Y. Kaya (eds.), 1–4 October 2002, Kyoto, Japan, Pergamon, v.I, 303–308.</w:t>
      </w:r>
    </w:p>
    <w:p>
      <w:pPr>
        <w:spacing w:line="278" w:lineRule="auto" w:before="0"/>
        <w:ind w:left="497" w:right="38" w:hanging="341"/>
        <w:jc w:val="both"/>
        <w:rPr>
          <w:i/>
          <w:sz w:val="18"/>
        </w:rPr>
      </w:pPr>
      <w:r>
        <w:rPr>
          <w:b/>
          <w:sz w:val="18"/>
        </w:rPr>
        <w:t>Sebastian</w:t>
      </w:r>
      <w:r>
        <w:rPr>
          <w:sz w:val="18"/>
        </w:rPr>
        <w:t>, H.M., R.S. Wenger and T.A. Renner, 1985: Correlation of minimum miscibility pressure for impure CO</w:t>
      </w:r>
      <w:r>
        <w:rPr>
          <w:position w:val="-5"/>
          <w:sz w:val="10"/>
        </w:rPr>
        <w:t>2 </w:t>
      </w:r>
      <w:r>
        <w:rPr>
          <w:sz w:val="18"/>
        </w:rPr>
        <w:t>streams. </w:t>
      </w:r>
      <w:r>
        <w:rPr>
          <w:i/>
          <w:sz w:val="18"/>
        </w:rPr>
        <w:t>Journal of</w:t>
      </w:r>
    </w:p>
    <w:p>
      <w:pPr>
        <w:spacing w:line="164" w:lineRule="exact" w:before="0"/>
        <w:ind w:left="497" w:right="0" w:firstLine="0"/>
        <w:jc w:val="both"/>
        <w:rPr>
          <w:sz w:val="18"/>
        </w:rPr>
      </w:pPr>
      <w:r>
        <w:rPr>
          <w:i/>
          <w:sz w:val="18"/>
        </w:rPr>
        <w:t>Petroleum Technology, </w:t>
      </w:r>
      <w:r>
        <w:rPr>
          <w:b/>
          <w:sz w:val="18"/>
        </w:rPr>
        <w:t>37</w:t>
      </w:r>
      <w:r>
        <w:rPr>
          <w:sz w:val="18"/>
        </w:rPr>
        <w:t>(12), 2076–2082.</w:t>
      </w:r>
    </w:p>
    <w:p>
      <w:pPr>
        <w:spacing w:line="278" w:lineRule="auto" w:before="33"/>
        <w:ind w:left="497" w:right="38" w:hanging="341"/>
        <w:jc w:val="both"/>
        <w:rPr>
          <w:sz w:val="18"/>
        </w:rPr>
      </w:pPr>
      <w:r>
        <w:rPr>
          <w:b/>
          <w:sz w:val="18"/>
        </w:rPr>
        <w:t>Sedlacek</w:t>
      </w:r>
      <w:r>
        <w:rPr>
          <w:sz w:val="18"/>
        </w:rPr>
        <w:t>, R., 1999: Untertage Erdgasspeicherung in Europa. Erdol, Erdgas, Kohle 115, 573–540.</w:t>
      </w:r>
    </w:p>
    <w:p>
      <w:pPr>
        <w:spacing w:line="278" w:lineRule="auto" w:before="0"/>
        <w:ind w:left="497" w:right="38" w:hanging="341"/>
        <w:jc w:val="both"/>
        <w:rPr>
          <w:sz w:val="18"/>
        </w:rPr>
      </w:pPr>
      <w:r>
        <w:rPr>
          <w:b/>
          <w:sz w:val="18"/>
        </w:rPr>
        <w:t>Shackley</w:t>
      </w:r>
      <w:r>
        <w:rPr>
          <w:sz w:val="18"/>
        </w:rPr>
        <w:t>,</w:t>
      </w:r>
      <w:r>
        <w:rPr>
          <w:spacing w:val="-18"/>
          <w:sz w:val="18"/>
        </w:rPr>
        <w:t> </w:t>
      </w:r>
      <w:r>
        <w:rPr>
          <w:sz w:val="18"/>
        </w:rPr>
        <w:t>S.,</w:t>
      </w:r>
      <w:r>
        <w:rPr>
          <w:spacing w:val="-18"/>
          <w:sz w:val="18"/>
        </w:rPr>
        <w:t> </w:t>
      </w:r>
      <w:r>
        <w:rPr>
          <w:sz w:val="18"/>
        </w:rPr>
        <w:t>C.</w:t>
      </w:r>
      <w:r>
        <w:rPr>
          <w:spacing w:val="-18"/>
          <w:sz w:val="18"/>
        </w:rPr>
        <w:t> </w:t>
      </w:r>
      <w:r>
        <w:rPr>
          <w:sz w:val="18"/>
        </w:rPr>
        <w:t>McLachlan</w:t>
      </w:r>
      <w:r>
        <w:rPr>
          <w:spacing w:val="-18"/>
          <w:sz w:val="18"/>
        </w:rPr>
        <w:t> </w:t>
      </w:r>
      <w:r>
        <w:rPr>
          <w:sz w:val="18"/>
        </w:rPr>
        <w:t>and</w:t>
      </w:r>
      <w:r>
        <w:rPr>
          <w:spacing w:val="-18"/>
          <w:sz w:val="18"/>
        </w:rPr>
        <w:t> </w:t>
      </w:r>
      <w:r>
        <w:rPr>
          <w:sz w:val="18"/>
        </w:rPr>
        <w:t>C.</w:t>
      </w:r>
      <w:r>
        <w:rPr>
          <w:spacing w:val="-18"/>
          <w:sz w:val="18"/>
        </w:rPr>
        <w:t> </w:t>
      </w:r>
      <w:r>
        <w:rPr>
          <w:sz w:val="18"/>
        </w:rPr>
        <w:t>Gough,</w:t>
      </w:r>
      <w:r>
        <w:rPr>
          <w:spacing w:val="-18"/>
          <w:sz w:val="18"/>
        </w:rPr>
        <w:t> </w:t>
      </w:r>
      <w:r>
        <w:rPr>
          <w:sz w:val="18"/>
        </w:rPr>
        <w:t>2004:</w:t>
      </w:r>
      <w:r>
        <w:rPr>
          <w:spacing w:val="-21"/>
          <w:sz w:val="18"/>
        </w:rPr>
        <w:t> </w:t>
      </w:r>
      <w:r>
        <w:rPr>
          <w:sz w:val="18"/>
        </w:rPr>
        <w:t>The</w:t>
      </w:r>
      <w:r>
        <w:rPr>
          <w:spacing w:val="-18"/>
          <w:sz w:val="18"/>
        </w:rPr>
        <w:t> </w:t>
      </w:r>
      <w:r>
        <w:rPr>
          <w:sz w:val="18"/>
        </w:rPr>
        <w:t>public</w:t>
      </w:r>
      <w:r>
        <w:rPr>
          <w:spacing w:val="-18"/>
          <w:sz w:val="18"/>
        </w:rPr>
        <w:t> </w:t>
      </w:r>
      <w:r>
        <w:rPr>
          <w:sz w:val="18"/>
        </w:rPr>
        <w:t>perception of carbon dioxide capture and storage in the UK: Results from focus groups and a </w:t>
      </w:r>
      <w:r>
        <w:rPr>
          <w:spacing w:val="-3"/>
          <w:sz w:val="18"/>
        </w:rPr>
        <w:t>survey, </w:t>
      </w:r>
      <w:r>
        <w:rPr>
          <w:i/>
          <w:sz w:val="18"/>
        </w:rPr>
        <w:t>Climate Policy. </w:t>
      </w:r>
      <w:r>
        <w:rPr>
          <w:sz w:val="18"/>
        </w:rPr>
        <w:t>In press.</w:t>
      </w:r>
    </w:p>
    <w:p>
      <w:pPr>
        <w:spacing w:line="278" w:lineRule="auto" w:before="0"/>
        <w:ind w:left="497" w:right="38" w:hanging="341"/>
        <w:jc w:val="both"/>
        <w:rPr>
          <w:sz w:val="18"/>
        </w:rPr>
      </w:pPr>
      <w:r>
        <w:rPr>
          <w:b/>
          <w:sz w:val="18"/>
        </w:rPr>
        <w:t>Shapiro</w:t>
      </w:r>
      <w:r>
        <w:rPr>
          <w:sz w:val="18"/>
        </w:rPr>
        <w:t>, S.A., E. Huenges and G. Borm, 1997: Estimating the crust permeability from fluid-injection-induced seismic emission at the KTB site. </w:t>
      </w:r>
      <w:r>
        <w:rPr>
          <w:i/>
          <w:sz w:val="18"/>
        </w:rPr>
        <w:t>Geophysical Journal International, </w:t>
      </w:r>
      <w:r>
        <w:rPr>
          <w:sz w:val="18"/>
        </w:rPr>
        <w:t>131, F15–F18.</w:t>
      </w:r>
    </w:p>
    <w:p>
      <w:pPr>
        <w:spacing w:line="278" w:lineRule="auto" w:before="0"/>
        <w:ind w:left="497" w:right="38" w:hanging="341"/>
        <w:jc w:val="both"/>
        <w:rPr>
          <w:sz w:val="18"/>
        </w:rPr>
      </w:pPr>
      <w:r>
        <w:rPr>
          <w:b/>
          <w:sz w:val="18"/>
        </w:rPr>
        <w:t>Shaw</w:t>
      </w:r>
      <w:r>
        <w:rPr>
          <w:sz w:val="18"/>
        </w:rPr>
        <w:t>, J. C. and S. Bachu, 2002: Screening, evaluation and ranking  of</w:t>
      </w:r>
      <w:r>
        <w:rPr>
          <w:spacing w:val="23"/>
          <w:sz w:val="18"/>
        </w:rPr>
        <w:t> </w:t>
      </w:r>
      <w:r>
        <w:rPr>
          <w:sz w:val="18"/>
        </w:rPr>
        <w:t>oil</w:t>
      </w:r>
      <w:r>
        <w:rPr>
          <w:spacing w:val="23"/>
          <w:sz w:val="18"/>
        </w:rPr>
        <w:t> </w:t>
      </w:r>
      <w:r>
        <w:rPr>
          <w:sz w:val="18"/>
        </w:rPr>
        <w:t>reserves</w:t>
      </w:r>
      <w:r>
        <w:rPr>
          <w:spacing w:val="23"/>
          <w:sz w:val="18"/>
        </w:rPr>
        <w:t> </w:t>
      </w:r>
      <w:r>
        <w:rPr>
          <w:sz w:val="18"/>
        </w:rPr>
        <w:t>suitable</w:t>
      </w:r>
      <w:r>
        <w:rPr>
          <w:spacing w:val="23"/>
          <w:sz w:val="18"/>
        </w:rPr>
        <w:t> </w:t>
      </w:r>
      <w:r>
        <w:rPr>
          <w:sz w:val="18"/>
        </w:rPr>
        <w:t>for</w:t>
      </w:r>
      <w:r>
        <w:rPr>
          <w:spacing w:val="23"/>
          <w:sz w:val="18"/>
        </w:rPr>
        <w:t> </w:t>
      </w:r>
      <w:r>
        <w:rPr>
          <w:sz w:val="18"/>
        </w:rPr>
        <w:t>CO</w:t>
      </w:r>
      <w:r>
        <w:rPr>
          <w:position w:val="-5"/>
          <w:sz w:val="10"/>
        </w:rPr>
        <w:t>2 </w:t>
      </w:r>
      <w:r>
        <w:rPr>
          <w:spacing w:val="18"/>
          <w:position w:val="-5"/>
          <w:sz w:val="10"/>
        </w:rPr>
        <w:t> </w:t>
      </w:r>
      <w:r>
        <w:rPr>
          <w:sz w:val="18"/>
        </w:rPr>
        <w:t>flood</w:t>
      </w:r>
      <w:r>
        <w:rPr>
          <w:spacing w:val="24"/>
          <w:sz w:val="18"/>
        </w:rPr>
        <w:t> </w:t>
      </w:r>
      <w:r>
        <w:rPr>
          <w:sz w:val="18"/>
        </w:rPr>
        <w:t>EOR</w:t>
      </w:r>
      <w:r>
        <w:rPr>
          <w:spacing w:val="23"/>
          <w:sz w:val="18"/>
        </w:rPr>
        <w:t> </w:t>
      </w:r>
      <w:r>
        <w:rPr>
          <w:sz w:val="18"/>
        </w:rPr>
        <w:t>and</w:t>
      </w:r>
      <w:r>
        <w:rPr>
          <w:spacing w:val="23"/>
          <w:sz w:val="18"/>
        </w:rPr>
        <w:t> </w:t>
      </w:r>
      <w:r>
        <w:rPr>
          <w:sz w:val="18"/>
        </w:rPr>
        <w:t>carbon</w:t>
      </w:r>
      <w:r>
        <w:rPr>
          <w:spacing w:val="23"/>
          <w:sz w:val="18"/>
        </w:rPr>
        <w:t> </w:t>
      </w:r>
      <w:r>
        <w:rPr>
          <w:sz w:val="18"/>
        </w:rPr>
        <w:t>dioxide</w:t>
      </w:r>
    </w:p>
    <w:p>
      <w:pPr>
        <w:spacing w:line="164" w:lineRule="exact" w:before="0"/>
        <w:ind w:left="497" w:right="0" w:firstLine="0"/>
        <w:jc w:val="both"/>
        <w:rPr>
          <w:sz w:val="18"/>
        </w:rPr>
      </w:pPr>
      <w:r>
        <w:rPr>
          <w:sz w:val="18"/>
        </w:rPr>
        <w:t>sequestration. </w:t>
      </w:r>
      <w:r>
        <w:rPr>
          <w:i/>
          <w:sz w:val="18"/>
        </w:rPr>
        <w:t>Journal of Canadian Petroleum </w:t>
      </w:r>
      <w:r>
        <w:rPr>
          <w:i/>
          <w:spacing w:val="-3"/>
          <w:sz w:val="18"/>
        </w:rPr>
        <w:t>Technology, </w:t>
      </w:r>
      <w:r>
        <w:rPr>
          <w:b/>
          <w:sz w:val="18"/>
        </w:rPr>
        <w:t>41</w:t>
      </w:r>
      <w:r>
        <w:rPr>
          <w:sz w:val="18"/>
        </w:rPr>
        <w:t>(9),</w:t>
      </w:r>
    </w:p>
    <w:p>
      <w:pPr>
        <w:spacing w:before="32"/>
        <w:ind w:left="497" w:right="0" w:firstLine="0"/>
        <w:jc w:val="left"/>
        <w:rPr>
          <w:sz w:val="18"/>
        </w:rPr>
      </w:pPr>
      <w:r>
        <w:rPr>
          <w:sz w:val="18"/>
        </w:rPr>
        <w:t>51–61.</w:t>
      </w:r>
    </w:p>
    <w:p>
      <w:pPr>
        <w:spacing w:line="240" w:lineRule="exact" w:before="9"/>
        <w:ind w:left="497" w:right="38" w:hanging="341"/>
        <w:jc w:val="both"/>
        <w:rPr>
          <w:sz w:val="18"/>
        </w:rPr>
      </w:pPr>
      <w:r>
        <w:rPr>
          <w:b/>
          <w:sz w:val="18"/>
        </w:rPr>
        <w:t>Shi, </w:t>
      </w:r>
      <w:r>
        <w:rPr>
          <w:sz w:val="18"/>
        </w:rPr>
        <w:t>J-Q. and S. Durucan, 2005: A numerical simulation study of the Allison Unit CO</w:t>
      </w:r>
      <w:r>
        <w:rPr>
          <w:position w:val="-5"/>
          <w:sz w:val="10"/>
        </w:rPr>
        <w:t>2</w:t>
      </w:r>
      <w:r>
        <w:rPr>
          <w:sz w:val="18"/>
        </w:rPr>
        <w:t>-ECBM pilot: the effect of matrix shrinkage and swelling on ECBM production and CO</w:t>
      </w:r>
      <w:r>
        <w:rPr>
          <w:position w:val="-5"/>
          <w:sz w:val="10"/>
        </w:rPr>
        <w:t>2 </w:t>
      </w:r>
      <w:r>
        <w:rPr>
          <w:sz w:val="18"/>
        </w:rPr>
        <w:t>injectivity. Proceedings of the 7</w:t>
      </w:r>
      <w:r>
        <w:rPr>
          <w:position w:val="6"/>
          <w:sz w:val="10"/>
        </w:rPr>
        <w:t>th </w:t>
      </w:r>
      <w:r>
        <w:rPr>
          <w:sz w:val="18"/>
        </w:rPr>
        <w:t>International Conference on Greenhouse Gas Control Technologies (GHGT-7), September 5–9, 2004, Vancouver,</w:t>
      </w:r>
    </w:p>
    <w:p>
      <w:pPr>
        <w:spacing w:before="24"/>
        <w:ind w:left="497" w:right="0" w:firstLine="0"/>
        <w:jc w:val="both"/>
        <w:rPr>
          <w:sz w:val="18"/>
        </w:rPr>
      </w:pPr>
      <w:r>
        <w:rPr>
          <w:sz w:val="18"/>
        </w:rPr>
        <w:t>Canada, v.I, 431-442.</w:t>
      </w:r>
    </w:p>
    <w:p>
      <w:pPr>
        <w:spacing w:line="240" w:lineRule="exact" w:before="9"/>
        <w:ind w:left="497" w:right="38" w:hanging="341"/>
        <w:jc w:val="both"/>
        <w:rPr>
          <w:sz w:val="18"/>
        </w:rPr>
      </w:pPr>
      <w:r>
        <w:rPr>
          <w:b/>
          <w:sz w:val="18"/>
        </w:rPr>
        <w:t>Shuler</w:t>
      </w:r>
      <w:r>
        <w:rPr>
          <w:sz w:val="18"/>
        </w:rPr>
        <w:t>, </w:t>
      </w:r>
      <w:r>
        <w:rPr>
          <w:spacing w:val="-10"/>
          <w:sz w:val="18"/>
        </w:rPr>
        <w:t>P. </w:t>
      </w:r>
      <w:r>
        <w:rPr>
          <w:sz w:val="18"/>
        </w:rPr>
        <w:t>and </w:t>
      </w:r>
      <w:r>
        <w:rPr>
          <w:spacing w:val="-12"/>
          <w:sz w:val="18"/>
        </w:rPr>
        <w:t>Y.</w:t>
      </w:r>
      <w:r>
        <w:rPr>
          <w:spacing w:val="21"/>
          <w:sz w:val="18"/>
        </w:rPr>
        <w:t> </w:t>
      </w:r>
      <w:r>
        <w:rPr>
          <w:spacing w:val="-3"/>
          <w:sz w:val="18"/>
        </w:rPr>
        <w:t>Tang,  </w:t>
      </w:r>
      <w:r>
        <w:rPr>
          <w:sz w:val="18"/>
        </w:rPr>
        <w:t>2005:  Atmospheric  CO</w:t>
      </w:r>
      <w:r>
        <w:rPr>
          <w:position w:val="-5"/>
          <w:sz w:val="10"/>
        </w:rPr>
        <w:t>2  </w:t>
      </w:r>
      <w:r>
        <w:rPr>
          <w:sz w:val="18"/>
        </w:rPr>
        <w:t>monitoring systems, Carbon Dioxide Capture for Storage in Deep Geologic Formations—Results</w:t>
      </w:r>
      <w:r>
        <w:rPr>
          <w:spacing w:val="-15"/>
          <w:sz w:val="18"/>
        </w:rPr>
        <w:t> </w:t>
      </w:r>
      <w:r>
        <w:rPr>
          <w:sz w:val="18"/>
        </w:rPr>
        <w:t>from</w:t>
      </w:r>
      <w:r>
        <w:rPr>
          <w:spacing w:val="-14"/>
          <w:sz w:val="18"/>
        </w:rPr>
        <w:t> </w:t>
      </w:r>
      <w:r>
        <w:rPr>
          <w:sz w:val="18"/>
        </w:rPr>
        <w:t>the</w:t>
      </w:r>
      <w:r>
        <w:rPr>
          <w:spacing w:val="-14"/>
          <w:sz w:val="18"/>
        </w:rPr>
        <w:t> </w:t>
      </w:r>
      <w:r>
        <w:rPr>
          <w:sz w:val="18"/>
        </w:rPr>
        <w:t>CO</w:t>
      </w:r>
      <w:r>
        <w:rPr>
          <w:position w:val="-5"/>
          <w:sz w:val="10"/>
        </w:rPr>
        <w:t>2</w:t>
      </w:r>
      <w:r>
        <w:rPr>
          <w:spacing w:val="6"/>
          <w:position w:val="-5"/>
          <w:sz w:val="10"/>
        </w:rPr>
        <w:t> </w:t>
      </w:r>
      <w:r>
        <w:rPr>
          <w:sz w:val="18"/>
        </w:rPr>
        <w:t>Capture</w:t>
      </w:r>
      <w:r>
        <w:rPr>
          <w:spacing w:val="-14"/>
          <w:sz w:val="18"/>
        </w:rPr>
        <w:t> </w:t>
      </w:r>
      <w:r>
        <w:rPr>
          <w:sz w:val="18"/>
        </w:rPr>
        <w:t>Project,</w:t>
      </w:r>
      <w:r>
        <w:rPr>
          <w:spacing w:val="-14"/>
          <w:sz w:val="18"/>
        </w:rPr>
        <w:t> </w:t>
      </w:r>
      <w:r>
        <w:rPr>
          <w:spacing w:val="-6"/>
          <w:sz w:val="18"/>
        </w:rPr>
        <w:t>v.</w:t>
      </w:r>
      <w:r>
        <w:rPr>
          <w:spacing w:val="-14"/>
          <w:sz w:val="18"/>
        </w:rPr>
        <w:t> </w:t>
      </w:r>
      <w:r>
        <w:rPr>
          <w:sz w:val="18"/>
        </w:rPr>
        <w:t>2:</w:t>
      </w:r>
      <w:r>
        <w:rPr>
          <w:spacing w:val="-15"/>
          <w:sz w:val="18"/>
        </w:rPr>
        <w:t> </w:t>
      </w:r>
      <w:r>
        <w:rPr>
          <w:sz w:val="18"/>
        </w:rPr>
        <w:t>Geologic Storage</w:t>
      </w:r>
      <w:r>
        <w:rPr>
          <w:spacing w:val="-17"/>
          <w:sz w:val="18"/>
        </w:rPr>
        <w:t> </w:t>
      </w:r>
      <w:r>
        <w:rPr>
          <w:sz w:val="18"/>
        </w:rPr>
        <w:t>of</w:t>
      </w:r>
      <w:r>
        <w:rPr>
          <w:spacing w:val="-17"/>
          <w:sz w:val="18"/>
        </w:rPr>
        <w:t> </w:t>
      </w:r>
      <w:r>
        <w:rPr>
          <w:sz w:val="18"/>
        </w:rPr>
        <w:t>Carbon</w:t>
      </w:r>
      <w:r>
        <w:rPr>
          <w:spacing w:val="-16"/>
          <w:sz w:val="18"/>
        </w:rPr>
        <w:t> </w:t>
      </w:r>
      <w:r>
        <w:rPr>
          <w:sz w:val="18"/>
        </w:rPr>
        <w:t>Dioxide</w:t>
      </w:r>
      <w:r>
        <w:rPr>
          <w:spacing w:val="-17"/>
          <w:sz w:val="18"/>
        </w:rPr>
        <w:t> </w:t>
      </w:r>
      <w:r>
        <w:rPr>
          <w:sz w:val="18"/>
        </w:rPr>
        <w:t>with</w:t>
      </w:r>
      <w:r>
        <w:rPr>
          <w:spacing w:val="-16"/>
          <w:sz w:val="18"/>
        </w:rPr>
        <w:t> </w:t>
      </w:r>
      <w:r>
        <w:rPr>
          <w:sz w:val="18"/>
        </w:rPr>
        <w:t>Monitoring</w:t>
      </w:r>
      <w:r>
        <w:rPr>
          <w:spacing w:val="-17"/>
          <w:sz w:val="18"/>
        </w:rPr>
        <w:t> </w:t>
      </w:r>
      <w:r>
        <w:rPr>
          <w:sz w:val="18"/>
        </w:rPr>
        <w:t>and</w:t>
      </w:r>
      <w:r>
        <w:rPr>
          <w:spacing w:val="-19"/>
          <w:sz w:val="18"/>
        </w:rPr>
        <w:t> </w:t>
      </w:r>
      <w:r>
        <w:rPr>
          <w:sz w:val="18"/>
        </w:rPr>
        <w:t>Verification,</w:t>
      </w:r>
      <w:r>
        <w:rPr>
          <w:spacing w:val="-17"/>
          <w:sz w:val="18"/>
        </w:rPr>
        <w:t> </w:t>
      </w:r>
      <w:r>
        <w:rPr>
          <w:sz w:val="18"/>
        </w:rPr>
        <w:t>S.M. Benson (ed.), Elsevier Science, London, pp.</w:t>
      </w:r>
      <w:r>
        <w:rPr>
          <w:spacing w:val="-4"/>
          <w:sz w:val="18"/>
        </w:rPr>
        <w:t> </w:t>
      </w:r>
      <w:r>
        <w:rPr>
          <w:sz w:val="18"/>
        </w:rPr>
        <w:t>1015–1030.</w:t>
      </w:r>
    </w:p>
    <w:p>
      <w:pPr>
        <w:spacing w:line="230" w:lineRule="auto" w:before="29"/>
        <w:ind w:left="497" w:right="39" w:hanging="341"/>
        <w:jc w:val="both"/>
        <w:rPr>
          <w:sz w:val="18"/>
        </w:rPr>
      </w:pPr>
      <w:r>
        <w:rPr>
          <w:b/>
          <w:sz w:val="18"/>
        </w:rPr>
        <w:t>Skinner</w:t>
      </w:r>
      <w:r>
        <w:rPr>
          <w:sz w:val="18"/>
        </w:rPr>
        <w:t>, L., 2003: CO</w:t>
      </w:r>
      <w:r>
        <w:rPr>
          <w:position w:val="-5"/>
          <w:sz w:val="10"/>
        </w:rPr>
        <w:t>2 </w:t>
      </w:r>
      <w:r>
        <w:rPr>
          <w:sz w:val="18"/>
        </w:rPr>
        <w:t>blowouts: An emerging problem. World Oil, 224(1).</w:t>
      </w:r>
    </w:p>
    <w:p>
      <w:pPr>
        <w:spacing w:before="35"/>
        <w:ind w:left="156" w:right="0" w:firstLine="0"/>
        <w:jc w:val="both"/>
        <w:rPr>
          <w:sz w:val="18"/>
        </w:rPr>
      </w:pPr>
      <w:r>
        <w:rPr>
          <w:b/>
          <w:sz w:val="18"/>
        </w:rPr>
        <w:t>Sleipner Best Practice manual</w:t>
      </w:r>
      <w:r>
        <w:rPr>
          <w:sz w:val="18"/>
        </w:rPr>
        <w:t>, 2004: S. Holloway, A. Chadwick,</w:t>
      </w:r>
    </w:p>
    <w:p>
      <w:pPr>
        <w:spacing w:line="278" w:lineRule="auto" w:before="33"/>
        <w:ind w:left="497" w:right="39" w:firstLine="0"/>
        <w:jc w:val="both"/>
        <w:rPr>
          <w:sz w:val="18"/>
        </w:rPr>
      </w:pPr>
      <w:r>
        <w:rPr>
          <w:sz w:val="18"/>
        </w:rPr>
        <w:t>E. Lindeberg, I. Czernichowski-Lauriol and R. Arts (eds.), Saline Aquifer CO</w:t>
      </w:r>
      <w:r>
        <w:rPr>
          <w:position w:val="-5"/>
          <w:sz w:val="10"/>
        </w:rPr>
        <w:t>2 </w:t>
      </w:r>
      <w:r>
        <w:rPr>
          <w:sz w:val="18"/>
        </w:rPr>
        <w:t>Storage Project (SACS). 53 pp.</w:t>
      </w:r>
    </w:p>
    <w:p>
      <w:pPr>
        <w:spacing w:line="164" w:lineRule="exact" w:before="0"/>
        <w:ind w:left="157" w:right="0" w:firstLine="0"/>
        <w:jc w:val="both"/>
        <w:rPr>
          <w:sz w:val="18"/>
        </w:rPr>
      </w:pPr>
      <w:r>
        <w:rPr>
          <w:b/>
          <w:sz w:val="18"/>
        </w:rPr>
        <w:t>Sminchak, </w:t>
      </w:r>
      <w:r>
        <w:rPr>
          <w:sz w:val="18"/>
        </w:rPr>
        <w:t>J., N. Gupta, C. Byrer and P. Bergman, 2002: Issues</w:t>
      </w:r>
    </w:p>
    <w:p>
      <w:pPr>
        <w:spacing w:line="240" w:lineRule="exact" w:before="9"/>
        <w:ind w:left="497" w:right="38" w:firstLine="0"/>
        <w:jc w:val="both"/>
        <w:rPr>
          <w:sz w:val="18"/>
        </w:rPr>
      </w:pPr>
      <w:r>
        <w:rPr>
          <w:sz w:val="18"/>
        </w:rPr>
        <w:t>related to seismic activity induced by the injection of CO</w:t>
      </w:r>
      <w:r>
        <w:rPr>
          <w:position w:val="-5"/>
          <w:sz w:val="10"/>
        </w:rPr>
        <w:t>2 </w:t>
      </w:r>
      <w:r>
        <w:rPr>
          <w:sz w:val="18"/>
        </w:rPr>
        <w:t>in deep saline aquifers. </w:t>
      </w:r>
      <w:r>
        <w:rPr>
          <w:i/>
          <w:sz w:val="18"/>
        </w:rPr>
        <w:t>Journal of Energy &amp; Environmental Research, </w:t>
      </w:r>
      <w:r>
        <w:rPr>
          <w:b/>
          <w:sz w:val="18"/>
        </w:rPr>
        <w:t>2, </w:t>
      </w:r>
      <w:r>
        <w:rPr>
          <w:sz w:val="18"/>
        </w:rPr>
        <w:t>32–46.</w:t>
      </w:r>
    </w:p>
    <w:p>
      <w:pPr>
        <w:spacing w:line="278" w:lineRule="auto" w:before="24"/>
        <w:ind w:left="497" w:right="38" w:hanging="341"/>
        <w:jc w:val="both"/>
        <w:rPr>
          <w:sz w:val="18"/>
        </w:rPr>
      </w:pPr>
      <w:r>
        <w:rPr>
          <w:b/>
          <w:sz w:val="18"/>
        </w:rPr>
        <w:t>Sorey</w:t>
      </w:r>
      <w:r>
        <w:rPr>
          <w:sz w:val="18"/>
        </w:rPr>
        <w:t>, M. L., </w:t>
      </w:r>
      <w:r>
        <w:rPr>
          <w:spacing w:val="-5"/>
          <w:sz w:val="18"/>
        </w:rPr>
        <w:t>W.C. </w:t>
      </w:r>
      <w:r>
        <w:rPr>
          <w:sz w:val="18"/>
        </w:rPr>
        <w:t>Evans, B.M. </w:t>
      </w:r>
      <w:r>
        <w:rPr>
          <w:spacing w:val="-3"/>
          <w:sz w:val="18"/>
        </w:rPr>
        <w:t>Kennedy, </w:t>
      </w:r>
      <w:r>
        <w:rPr>
          <w:sz w:val="18"/>
        </w:rPr>
        <w:t>C.D. Farrar, L.J. Hainsworth and B. Hausback, 1996: Carbon dioxide and helium emissions from a reservoir of magmatic gas beneath Mammoth Mountain,</w:t>
      </w:r>
      <w:r>
        <w:rPr>
          <w:spacing w:val="-8"/>
          <w:sz w:val="18"/>
        </w:rPr>
        <w:t> </w:t>
      </w:r>
      <w:r>
        <w:rPr>
          <w:sz w:val="18"/>
        </w:rPr>
        <w:t>California.</w:t>
      </w:r>
      <w:r>
        <w:rPr>
          <w:spacing w:val="-7"/>
          <w:sz w:val="18"/>
        </w:rPr>
        <w:t> </w:t>
      </w:r>
      <w:r>
        <w:rPr>
          <w:i/>
          <w:sz w:val="18"/>
        </w:rPr>
        <w:t>Journal</w:t>
      </w:r>
      <w:r>
        <w:rPr>
          <w:i/>
          <w:spacing w:val="-7"/>
          <w:sz w:val="18"/>
        </w:rPr>
        <w:t> </w:t>
      </w:r>
      <w:r>
        <w:rPr>
          <w:i/>
          <w:sz w:val="18"/>
        </w:rPr>
        <w:t>of</w:t>
      </w:r>
      <w:r>
        <w:rPr>
          <w:i/>
          <w:spacing w:val="-8"/>
          <w:sz w:val="18"/>
        </w:rPr>
        <w:t> </w:t>
      </w:r>
      <w:r>
        <w:rPr>
          <w:i/>
          <w:sz w:val="18"/>
        </w:rPr>
        <w:t>Geophysical</w:t>
      </w:r>
      <w:r>
        <w:rPr>
          <w:i/>
          <w:spacing w:val="-7"/>
          <w:sz w:val="18"/>
        </w:rPr>
        <w:t> </w:t>
      </w:r>
      <w:r>
        <w:rPr>
          <w:i/>
          <w:sz w:val="18"/>
        </w:rPr>
        <w:t>Research,</w:t>
      </w:r>
      <w:r>
        <w:rPr>
          <w:i/>
          <w:spacing w:val="-7"/>
          <w:sz w:val="18"/>
        </w:rPr>
        <w:t> </w:t>
      </w:r>
      <w:r>
        <w:rPr>
          <w:b/>
          <w:sz w:val="18"/>
        </w:rPr>
        <w:t>103</w:t>
      </w:r>
      <w:r>
        <w:rPr>
          <w:sz w:val="18"/>
        </w:rPr>
        <w:t>(B7), 15303–15323.</w:t>
      </w:r>
    </w:p>
    <w:p>
      <w:pPr>
        <w:spacing w:line="278" w:lineRule="auto" w:before="0"/>
        <w:ind w:left="497" w:right="38" w:hanging="341"/>
        <w:jc w:val="both"/>
        <w:rPr>
          <w:sz w:val="18"/>
        </w:rPr>
      </w:pPr>
      <w:r>
        <w:rPr>
          <w:b/>
          <w:sz w:val="18"/>
        </w:rPr>
        <w:t>Steefel </w:t>
      </w:r>
      <w:r>
        <w:rPr>
          <w:sz w:val="18"/>
        </w:rPr>
        <w:t>C. I., 2001: CRUNCH. Lawrence Livermore National Laboratory, Livermore, CA. 76 pp.</w:t>
      </w:r>
    </w:p>
    <w:p>
      <w:pPr>
        <w:spacing w:line="278" w:lineRule="auto" w:before="0"/>
        <w:ind w:left="497" w:right="39" w:hanging="341"/>
        <w:jc w:val="both"/>
        <w:rPr>
          <w:sz w:val="18"/>
        </w:rPr>
      </w:pPr>
      <w:r>
        <w:rPr>
          <w:b/>
          <w:sz w:val="18"/>
        </w:rPr>
        <w:t>Stenhouse, </w:t>
      </w:r>
      <w:r>
        <w:rPr>
          <w:sz w:val="18"/>
        </w:rPr>
        <w:t>M., M. Wilson, H. Herzog, M. Kozak and </w:t>
      </w:r>
      <w:r>
        <w:rPr>
          <w:spacing w:val="-9"/>
          <w:sz w:val="18"/>
        </w:rPr>
        <w:t>W.  </w:t>
      </w:r>
      <w:r>
        <w:rPr>
          <w:sz w:val="18"/>
        </w:rPr>
        <w:t>Zhou, 2004: Regulatory Issues Associated with Long-term Storage and Sequestration of CO</w:t>
      </w:r>
      <w:r>
        <w:rPr>
          <w:position w:val="-5"/>
          <w:sz w:val="10"/>
        </w:rPr>
        <w:t>2</w:t>
      </w:r>
      <w:r>
        <w:rPr>
          <w:sz w:val="18"/>
        </w:rPr>
        <w:t>. IEA Greenhouse Gas Report,</w:t>
      </w:r>
      <w:r>
        <w:rPr>
          <w:spacing w:val="-21"/>
          <w:sz w:val="18"/>
        </w:rPr>
        <w:t> </w:t>
      </w:r>
      <w:r>
        <w:rPr>
          <w:sz w:val="18"/>
        </w:rPr>
        <w:t>34–35.</w:t>
      </w:r>
    </w:p>
    <w:p>
      <w:pPr>
        <w:spacing w:line="240" w:lineRule="exact" w:before="43"/>
        <w:ind w:left="497" w:right="531" w:hanging="341"/>
        <w:jc w:val="both"/>
        <w:rPr>
          <w:sz w:val="18"/>
        </w:rPr>
      </w:pPr>
      <w:r>
        <w:rPr/>
        <w:br w:type="column"/>
      </w:r>
      <w:r>
        <w:rPr>
          <w:b/>
          <w:sz w:val="18"/>
        </w:rPr>
        <w:t>Stenhouse</w:t>
      </w:r>
      <w:r>
        <w:rPr>
          <w:sz w:val="18"/>
        </w:rPr>
        <w:t>,</w:t>
      </w:r>
      <w:r>
        <w:rPr>
          <w:spacing w:val="-10"/>
          <w:sz w:val="18"/>
        </w:rPr>
        <w:t> </w:t>
      </w:r>
      <w:r>
        <w:rPr>
          <w:sz w:val="18"/>
        </w:rPr>
        <w:t>M.,</w:t>
      </w:r>
      <w:r>
        <w:rPr>
          <w:spacing w:val="-12"/>
          <w:sz w:val="18"/>
        </w:rPr>
        <w:t> </w:t>
      </w:r>
      <w:r>
        <w:rPr>
          <w:spacing w:val="-9"/>
          <w:sz w:val="18"/>
        </w:rPr>
        <w:t>W. </w:t>
      </w:r>
      <w:r>
        <w:rPr>
          <w:sz w:val="18"/>
        </w:rPr>
        <w:t>Zhou,</w:t>
      </w:r>
      <w:r>
        <w:rPr>
          <w:spacing w:val="-10"/>
          <w:sz w:val="18"/>
        </w:rPr>
        <w:t> </w:t>
      </w:r>
      <w:r>
        <w:rPr>
          <w:sz w:val="18"/>
        </w:rPr>
        <w:t>D.</w:t>
      </w:r>
      <w:r>
        <w:rPr>
          <w:spacing w:val="-9"/>
          <w:sz w:val="18"/>
        </w:rPr>
        <w:t> </w:t>
      </w:r>
      <w:r>
        <w:rPr>
          <w:sz w:val="18"/>
        </w:rPr>
        <w:t>Savage</w:t>
      </w:r>
      <w:r>
        <w:rPr>
          <w:spacing w:val="-10"/>
          <w:sz w:val="18"/>
        </w:rPr>
        <w:t> </w:t>
      </w:r>
      <w:r>
        <w:rPr>
          <w:sz w:val="18"/>
        </w:rPr>
        <w:t>and</w:t>
      </w:r>
      <w:r>
        <w:rPr>
          <w:spacing w:val="-9"/>
          <w:sz w:val="18"/>
        </w:rPr>
        <w:t> </w:t>
      </w:r>
      <w:r>
        <w:rPr>
          <w:sz w:val="18"/>
        </w:rPr>
        <w:t>S.</w:t>
      </w:r>
      <w:r>
        <w:rPr>
          <w:spacing w:val="-9"/>
          <w:sz w:val="18"/>
        </w:rPr>
        <w:t> </w:t>
      </w:r>
      <w:r>
        <w:rPr>
          <w:sz w:val="18"/>
        </w:rPr>
        <w:t>Benbow,</w:t>
      </w:r>
      <w:r>
        <w:rPr>
          <w:spacing w:val="-10"/>
          <w:sz w:val="18"/>
        </w:rPr>
        <w:t> </w:t>
      </w:r>
      <w:r>
        <w:rPr>
          <w:sz w:val="18"/>
        </w:rPr>
        <w:t>2005:</w:t>
      </w:r>
      <w:r>
        <w:rPr>
          <w:spacing w:val="-9"/>
          <w:sz w:val="18"/>
        </w:rPr>
        <w:t> </w:t>
      </w:r>
      <w:r>
        <w:rPr>
          <w:sz w:val="18"/>
        </w:rPr>
        <w:t>Framework methodology for long-term assessment of the fate of CO</w:t>
      </w:r>
      <w:r>
        <w:rPr>
          <w:position w:val="-5"/>
          <w:sz w:val="10"/>
        </w:rPr>
        <w:t>2 </w:t>
      </w:r>
      <w:r>
        <w:rPr>
          <w:sz w:val="18"/>
        </w:rPr>
        <w:t>in </w:t>
      </w:r>
      <w:r>
        <w:rPr>
          <w:spacing w:val="-5"/>
          <w:sz w:val="18"/>
        </w:rPr>
        <w:t>the </w:t>
      </w:r>
      <w:r>
        <w:rPr>
          <w:spacing w:val="-3"/>
          <w:sz w:val="18"/>
        </w:rPr>
        <w:t>Weyburn </w:t>
      </w:r>
      <w:r>
        <w:rPr>
          <w:sz w:val="18"/>
        </w:rPr>
        <w:t>Field, Carbon Dioxide Capture for Storage in Deep Geologic Formations—Results from the CO</w:t>
      </w:r>
      <w:r>
        <w:rPr>
          <w:position w:val="-5"/>
          <w:sz w:val="10"/>
        </w:rPr>
        <w:t>2 </w:t>
      </w:r>
      <w:r>
        <w:rPr>
          <w:sz w:val="18"/>
        </w:rPr>
        <w:t>Capture</w:t>
      </w:r>
      <w:r>
        <w:rPr>
          <w:spacing w:val="2"/>
          <w:sz w:val="18"/>
        </w:rPr>
        <w:t> </w:t>
      </w:r>
      <w:r>
        <w:rPr>
          <w:sz w:val="18"/>
        </w:rPr>
        <w:t>Project,</w:t>
      </w:r>
    </w:p>
    <w:p>
      <w:pPr>
        <w:spacing w:line="278" w:lineRule="auto" w:before="24"/>
        <w:ind w:left="497" w:right="531" w:firstLine="0"/>
        <w:jc w:val="both"/>
        <w:rPr>
          <w:sz w:val="18"/>
        </w:rPr>
      </w:pPr>
      <w:r>
        <w:rPr>
          <w:sz w:val="18"/>
        </w:rPr>
        <w:t>v. 2: Geologic Storage of Carbon Dioxide with Monitoring and Verification, Benson, S.M. (Ed.), Elsevier Science, London, pp. 1251–1262.</w:t>
      </w:r>
    </w:p>
    <w:p>
      <w:pPr>
        <w:spacing w:line="278" w:lineRule="auto" w:before="0"/>
        <w:ind w:left="497" w:right="532" w:hanging="341"/>
        <w:jc w:val="both"/>
        <w:rPr>
          <w:sz w:val="18"/>
        </w:rPr>
      </w:pPr>
      <w:r>
        <w:rPr>
          <w:b/>
          <w:sz w:val="18"/>
        </w:rPr>
        <w:t>Stevens</w:t>
      </w:r>
      <w:r>
        <w:rPr>
          <w:sz w:val="18"/>
        </w:rPr>
        <w:t>,</w:t>
      </w:r>
      <w:r>
        <w:rPr>
          <w:spacing w:val="-23"/>
          <w:sz w:val="18"/>
        </w:rPr>
        <w:t> </w:t>
      </w:r>
      <w:r>
        <w:rPr>
          <w:sz w:val="18"/>
        </w:rPr>
        <w:t>S.</w:t>
      </w:r>
      <w:r>
        <w:rPr>
          <w:spacing w:val="-22"/>
          <w:sz w:val="18"/>
        </w:rPr>
        <w:t> </w:t>
      </w:r>
      <w:r>
        <w:rPr>
          <w:sz w:val="18"/>
        </w:rPr>
        <w:t>H.,</w:t>
      </w:r>
      <w:r>
        <w:rPr>
          <w:spacing w:val="-22"/>
          <w:sz w:val="18"/>
        </w:rPr>
        <w:t> </w:t>
      </w:r>
      <w:r>
        <w:rPr>
          <w:sz w:val="18"/>
        </w:rPr>
        <w:t>J.A.</w:t>
      </w:r>
      <w:r>
        <w:rPr>
          <w:spacing w:val="-23"/>
          <w:sz w:val="18"/>
        </w:rPr>
        <w:t> </w:t>
      </w:r>
      <w:r>
        <w:rPr>
          <w:sz w:val="18"/>
        </w:rPr>
        <w:t>Kuuskraa</w:t>
      </w:r>
      <w:r>
        <w:rPr>
          <w:spacing w:val="-22"/>
          <w:sz w:val="18"/>
        </w:rPr>
        <w:t> </w:t>
      </w:r>
      <w:r>
        <w:rPr>
          <w:sz w:val="18"/>
        </w:rPr>
        <w:t>and</w:t>
      </w:r>
      <w:r>
        <w:rPr>
          <w:spacing w:val="-22"/>
          <w:sz w:val="18"/>
        </w:rPr>
        <w:t> </w:t>
      </w:r>
      <w:r>
        <w:rPr>
          <w:sz w:val="18"/>
        </w:rPr>
        <w:t>R.A.</w:t>
      </w:r>
      <w:r>
        <w:rPr>
          <w:spacing w:val="-23"/>
          <w:sz w:val="18"/>
        </w:rPr>
        <w:t> </w:t>
      </w:r>
      <w:r>
        <w:rPr>
          <w:sz w:val="18"/>
        </w:rPr>
        <w:t>Schraufnagel,</w:t>
      </w:r>
      <w:r>
        <w:rPr>
          <w:spacing w:val="-22"/>
          <w:sz w:val="18"/>
        </w:rPr>
        <w:t> </w:t>
      </w:r>
      <w:r>
        <w:rPr>
          <w:sz w:val="18"/>
        </w:rPr>
        <w:t>1996:</w:t>
      </w:r>
      <w:r>
        <w:rPr>
          <w:spacing w:val="-25"/>
          <w:sz w:val="18"/>
        </w:rPr>
        <w:t> </w:t>
      </w:r>
      <w:r>
        <w:rPr>
          <w:sz w:val="18"/>
        </w:rPr>
        <w:t>Technology spurs growth of U.S. coalbed methane. </w:t>
      </w:r>
      <w:r>
        <w:rPr>
          <w:i/>
          <w:sz w:val="18"/>
        </w:rPr>
        <w:t>Oil and Gas Journal, </w:t>
      </w:r>
      <w:r>
        <w:rPr>
          <w:b/>
          <w:sz w:val="18"/>
        </w:rPr>
        <w:t>94</w:t>
      </w:r>
      <w:r>
        <w:rPr>
          <w:sz w:val="18"/>
        </w:rPr>
        <w:t>(1), 56–63.</w:t>
      </w:r>
    </w:p>
    <w:p>
      <w:pPr>
        <w:spacing w:line="278" w:lineRule="auto" w:before="0"/>
        <w:ind w:left="497" w:right="532" w:hanging="341"/>
        <w:jc w:val="both"/>
        <w:rPr>
          <w:sz w:val="18"/>
        </w:rPr>
      </w:pPr>
      <w:r>
        <w:rPr>
          <w:b/>
          <w:sz w:val="18"/>
        </w:rPr>
        <w:t>Stevens</w:t>
      </w:r>
      <w:r>
        <w:rPr>
          <w:sz w:val="18"/>
        </w:rPr>
        <w:t>, S.H., </w:t>
      </w:r>
      <w:r>
        <w:rPr>
          <w:spacing w:val="-6"/>
          <w:sz w:val="18"/>
        </w:rPr>
        <w:t>V.K. </w:t>
      </w:r>
      <w:r>
        <w:rPr>
          <w:sz w:val="18"/>
        </w:rPr>
        <w:t>Kuuskraa and J. Gale, 2000: Sequestration of  CO</w:t>
      </w:r>
      <w:r>
        <w:rPr>
          <w:position w:val="-5"/>
          <w:sz w:val="10"/>
        </w:rPr>
        <w:t>2 </w:t>
      </w:r>
      <w:r>
        <w:rPr>
          <w:spacing w:val="12"/>
          <w:position w:val="-5"/>
          <w:sz w:val="10"/>
        </w:rPr>
        <w:t> </w:t>
      </w:r>
      <w:r>
        <w:rPr>
          <w:sz w:val="18"/>
        </w:rPr>
        <w:t>in</w:t>
      </w:r>
      <w:r>
        <w:rPr>
          <w:spacing w:val="17"/>
          <w:sz w:val="18"/>
        </w:rPr>
        <w:t> </w:t>
      </w:r>
      <w:r>
        <w:rPr>
          <w:sz w:val="18"/>
        </w:rPr>
        <w:t>depleted</w:t>
      </w:r>
      <w:r>
        <w:rPr>
          <w:spacing w:val="17"/>
          <w:sz w:val="18"/>
        </w:rPr>
        <w:t> </w:t>
      </w:r>
      <w:r>
        <w:rPr>
          <w:sz w:val="18"/>
        </w:rPr>
        <w:t>oil</w:t>
      </w:r>
      <w:r>
        <w:rPr>
          <w:spacing w:val="17"/>
          <w:sz w:val="18"/>
        </w:rPr>
        <w:t> </w:t>
      </w:r>
      <w:r>
        <w:rPr>
          <w:sz w:val="18"/>
        </w:rPr>
        <w:t>and</w:t>
      </w:r>
      <w:r>
        <w:rPr>
          <w:spacing w:val="17"/>
          <w:sz w:val="18"/>
        </w:rPr>
        <w:t> </w:t>
      </w:r>
      <w:r>
        <w:rPr>
          <w:sz w:val="18"/>
        </w:rPr>
        <w:t>gas</w:t>
      </w:r>
      <w:r>
        <w:rPr>
          <w:spacing w:val="17"/>
          <w:sz w:val="18"/>
        </w:rPr>
        <w:t> </w:t>
      </w:r>
      <w:r>
        <w:rPr>
          <w:sz w:val="18"/>
        </w:rPr>
        <w:t>fields:</w:t>
      </w:r>
      <w:r>
        <w:rPr>
          <w:spacing w:val="18"/>
          <w:sz w:val="18"/>
        </w:rPr>
        <w:t> </w:t>
      </w:r>
      <w:r>
        <w:rPr>
          <w:sz w:val="18"/>
        </w:rPr>
        <w:t>Global</w:t>
      </w:r>
      <w:r>
        <w:rPr>
          <w:spacing w:val="17"/>
          <w:sz w:val="18"/>
        </w:rPr>
        <w:t> </w:t>
      </w:r>
      <w:r>
        <w:rPr>
          <w:sz w:val="18"/>
        </w:rPr>
        <w:t>capacity</w:t>
      </w:r>
      <w:r>
        <w:rPr>
          <w:spacing w:val="17"/>
          <w:sz w:val="18"/>
        </w:rPr>
        <w:t> </w:t>
      </w:r>
      <w:r>
        <w:rPr>
          <w:sz w:val="18"/>
        </w:rPr>
        <w:t>and</w:t>
      </w:r>
      <w:r>
        <w:rPr>
          <w:spacing w:val="17"/>
          <w:sz w:val="18"/>
        </w:rPr>
        <w:t> </w:t>
      </w:r>
      <w:r>
        <w:rPr>
          <w:sz w:val="18"/>
        </w:rPr>
        <w:t>barriers</w:t>
      </w:r>
    </w:p>
    <w:p>
      <w:pPr>
        <w:spacing w:line="164" w:lineRule="exact" w:before="0"/>
        <w:ind w:left="497" w:right="0" w:firstLine="0"/>
        <w:jc w:val="both"/>
        <w:rPr>
          <w:sz w:val="18"/>
        </w:rPr>
      </w:pPr>
      <w:r>
        <w:rPr>
          <w:sz w:val="18"/>
        </w:rPr>
        <w:t>to  overcome.  Proceedings  of  the  5</w:t>
      </w:r>
      <w:r>
        <w:rPr>
          <w:position w:val="6"/>
          <w:sz w:val="10"/>
        </w:rPr>
        <w:t>th    </w:t>
      </w:r>
      <w:r>
        <w:rPr>
          <w:sz w:val="18"/>
        </w:rPr>
        <w:t>International </w:t>
      </w:r>
      <w:r>
        <w:rPr>
          <w:spacing w:val="10"/>
          <w:sz w:val="18"/>
        </w:rPr>
        <w:t> </w:t>
      </w:r>
      <w:r>
        <w:rPr>
          <w:sz w:val="18"/>
        </w:rPr>
        <w:t>Conference</w:t>
      </w:r>
    </w:p>
    <w:p>
      <w:pPr>
        <w:spacing w:line="278" w:lineRule="auto" w:before="32"/>
        <w:ind w:left="497" w:right="532" w:firstLine="0"/>
        <w:jc w:val="both"/>
        <w:rPr>
          <w:sz w:val="18"/>
        </w:rPr>
      </w:pPr>
      <w:r>
        <w:rPr>
          <w:sz w:val="18"/>
        </w:rPr>
        <w:t>on Greenhouse Gas Control Technologies (GHGT5), Cairns, Australia, 13–16 August, 2000.</w:t>
      </w:r>
    </w:p>
    <w:p>
      <w:pPr>
        <w:spacing w:line="278" w:lineRule="auto" w:before="0"/>
        <w:ind w:left="497" w:right="532" w:hanging="341"/>
        <w:jc w:val="both"/>
        <w:rPr>
          <w:sz w:val="18"/>
        </w:rPr>
      </w:pPr>
      <w:r>
        <w:rPr>
          <w:b/>
          <w:sz w:val="18"/>
        </w:rPr>
        <w:t>Stevens</w:t>
      </w:r>
      <w:r>
        <w:rPr>
          <w:sz w:val="18"/>
        </w:rPr>
        <w:t>,</w:t>
      </w:r>
      <w:r>
        <w:rPr>
          <w:spacing w:val="-13"/>
          <w:sz w:val="18"/>
        </w:rPr>
        <w:t> </w:t>
      </w:r>
      <w:r>
        <w:rPr>
          <w:sz w:val="18"/>
        </w:rPr>
        <w:t>S.H.,</w:t>
      </w:r>
      <w:r>
        <w:rPr>
          <w:spacing w:val="-13"/>
          <w:sz w:val="18"/>
        </w:rPr>
        <w:t> </w:t>
      </w:r>
      <w:r>
        <w:rPr>
          <w:sz w:val="18"/>
        </w:rPr>
        <w:t>C.E.</w:t>
      </w:r>
      <w:r>
        <w:rPr>
          <w:spacing w:val="-13"/>
          <w:sz w:val="18"/>
        </w:rPr>
        <w:t> </w:t>
      </w:r>
      <w:r>
        <w:rPr>
          <w:sz w:val="18"/>
        </w:rPr>
        <w:t>Fox</w:t>
      </w:r>
      <w:r>
        <w:rPr>
          <w:spacing w:val="-12"/>
          <w:sz w:val="18"/>
        </w:rPr>
        <w:t> </w:t>
      </w:r>
      <w:r>
        <w:rPr>
          <w:sz w:val="18"/>
        </w:rPr>
        <w:t>and</w:t>
      </w:r>
      <w:r>
        <w:rPr>
          <w:spacing w:val="-13"/>
          <w:sz w:val="18"/>
        </w:rPr>
        <w:t> </w:t>
      </w:r>
      <w:r>
        <w:rPr>
          <w:sz w:val="18"/>
        </w:rPr>
        <w:t>L.S.</w:t>
      </w:r>
      <w:r>
        <w:rPr>
          <w:spacing w:val="-13"/>
          <w:sz w:val="18"/>
        </w:rPr>
        <w:t> </w:t>
      </w:r>
      <w:r>
        <w:rPr>
          <w:sz w:val="18"/>
        </w:rPr>
        <w:t>Melzer,</w:t>
      </w:r>
      <w:r>
        <w:rPr>
          <w:spacing w:val="-13"/>
          <w:sz w:val="18"/>
        </w:rPr>
        <w:t> </w:t>
      </w:r>
      <w:r>
        <w:rPr>
          <w:sz w:val="18"/>
        </w:rPr>
        <w:t>2001a:</w:t>
      </w:r>
      <w:r>
        <w:rPr>
          <w:spacing w:val="-12"/>
          <w:sz w:val="18"/>
        </w:rPr>
        <w:t> </w:t>
      </w:r>
      <w:r>
        <w:rPr>
          <w:sz w:val="18"/>
        </w:rPr>
        <w:t>McElmo</w:t>
      </w:r>
      <w:r>
        <w:rPr>
          <w:spacing w:val="-13"/>
          <w:sz w:val="18"/>
        </w:rPr>
        <w:t> </w:t>
      </w:r>
      <w:r>
        <w:rPr>
          <w:sz w:val="18"/>
        </w:rPr>
        <w:t>dome</w:t>
      </w:r>
      <w:r>
        <w:rPr>
          <w:spacing w:val="-13"/>
          <w:sz w:val="18"/>
        </w:rPr>
        <w:t> </w:t>
      </w:r>
      <w:r>
        <w:rPr>
          <w:sz w:val="18"/>
        </w:rPr>
        <w:t>and</w:t>
      </w:r>
      <w:r>
        <w:rPr>
          <w:spacing w:val="-13"/>
          <w:sz w:val="18"/>
        </w:rPr>
        <w:t> </w:t>
      </w:r>
      <w:r>
        <w:rPr>
          <w:sz w:val="18"/>
        </w:rPr>
        <w:t>St. Johns natural CO</w:t>
      </w:r>
      <w:r>
        <w:rPr>
          <w:position w:val="-5"/>
          <w:sz w:val="10"/>
        </w:rPr>
        <w:t>2   </w:t>
      </w:r>
      <w:r>
        <w:rPr>
          <w:sz w:val="18"/>
        </w:rPr>
        <w:t>deposits: Analogs for geologic </w:t>
      </w:r>
      <w:r>
        <w:rPr>
          <w:spacing w:val="33"/>
          <w:sz w:val="18"/>
        </w:rPr>
        <w:t> </w:t>
      </w:r>
      <w:r>
        <w:rPr>
          <w:sz w:val="18"/>
        </w:rPr>
        <w:t>sequestration.</w:t>
      </w:r>
    </w:p>
    <w:p>
      <w:pPr>
        <w:spacing w:line="164" w:lineRule="exact" w:before="0"/>
        <w:ind w:left="497" w:right="0" w:firstLine="0"/>
        <w:jc w:val="both"/>
        <w:rPr>
          <w:sz w:val="18"/>
        </w:rPr>
      </w:pPr>
      <w:r>
        <w:rPr>
          <w:sz w:val="18"/>
        </w:rPr>
        <w:t>Proceedings</w:t>
      </w:r>
      <w:r>
        <w:rPr>
          <w:spacing w:val="25"/>
          <w:sz w:val="18"/>
        </w:rPr>
        <w:t> </w:t>
      </w:r>
      <w:r>
        <w:rPr>
          <w:sz w:val="18"/>
        </w:rPr>
        <w:t>of</w:t>
      </w:r>
      <w:r>
        <w:rPr>
          <w:spacing w:val="26"/>
          <w:sz w:val="18"/>
        </w:rPr>
        <w:t> </w:t>
      </w:r>
      <w:r>
        <w:rPr>
          <w:sz w:val="18"/>
        </w:rPr>
        <w:t>the</w:t>
      </w:r>
      <w:r>
        <w:rPr>
          <w:spacing w:val="26"/>
          <w:sz w:val="18"/>
        </w:rPr>
        <w:t> </w:t>
      </w:r>
      <w:r>
        <w:rPr>
          <w:sz w:val="18"/>
        </w:rPr>
        <w:t>5</w:t>
      </w:r>
      <w:r>
        <w:rPr>
          <w:position w:val="6"/>
          <w:sz w:val="10"/>
        </w:rPr>
        <w:t>th </w:t>
      </w:r>
      <w:r>
        <w:rPr>
          <w:spacing w:val="20"/>
          <w:position w:val="6"/>
          <w:sz w:val="10"/>
        </w:rPr>
        <w:t> </w:t>
      </w:r>
      <w:r>
        <w:rPr>
          <w:sz w:val="18"/>
        </w:rPr>
        <w:t>International</w:t>
      </w:r>
      <w:r>
        <w:rPr>
          <w:spacing w:val="26"/>
          <w:sz w:val="18"/>
        </w:rPr>
        <w:t> </w:t>
      </w:r>
      <w:r>
        <w:rPr>
          <w:sz w:val="18"/>
        </w:rPr>
        <w:t>Conference</w:t>
      </w:r>
      <w:r>
        <w:rPr>
          <w:spacing w:val="26"/>
          <w:sz w:val="18"/>
        </w:rPr>
        <w:t> </w:t>
      </w:r>
      <w:r>
        <w:rPr>
          <w:sz w:val="18"/>
        </w:rPr>
        <w:t>on</w:t>
      </w:r>
      <w:r>
        <w:rPr>
          <w:spacing w:val="25"/>
          <w:sz w:val="18"/>
        </w:rPr>
        <w:t> </w:t>
      </w:r>
      <w:r>
        <w:rPr>
          <w:sz w:val="18"/>
        </w:rPr>
        <w:t>Greenhouse</w:t>
      </w:r>
    </w:p>
    <w:p>
      <w:pPr>
        <w:spacing w:before="33"/>
        <w:ind w:left="497" w:right="0" w:firstLine="0"/>
        <w:jc w:val="both"/>
        <w:rPr>
          <w:sz w:val="18"/>
        </w:rPr>
      </w:pPr>
      <w:r>
        <w:rPr>
          <w:sz w:val="18"/>
        </w:rPr>
        <w:t>Gas Control Technologies (GHGT-5), D.J. Williams, R.A.</w:t>
      </w:r>
      <w:r>
        <w:rPr>
          <w:spacing w:val="-13"/>
          <w:sz w:val="18"/>
        </w:rPr>
        <w:t> </w:t>
      </w:r>
      <w:r>
        <w:rPr>
          <w:sz w:val="18"/>
        </w:rPr>
        <w:t>Durie,</w:t>
      </w:r>
    </w:p>
    <w:p>
      <w:pPr>
        <w:spacing w:line="278" w:lineRule="auto" w:before="33"/>
        <w:ind w:left="497" w:right="533" w:firstLine="0"/>
        <w:jc w:val="both"/>
        <w:rPr>
          <w:sz w:val="18"/>
        </w:rPr>
      </w:pPr>
      <w:r>
        <w:rPr>
          <w:spacing w:val="-10"/>
          <w:sz w:val="18"/>
        </w:rPr>
        <w:t>P. </w:t>
      </w:r>
      <w:r>
        <w:rPr>
          <w:sz w:val="18"/>
        </w:rPr>
        <w:t>McMullan, C.A.J. Paulson and </w:t>
      </w:r>
      <w:r>
        <w:rPr>
          <w:spacing w:val="-7"/>
          <w:sz w:val="18"/>
        </w:rPr>
        <w:t>A.Y.</w:t>
      </w:r>
      <w:r>
        <w:rPr>
          <w:spacing w:val="31"/>
          <w:sz w:val="18"/>
        </w:rPr>
        <w:t> </w:t>
      </w:r>
      <w:r>
        <w:rPr>
          <w:sz w:val="18"/>
        </w:rPr>
        <w:t>Smith (eds.), 13–16 August</w:t>
      </w:r>
      <w:r>
        <w:rPr>
          <w:spacing w:val="-6"/>
          <w:sz w:val="18"/>
        </w:rPr>
        <w:t> </w:t>
      </w:r>
      <w:r>
        <w:rPr>
          <w:sz w:val="18"/>
        </w:rPr>
        <w:t>2000,</w:t>
      </w:r>
      <w:r>
        <w:rPr>
          <w:spacing w:val="-6"/>
          <w:sz w:val="18"/>
        </w:rPr>
        <w:t> </w:t>
      </w:r>
      <w:r>
        <w:rPr>
          <w:sz w:val="18"/>
        </w:rPr>
        <w:t>Cairns,</w:t>
      </w:r>
      <w:r>
        <w:rPr>
          <w:spacing w:val="-15"/>
          <w:sz w:val="18"/>
        </w:rPr>
        <w:t> </w:t>
      </w:r>
      <w:r>
        <w:rPr>
          <w:sz w:val="18"/>
        </w:rPr>
        <w:t>Australia,</w:t>
      </w:r>
      <w:r>
        <w:rPr>
          <w:spacing w:val="-7"/>
          <w:sz w:val="18"/>
        </w:rPr>
        <w:t> </w:t>
      </w:r>
      <w:r>
        <w:rPr>
          <w:sz w:val="18"/>
        </w:rPr>
        <w:t>CSIRO</w:t>
      </w:r>
      <w:r>
        <w:rPr>
          <w:spacing w:val="-5"/>
          <w:sz w:val="18"/>
        </w:rPr>
        <w:t> </w:t>
      </w:r>
      <w:r>
        <w:rPr>
          <w:sz w:val="18"/>
        </w:rPr>
        <w:t>Publishing,</w:t>
      </w:r>
      <w:r>
        <w:rPr>
          <w:spacing w:val="-6"/>
          <w:sz w:val="18"/>
        </w:rPr>
        <w:t> </w:t>
      </w:r>
      <w:r>
        <w:rPr>
          <w:sz w:val="18"/>
        </w:rPr>
        <w:t>Collingwood, Victoria, Australia,</w:t>
      </w:r>
      <w:r>
        <w:rPr>
          <w:spacing w:val="-13"/>
          <w:sz w:val="18"/>
        </w:rPr>
        <w:t> </w:t>
      </w:r>
      <w:r>
        <w:rPr>
          <w:sz w:val="18"/>
        </w:rPr>
        <w:t>317–321.</w:t>
      </w:r>
    </w:p>
    <w:p>
      <w:pPr>
        <w:spacing w:line="245" w:lineRule="exact" w:before="0"/>
        <w:ind w:left="156" w:right="0" w:firstLine="0"/>
        <w:jc w:val="left"/>
        <w:rPr>
          <w:sz w:val="10"/>
        </w:rPr>
      </w:pPr>
      <w:r>
        <w:rPr>
          <w:b/>
          <w:sz w:val="18"/>
        </w:rPr>
        <w:t>Stevens</w:t>
      </w:r>
      <w:r>
        <w:rPr>
          <w:sz w:val="18"/>
        </w:rPr>
        <w:t>,</w:t>
      </w:r>
      <w:r>
        <w:rPr>
          <w:spacing w:val="-18"/>
          <w:sz w:val="18"/>
        </w:rPr>
        <w:t> </w:t>
      </w:r>
      <w:r>
        <w:rPr>
          <w:sz w:val="18"/>
        </w:rPr>
        <w:t>S.</w:t>
      </w:r>
      <w:r>
        <w:rPr>
          <w:spacing w:val="-18"/>
          <w:sz w:val="18"/>
        </w:rPr>
        <w:t> </w:t>
      </w:r>
      <w:r>
        <w:rPr>
          <w:sz w:val="18"/>
        </w:rPr>
        <w:t>H.,</w:t>
      </w:r>
      <w:r>
        <w:rPr>
          <w:spacing w:val="-21"/>
          <w:sz w:val="18"/>
        </w:rPr>
        <w:t> </w:t>
      </w:r>
      <w:r>
        <w:rPr>
          <w:spacing w:val="-6"/>
          <w:sz w:val="18"/>
        </w:rPr>
        <w:t>V.A.</w:t>
      </w:r>
      <w:r>
        <w:rPr>
          <w:spacing w:val="-17"/>
          <w:sz w:val="18"/>
        </w:rPr>
        <w:t> </w:t>
      </w:r>
      <w:r>
        <w:rPr>
          <w:sz w:val="18"/>
        </w:rPr>
        <w:t>Kuuskra</w:t>
      </w:r>
      <w:r>
        <w:rPr>
          <w:spacing w:val="-18"/>
          <w:sz w:val="18"/>
        </w:rPr>
        <w:t> </w:t>
      </w:r>
      <w:r>
        <w:rPr>
          <w:sz w:val="18"/>
        </w:rPr>
        <w:t>and</w:t>
      </w:r>
      <w:r>
        <w:rPr>
          <w:spacing w:val="-18"/>
          <w:sz w:val="18"/>
        </w:rPr>
        <w:t> </w:t>
      </w:r>
      <w:r>
        <w:rPr>
          <w:sz w:val="18"/>
        </w:rPr>
        <w:t>J.J.</w:t>
      </w:r>
      <w:r>
        <w:rPr>
          <w:spacing w:val="-18"/>
          <w:sz w:val="18"/>
        </w:rPr>
        <w:t> </w:t>
      </w:r>
      <w:r>
        <w:rPr>
          <w:sz w:val="18"/>
        </w:rPr>
        <w:t>Gale,</w:t>
      </w:r>
      <w:r>
        <w:rPr>
          <w:spacing w:val="-18"/>
          <w:sz w:val="18"/>
        </w:rPr>
        <w:t> </w:t>
      </w:r>
      <w:r>
        <w:rPr>
          <w:sz w:val="18"/>
        </w:rPr>
        <w:t>2001b:</w:t>
      </w:r>
      <w:r>
        <w:rPr>
          <w:spacing w:val="-17"/>
          <w:sz w:val="18"/>
        </w:rPr>
        <w:t> </w:t>
      </w:r>
      <w:r>
        <w:rPr>
          <w:sz w:val="18"/>
        </w:rPr>
        <w:t>Sequestration</w:t>
      </w:r>
      <w:r>
        <w:rPr>
          <w:spacing w:val="-18"/>
          <w:sz w:val="18"/>
        </w:rPr>
        <w:t> </w:t>
      </w:r>
      <w:r>
        <w:rPr>
          <w:sz w:val="18"/>
        </w:rPr>
        <w:t>of</w:t>
      </w:r>
      <w:r>
        <w:rPr>
          <w:spacing w:val="-18"/>
          <w:sz w:val="18"/>
        </w:rPr>
        <w:t> </w:t>
      </w:r>
      <w:r>
        <w:rPr>
          <w:sz w:val="18"/>
        </w:rPr>
        <w:t>CO</w:t>
      </w:r>
      <w:r>
        <w:rPr>
          <w:position w:val="-5"/>
          <w:sz w:val="10"/>
        </w:rPr>
        <w:t>2</w:t>
      </w:r>
    </w:p>
    <w:p>
      <w:pPr>
        <w:spacing w:line="278" w:lineRule="auto" w:before="0"/>
        <w:ind w:left="497" w:right="531" w:firstLine="0"/>
        <w:jc w:val="both"/>
        <w:rPr>
          <w:sz w:val="18"/>
        </w:rPr>
      </w:pPr>
      <w:r>
        <w:rPr>
          <w:sz w:val="18"/>
        </w:rPr>
        <w:t>in depleted oil and gas fields: global capacity, costs and barriers. Proceedings of the 5</w:t>
      </w:r>
      <w:r>
        <w:rPr>
          <w:position w:val="6"/>
          <w:sz w:val="10"/>
        </w:rPr>
        <w:t>th </w:t>
      </w:r>
      <w:r>
        <w:rPr>
          <w:sz w:val="18"/>
        </w:rPr>
        <w:t>International Conference on Greenhouse Gas Control Technologies (GHGT-5), D.J. Williams, R.A.</w:t>
      </w:r>
      <w:r>
        <w:rPr>
          <w:spacing w:val="-13"/>
          <w:sz w:val="18"/>
        </w:rPr>
        <w:t> </w:t>
      </w:r>
      <w:r>
        <w:rPr>
          <w:sz w:val="18"/>
        </w:rPr>
        <w:t>Durie,</w:t>
      </w:r>
    </w:p>
    <w:p>
      <w:pPr>
        <w:spacing w:line="278" w:lineRule="auto" w:before="0"/>
        <w:ind w:left="497" w:right="533" w:firstLine="0"/>
        <w:jc w:val="both"/>
        <w:rPr>
          <w:sz w:val="18"/>
        </w:rPr>
      </w:pPr>
      <w:r>
        <w:rPr>
          <w:spacing w:val="-10"/>
          <w:sz w:val="18"/>
        </w:rPr>
        <w:t>P. </w:t>
      </w:r>
      <w:r>
        <w:rPr>
          <w:sz w:val="18"/>
        </w:rPr>
        <w:t>McMullan, C.A.J. Paulson and </w:t>
      </w:r>
      <w:r>
        <w:rPr>
          <w:spacing w:val="-7"/>
          <w:sz w:val="18"/>
        </w:rPr>
        <w:t>A.Y.</w:t>
      </w:r>
      <w:r>
        <w:rPr>
          <w:spacing w:val="31"/>
          <w:sz w:val="18"/>
        </w:rPr>
        <w:t> </w:t>
      </w:r>
      <w:r>
        <w:rPr>
          <w:sz w:val="18"/>
        </w:rPr>
        <w:t>Smith (eds.), 13–16 August</w:t>
      </w:r>
      <w:r>
        <w:rPr>
          <w:spacing w:val="-6"/>
          <w:sz w:val="18"/>
        </w:rPr>
        <w:t> </w:t>
      </w:r>
      <w:r>
        <w:rPr>
          <w:sz w:val="18"/>
        </w:rPr>
        <w:t>2000,</w:t>
      </w:r>
      <w:r>
        <w:rPr>
          <w:spacing w:val="-6"/>
          <w:sz w:val="18"/>
        </w:rPr>
        <w:t> </w:t>
      </w:r>
      <w:r>
        <w:rPr>
          <w:sz w:val="18"/>
        </w:rPr>
        <w:t>Cairns,</w:t>
      </w:r>
      <w:r>
        <w:rPr>
          <w:spacing w:val="-15"/>
          <w:sz w:val="18"/>
        </w:rPr>
        <w:t> </w:t>
      </w:r>
      <w:r>
        <w:rPr>
          <w:sz w:val="18"/>
        </w:rPr>
        <w:t>Australia,</w:t>
      </w:r>
      <w:r>
        <w:rPr>
          <w:spacing w:val="-7"/>
          <w:sz w:val="18"/>
        </w:rPr>
        <w:t> </w:t>
      </w:r>
      <w:r>
        <w:rPr>
          <w:sz w:val="18"/>
        </w:rPr>
        <w:t>CSIRO</w:t>
      </w:r>
      <w:r>
        <w:rPr>
          <w:spacing w:val="-5"/>
          <w:sz w:val="18"/>
        </w:rPr>
        <w:t> </w:t>
      </w:r>
      <w:r>
        <w:rPr>
          <w:sz w:val="18"/>
        </w:rPr>
        <w:t>Publishing,</w:t>
      </w:r>
      <w:r>
        <w:rPr>
          <w:spacing w:val="-6"/>
          <w:sz w:val="18"/>
        </w:rPr>
        <w:t> </w:t>
      </w:r>
      <w:r>
        <w:rPr>
          <w:sz w:val="18"/>
        </w:rPr>
        <w:t>Collingwood, Victoria, Australia, pp.</w:t>
      </w:r>
      <w:r>
        <w:rPr>
          <w:spacing w:val="-13"/>
          <w:sz w:val="18"/>
        </w:rPr>
        <w:t> </w:t>
      </w:r>
      <w:r>
        <w:rPr>
          <w:sz w:val="18"/>
        </w:rPr>
        <w:t>278–283.</w:t>
      </w:r>
    </w:p>
    <w:p>
      <w:pPr>
        <w:spacing w:line="245" w:lineRule="exact" w:before="0"/>
        <w:ind w:left="156" w:right="0" w:firstLine="0"/>
        <w:jc w:val="left"/>
        <w:rPr>
          <w:sz w:val="10"/>
        </w:rPr>
      </w:pPr>
      <w:r>
        <w:rPr>
          <w:b/>
          <w:sz w:val="18"/>
        </w:rPr>
        <w:t>Stevens</w:t>
      </w:r>
      <w:r>
        <w:rPr>
          <w:sz w:val="18"/>
        </w:rPr>
        <w:t>, S.H., V.A. Kuuskra, J. Gale and D. Beecy, 2001c: CO</w:t>
      </w:r>
      <w:r>
        <w:rPr>
          <w:position w:val="-5"/>
          <w:sz w:val="10"/>
        </w:rPr>
        <w:t>2</w:t>
      </w:r>
    </w:p>
    <w:p>
      <w:pPr>
        <w:spacing w:line="278" w:lineRule="auto" w:before="0"/>
        <w:ind w:left="497" w:right="531" w:firstLine="0"/>
        <w:jc w:val="both"/>
        <w:rPr>
          <w:sz w:val="18"/>
        </w:rPr>
      </w:pPr>
      <w:r>
        <w:rPr>
          <w:sz w:val="18"/>
        </w:rPr>
        <w:t>injection and sequestration in depleted oil and gas fields and deep coal seams: worldwide potential and costs. </w:t>
      </w:r>
      <w:r>
        <w:rPr>
          <w:i/>
          <w:sz w:val="18"/>
        </w:rPr>
        <w:t>Environmental </w:t>
      </w:r>
      <w:r>
        <w:rPr>
          <w:i/>
          <w:sz w:val="18"/>
        </w:rPr>
        <w:t>Geosciences, </w:t>
      </w:r>
      <w:r>
        <w:rPr>
          <w:b/>
          <w:sz w:val="18"/>
        </w:rPr>
        <w:t>8</w:t>
      </w:r>
      <w:r>
        <w:rPr>
          <w:sz w:val="18"/>
        </w:rPr>
        <w:t>(3),</w:t>
      </w:r>
      <w:r>
        <w:rPr>
          <w:spacing w:val="-1"/>
          <w:sz w:val="18"/>
        </w:rPr>
        <w:t> </w:t>
      </w:r>
      <w:r>
        <w:rPr>
          <w:sz w:val="18"/>
        </w:rPr>
        <w:t>200–209.</w:t>
      </w:r>
    </w:p>
    <w:p>
      <w:pPr>
        <w:spacing w:line="278" w:lineRule="auto" w:before="0"/>
        <w:ind w:left="497" w:right="531" w:hanging="341"/>
        <w:jc w:val="both"/>
        <w:rPr>
          <w:sz w:val="18"/>
        </w:rPr>
      </w:pPr>
      <w:r>
        <w:rPr>
          <w:b/>
          <w:sz w:val="18"/>
        </w:rPr>
        <w:t>Stevens</w:t>
      </w:r>
      <w:r>
        <w:rPr>
          <w:sz w:val="18"/>
        </w:rPr>
        <w:t>, S.H., C. Fox, </w:t>
      </w:r>
      <w:r>
        <w:rPr>
          <w:spacing w:val="-7"/>
          <w:sz w:val="18"/>
        </w:rPr>
        <w:t>T.</w:t>
      </w:r>
      <w:r>
        <w:rPr>
          <w:spacing w:val="31"/>
          <w:sz w:val="18"/>
        </w:rPr>
        <w:t> </w:t>
      </w:r>
      <w:r>
        <w:rPr>
          <w:sz w:val="18"/>
        </w:rPr>
        <w:t>White, S. Melzer and C. Byrer, 2003: Production  operations  at  natural  CO</w:t>
      </w:r>
      <w:r>
        <w:rPr>
          <w:position w:val="-5"/>
          <w:sz w:val="10"/>
        </w:rPr>
        <w:t>2   </w:t>
      </w:r>
      <w:r>
        <w:rPr>
          <w:sz w:val="18"/>
        </w:rPr>
        <w:t>Fields:  Technologies</w:t>
      </w:r>
      <w:r>
        <w:rPr>
          <w:spacing w:val="-4"/>
          <w:sz w:val="18"/>
        </w:rPr>
        <w:t> </w:t>
      </w:r>
      <w:r>
        <w:rPr>
          <w:sz w:val="18"/>
        </w:rPr>
        <w:t>for</w:t>
      </w:r>
    </w:p>
    <w:p>
      <w:pPr>
        <w:spacing w:line="164" w:lineRule="exact" w:before="0"/>
        <w:ind w:left="497" w:right="0" w:firstLine="0"/>
        <w:jc w:val="both"/>
        <w:rPr>
          <w:sz w:val="18"/>
        </w:rPr>
      </w:pPr>
      <w:r>
        <w:rPr>
          <w:sz w:val="18"/>
        </w:rPr>
        <w:t>geologic   sequestration.   Proceedings   of   the   6</w:t>
      </w:r>
      <w:r>
        <w:rPr>
          <w:position w:val="6"/>
          <w:sz w:val="10"/>
        </w:rPr>
        <w:t>th </w:t>
      </w:r>
      <w:r>
        <w:rPr>
          <w:spacing w:val="22"/>
          <w:position w:val="6"/>
          <w:sz w:val="10"/>
        </w:rPr>
        <w:t> </w:t>
      </w:r>
      <w:r>
        <w:rPr>
          <w:sz w:val="18"/>
        </w:rPr>
        <w:t>International</w:t>
      </w:r>
    </w:p>
    <w:p>
      <w:pPr>
        <w:spacing w:line="278" w:lineRule="auto" w:before="23"/>
        <w:ind w:left="497" w:right="532" w:firstLine="0"/>
        <w:jc w:val="both"/>
        <w:rPr>
          <w:sz w:val="18"/>
        </w:rPr>
      </w:pPr>
      <w:r>
        <w:rPr>
          <w:sz w:val="18"/>
        </w:rPr>
        <w:t>Conference on Greenhouse Gas Control Technologies (GHGT- 6), J. Gale and Y. Kaya (eds.), 1–4 October 2002, Kyoto, Japan, Pergamon,.v.I, 429–433.</w:t>
      </w:r>
    </w:p>
    <w:p>
      <w:pPr>
        <w:spacing w:line="278" w:lineRule="auto" w:before="0"/>
        <w:ind w:left="497" w:right="532" w:hanging="341"/>
        <w:jc w:val="both"/>
        <w:rPr>
          <w:sz w:val="18"/>
        </w:rPr>
      </w:pPr>
      <w:r>
        <w:rPr>
          <w:b/>
          <w:sz w:val="18"/>
        </w:rPr>
        <w:t>Streit</w:t>
      </w:r>
      <w:r>
        <w:rPr>
          <w:sz w:val="18"/>
        </w:rPr>
        <w:t>, J.E. and R.R. Hillis, 2003: Building geomechanical models for the safe underground storage of carbon dioxide in porous rock. Proceedings 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Amsterdam, </w:t>
      </w:r>
      <w:r>
        <w:rPr>
          <w:spacing w:val="-3"/>
          <w:sz w:val="18"/>
        </w:rPr>
        <w:t>v.I., </w:t>
      </w:r>
      <w:r>
        <w:rPr>
          <w:sz w:val="18"/>
        </w:rPr>
        <w:t>495–500.</w:t>
      </w:r>
    </w:p>
    <w:p>
      <w:pPr>
        <w:spacing w:line="278" w:lineRule="auto" w:before="0"/>
        <w:ind w:left="497" w:right="531" w:hanging="341"/>
        <w:jc w:val="both"/>
        <w:rPr>
          <w:sz w:val="18"/>
        </w:rPr>
      </w:pPr>
      <w:r>
        <w:rPr>
          <w:b/>
          <w:sz w:val="18"/>
        </w:rPr>
        <w:t>Streit</w:t>
      </w:r>
      <w:r>
        <w:rPr>
          <w:sz w:val="18"/>
        </w:rPr>
        <w:t>, J., A. Siggins and B. Evans, 2005: Predicting and monitoring geomechanical effects of CO</w:t>
      </w:r>
      <w:r>
        <w:rPr>
          <w:position w:val="-5"/>
          <w:sz w:val="10"/>
        </w:rPr>
        <w:t>2  </w:t>
      </w:r>
      <w:r>
        <w:rPr>
          <w:sz w:val="18"/>
        </w:rPr>
        <w:t>injection, Carbon Dioxide</w:t>
      </w:r>
      <w:r>
        <w:rPr>
          <w:spacing w:val="29"/>
          <w:sz w:val="18"/>
        </w:rPr>
        <w:t> </w:t>
      </w:r>
      <w:r>
        <w:rPr>
          <w:sz w:val="18"/>
        </w:rPr>
        <w:t>Capture</w:t>
      </w:r>
    </w:p>
    <w:p>
      <w:pPr>
        <w:spacing w:line="177" w:lineRule="auto" w:before="0"/>
        <w:ind w:left="497" w:right="0" w:firstLine="0"/>
        <w:jc w:val="both"/>
        <w:rPr>
          <w:sz w:val="10"/>
        </w:rPr>
      </w:pPr>
      <w:r>
        <w:rPr>
          <w:sz w:val="18"/>
        </w:rPr>
        <w:t>for Storage in Deep Geologic Formations—Results from the</w:t>
      </w:r>
      <w:r>
        <w:rPr>
          <w:spacing w:val="-13"/>
          <w:sz w:val="18"/>
        </w:rPr>
        <w:t> </w:t>
      </w:r>
      <w:r>
        <w:rPr>
          <w:sz w:val="18"/>
        </w:rPr>
        <w:t>CO</w:t>
      </w:r>
      <w:r>
        <w:rPr>
          <w:position w:val="-5"/>
          <w:sz w:val="10"/>
        </w:rPr>
        <w:t>2</w:t>
      </w:r>
    </w:p>
    <w:p>
      <w:pPr>
        <w:spacing w:line="278" w:lineRule="auto" w:before="0"/>
        <w:ind w:left="497" w:right="532" w:firstLine="0"/>
        <w:jc w:val="both"/>
        <w:rPr>
          <w:sz w:val="18"/>
        </w:rPr>
      </w:pPr>
      <w:r>
        <w:rPr>
          <w:sz w:val="18"/>
        </w:rPr>
        <w:t>Capture Project, </w:t>
      </w:r>
      <w:r>
        <w:rPr>
          <w:spacing w:val="-6"/>
          <w:sz w:val="18"/>
        </w:rPr>
        <w:t>v. </w:t>
      </w:r>
      <w:r>
        <w:rPr>
          <w:sz w:val="18"/>
        </w:rPr>
        <w:t>2: Geologic Storage of Carbon Dioxide with Monitoring</w:t>
      </w:r>
      <w:r>
        <w:rPr>
          <w:spacing w:val="-10"/>
          <w:sz w:val="18"/>
        </w:rPr>
        <w:t> </w:t>
      </w:r>
      <w:r>
        <w:rPr>
          <w:sz w:val="18"/>
        </w:rPr>
        <w:t>and</w:t>
      </w:r>
      <w:r>
        <w:rPr>
          <w:spacing w:val="-12"/>
          <w:sz w:val="18"/>
        </w:rPr>
        <w:t> </w:t>
      </w:r>
      <w:r>
        <w:rPr>
          <w:sz w:val="18"/>
        </w:rPr>
        <w:t>Verification,</w:t>
      </w:r>
      <w:r>
        <w:rPr>
          <w:spacing w:val="-10"/>
          <w:sz w:val="18"/>
        </w:rPr>
        <w:t> </w:t>
      </w:r>
      <w:r>
        <w:rPr>
          <w:sz w:val="18"/>
        </w:rPr>
        <w:t>S.M.</w:t>
      </w:r>
      <w:r>
        <w:rPr>
          <w:spacing w:val="-10"/>
          <w:sz w:val="18"/>
        </w:rPr>
        <w:t> </w:t>
      </w:r>
      <w:r>
        <w:rPr>
          <w:sz w:val="18"/>
        </w:rPr>
        <w:t>Benson</w:t>
      </w:r>
      <w:r>
        <w:rPr>
          <w:spacing w:val="-10"/>
          <w:sz w:val="18"/>
        </w:rPr>
        <w:t> </w:t>
      </w:r>
      <w:r>
        <w:rPr>
          <w:sz w:val="18"/>
        </w:rPr>
        <w:t>(ed.),</w:t>
      </w:r>
      <w:r>
        <w:rPr>
          <w:spacing w:val="-9"/>
          <w:sz w:val="18"/>
        </w:rPr>
        <w:t> </w:t>
      </w:r>
      <w:r>
        <w:rPr>
          <w:sz w:val="18"/>
        </w:rPr>
        <w:t>Elsevier</w:t>
      </w:r>
      <w:r>
        <w:rPr>
          <w:spacing w:val="-10"/>
          <w:sz w:val="18"/>
        </w:rPr>
        <w:t> </w:t>
      </w:r>
      <w:r>
        <w:rPr>
          <w:sz w:val="18"/>
        </w:rPr>
        <w:t>Science, London, pp. 751–766.</w:t>
      </w:r>
    </w:p>
    <w:p>
      <w:pPr>
        <w:spacing w:after="0" w:line="278" w:lineRule="auto"/>
        <w:jc w:val="both"/>
        <w:rPr>
          <w:sz w:val="18"/>
        </w:rPr>
        <w:sectPr>
          <w:type w:val="continuous"/>
          <w:pgSz w:w="12240" w:h="15840"/>
          <w:pgMar w:top="400" w:bottom="280" w:left="580" w:right="600"/>
          <w:cols w:num="2" w:equalWidth="0">
            <w:col w:w="5263" w:space="42"/>
            <w:col w:w="5755"/>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before="67"/>
        <w:ind w:left="553" w:right="0" w:firstLine="0"/>
        <w:jc w:val="both"/>
        <w:rPr>
          <w:sz w:val="18"/>
        </w:rPr>
      </w:pPr>
      <w:r>
        <w:rPr>
          <w:b/>
          <w:sz w:val="18"/>
        </w:rPr>
        <w:t>Strutt</w:t>
      </w:r>
      <w:r>
        <w:rPr>
          <w:sz w:val="18"/>
        </w:rPr>
        <w:t>,</w:t>
      </w:r>
      <w:r>
        <w:rPr>
          <w:spacing w:val="20"/>
          <w:sz w:val="18"/>
        </w:rPr>
        <w:t> </w:t>
      </w:r>
      <w:r>
        <w:rPr>
          <w:sz w:val="18"/>
        </w:rPr>
        <w:t>M.H,</w:t>
      </w:r>
      <w:r>
        <w:rPr>
          <w:spacing w:val="20"/>
          <w:sz w:val="18"/>
        </w:rPr>
        <w:t> </w:t>
      </w:r>
      <w:r>
        <w:rPr>
          <w:sz w:val="18"/>
        </w:rPr>
        <w:t>S.E.</w:t>
      </w:r>
      <w:r>
        <w:rPr>
          <w:spacing w:val="21"/>
          <w:sz w:val="18"/>
        </w:rPr>
        <w:t> </w:t>
      </w:r>
      <w:r>
        <w:rPr>
          <w:sz w:val="18"/>
        </w:rPr>
        <w:t>Beaubien,</w:t>
      </w:r>
      <w:r>
        <w:rPr>
          <w:spacing w:val="20"/>
          <w:sz w:val="18"/>
        </w:rPr>
        <w:t> </w:t>
      </w:r>
      <w:r>
        <w:rPr>
          <w:sz w:val="18"/>
        </w:rPr>
        <w:t>J.C.</w:t>
      </w:r>
      <w:r>
        <w:rPr>
          <w:spacing w:val="20"/>
          <w:sz w:val="18"/>
        </w:rPr>
        <w:t> </w:t>
      </w:r>
      <w:r>
        <w:rPr>
          <w:sz w:val="18"/>
        </w:rPr>
        <w:t>Beabron,</w:t>
      </w:r>
      <w:r>
        <w:rPr>
          <w:spacing w:val="21"/>
          <w:sz w:val="18"/>
        </w:rPr>
        <w:t> </w:t>
      </w:r>
      <w:r>
        <w:rPr>
          <w:sz w:val="18"/>
        </w:rPr>
        <w:t>M.</w:t>
      </w:r>
      <w:r>
        <w:rPr>
          <w:spacing w:val="20"/>
          <w:sz w:val="18"/>
        </w:rPr>
        <w:t> </w:t>
      </w:r>
      <w:r>
        <w:rPr>
          <w:sz w:val="18"/>
        </w:rPr>
        <w:t>Brach,</w:t>
      </w:r>
      <w:r>
        <w:rPr>
          <w:spacing w:val="20"/>
          <w:sz w:val="18"/>
        </w:rPr>
        <w:t> </w:t>
      </w:r>
      <w:r>
        <w:rPr>
          <w:sz w:val="18"/>
        </w:rPr>
        <w:t>C.</w:t>
      </w:r>
      <w:r>
        <w:rPr>
          <w:spacing w:val="21"/>
          <w:sz w:val="18"/>
        </w:rPr>
        <w:t> </w:t>
      </w:r>
      <w:r>
        <w:rPr>
          <w:sz w:val="18"/>
        </w:rPr>
        <w:t>Cardellini,</w:t>
      </w:r>
    </w:p>
    <w:p>
      <w:pPr>
        <w:spacing w:line="278" w:lineRule="auto" w:before="33"/>
        <w:ind w:left="894" w:right="0" w:firstLine="0"/>
        <w:jc w:val="both"/>
        <w:rPr>
          <w:sz w:val="18"/>
        </w:rPr>
      </w:pPr>
      <w:r>
        <w:rPr>
          <w:sz w:val="18"/>
        </w:rPr>
        <w:t>R. Granieri, D.G. Jones, S. Lombardi, L. Penner, </w:t>
      </w:r>
      <w:r>
        <w:rPr>
          <w:spacing w:val="-8"/>
          <w:sz w:val="18"/>
        </w:rPr>
        <w:t>F. </w:t>
      </w:r>
      <w:r>
        <w:rPr>
          <w:sz w:val="18"/>
        </w:rPr>
        <w:t>Quattrocchi and N. </w:t>
      </w:r>
      <w:r>
        <w:rPr>
          <w:spacing w:val="-3"/>
          <w:sz w:val="18"/>
        </w:rPr>
        <w:t>Voltatorni, </w:t>
      </w:r>
      <w:r>
        <w:rPr>
          <w:sz w:val="18"/>
        </w:rPr>
        <w:t>2003: Soil gas as a monitoring tool of deep geological sequestration of carbon dioxide: preliminary results from the EnCana EOR project in Weyburn, Saskatchewan (Canada). Proceedings of the 6</w:t>
      </w:r>
      <w:r>
        <w:rPr>
          <w:position w:val="6"/>
          <w:sz w:val="10"/>
        </w:rPr>
        <w:t>th </w:t>
      </w:r>
      <w:r>
        <w:rPr>
          <w:sz w:val="18"/>
        </w:rPr>
        <w:t>International Conference on Greenhouse  Gas  Control Technologies  (GHGT-6),  J.</w:t>
      </w:r>
      <w:r>
        <w:rPr>
          <w:spacing w:val="22"/>
          <w:sz w:val="18"/>
        </w:rPr>
        <w:t> </w:t>
      </w:r>
      <w:r>
        <w:rPr>
          <w:sz w:val="18"/>
        </w:rPr>
        <w:t>Gale and</w:t>
      </w:r>
    </w:p>
    <w:p>
      <w:pPr>
        <w:spacing w:line="278" w:lineRule="auto" w:before="0"/>
        <w:ind w:left="894" w:right="1" w:firstLine="0"/>
        <w:jc w:val="both"/>
        <w:rPr>
          <w:sz w:val="18"/>
        </w:rPr>
      </w:pPr>
      <w:r>
        <w:rPr>
          <w:sz w:val="18"/>
        </w:rPr>
        <w:t>Y. Kaya (eds.), 1–4 October 2002, Kyoto, Japan, Pergamon, Amsterdam, v.I., 391–396.</w:t>
      </w:r>
    </w:p>
    <w:p>
      <w:pPr>
        <w:spacing w:line="278" w:lineRule="auto" w:before="0"/>
        <w:ind w:left="894" w:right="1" w:hanging="341"/>
        <w:jc w:val="both"/>
        <w:rPr>
          <w:sz w:val="18"/>
        </w:rPr>
      </w:pPr>
      <w:r>
        <w:rPr>
          <w:b/>
          <w:sz w:val="18"/>
        </w:rPr>
        <w:t>Studlick</w:t>
      </w:r>
      <w:r>
        <w:rPr>
          <w:sz w:val="18"/>
        </w:rPr>
        <w:t>, J.R.J., R.D. Shew, G.L. Basye and J.R. Ray, 1990: A giant carbon dioxide accumulation in the Norphlet Formation, Pisgah Anticline, Mississippi. In: Sandstone Petroleum Reservoirs, J.H. Barwis, J.G. McPherson and J.R.J. Studlick (eds.), Springer Verlag, New York, 181–203.</w:t>
      </w:r>
    </w:p>
    <w:p>
      <w:pPr>
        <w:spacing w:line="278" w:lineRule="auto" w:before="0"/>
        <w:ind w:left="894" w:right="0" w:hanging="341"/>
        <w:jc w:val="both"/>
        <w:rPr>
          <w:sz w:val="18"/>
        </w:rPr>
      </w:pPr>
      <w:r>
        <w:rPr>
          <w:b/>
          <w:spacing w:val="-17"/>
          <w:w w:val="200"/>
          <w:sz w:val="18"/>
        </w:rPr>
        <w:t>t</w:t>
      </w:r>
      <w:r>
        <w:rPr>
          <w:b/>
          <w:sz w:val="18"/>
        </w:rPr>
        <w:t>aber</w:t>
      </w:r>
      <w:r>
        <w:rPr>
          <w:sz w:val="18"/>
        </w:rPr>
        <w:t>,</w:t>
      </w:r>
      <w:r>
        <w:rPr>
          <w:spacing w:val="-6"/>
          <w:sz w:val="18"/>
        </w:rPr>
        <w:t> </w:t>
      </w:r>
      <w:r>
        <w:rPr>
          <w:spacing w:val="-1"/>
          <w:sz w:val="18"/>
        </w:rPr>
        <w:t>J.J.</w:t>
      </w:r>
      <w:r>
        <w:rPr>
          <w:sz w:val="18"/>
        </w:rPr>
        <w:t>,</w:t>
      </w:r>
      <w:r>
        <w:rPr>
          <w:spacing w:val="-6"/>
          <w:sz w:val="18"/>
        </w:rPr>
        <w:t> </w:t>
      </w:r>
      <w:r>
        <w:rPr>
          <w:spacing w:val="-15"/>
          <w:sz w:val="18"/>
        </w:rPr>
        <w:t>F</w:t>
      </w:r>
      <w:r>
        <w:rPr>
          <w:sz w:val="18"/>
        </w:rPr>
        <w:t>.D.</w:t>
      </w:r>
      <w:r>
        <w:rPr>
          <w:spacing w:val="-6"/>
          <w:sz w:val="18"/>
        </w:rPr>
        <w:t> </w:t>
      </w:r>
      <w:r>
        <w:rPr>
          <w:spacing w:val="-1"/>
          <w:sz w:val="18"/>
        </w:rPr>
        <w:t>Marti</w:t>
      </w:r>
      <w:r>
        <w:rPr>
          <w:sz w:val="18"/>
        </w:rPr>
        <w:t>n</w:t>
      </w:r>
      <w:r>
        <w:rPr>
          <w:spacing w:val="-6"/>
          <w:sz w:val="18"/>
        </w:rPr>
        <w:t> </w:t>
      </w:r>
      <w:r>
        <w:rPr>
          <w:sz w:val="18"/>
        </w:rPr>
        <w:t>and</w:t>
      </w:r>
      <w:r>
        <w:rPr>
          <w:spacing w:val="-6"/>
          <w:sz w:val="18"/>
        </w:rPr>
        <w:t> </w:t>
      </w:r>
      <w:r>
        <w:rPr>
          <w:sz w:val="18"/>
        </w:rPr>
        <w:t>R.S.</w:t>
      </w:r>
      <w:r>
        <w:rPr>
          <w:spacing w:val="-6"/>
          <w:sz w:val="18"/>
        </w:rPr>
        <w:t> </w:t>
      </w:r>
      <w:r>
        <w:rPr>
          <w:spacing w:val="-1"/>
          <w:sz w:val="18"/>
        </w:rPr>
        <w:t>Seright</w:t>
      </w:r>
      <w:r>
        <w:rPr>
          <w:sz w:val="18"/>
        </w:rPr>
        <w:t>,</w:t>
      </w:r>
      <w:r>
        <w:rPr>
          <w:spacing w:val="-6"/>
          <w:sz w:val="18"/>
        </w:rPr>
        <w:t> </w:t>
      </w:r>
      <w:r>
        <w:rPr>
          <w:sz w:val="18"/>
        </w:rPr>
        <w:t>1997:</w:t>
      </w:r>
      <w:r>
        <w:rPr>
          <w:spacing w:val="-6"/>
          <w:sz w:val="18"/>
        </w:rPr>
        <w:t> </w:t>
      </w:r>
      <w:r>
        <w:rPr>
          <w:sz w:val="18"/>
        </w:rPr>
        <w:t>EOR</w:t>
      </w:r>
      <w:r>
        <w:rPr>
          <w:spacing w:val="-6"/>
          <w:sz w:val="18"/>
        </w:rPr>
        <w:t> </w:t>
      </w:r>
      <w:r>
        <w:rPr>
          <w:spacing w:val="-1"/>
          <w:sz w:val="18"/>
        </w:rPr>
        <w:t>screenin</w:t>
      </w:r>
      <w:r>
        <w:rPr>
          <w:sz w:val="18"/>
        </w:rPr>
        <w:t>g</w:t>
      </w:r>
      <w:r>
        <w:rPr>
          <w:spacing w:val="-6"/>
          <w:sz w:val="18"/>
        </w:rPr>
        <w:t> </w:t>
      </w:r>
      <w:r>
        <w:rPr>
          <w:sz w:val="18"/>
        </w:rPr>
        <w:t>criteria revisited - part 1: introduction to screening criteria and enhanced recovery fields projects. </w:t>
      </w:r>
      <w:r>
        <w:rPr>
          <w:i/>
          <w:sz w:val="18"/>
        </w:rPr>
        <w:t>SPE Reservoir Engineering, </w:t>
      </w:r>
      <w:r>
        <w:rPr>
          <w:b/>
          <w:sz w:val="18"/>
        </w:rPr>
        <w:t>12</w:t>
      </w:r>
      <w:r>
        <w:rPr>
          <w:sz w:val="18"/>
        </w:rPr>
        <w:t>(3), 189–198.</w:t>
      </w:r>
    </w:p>
    <w:p>
      <w:pPr>
        <w:spacing w:line="278" w:lineRule="auto" w:before="0"/>
        <w:ind w:left="894" w:right="0" w:hanging="341"/>
        <w:jc w:val="both"/>
        <w:rPr>
          <w:sz w:val="18"/>
        </w:rPr>
      </w:pPr>
      <w:r>
        <w:rPr>
          <w:b/>
          <w:spacing w:val="-17"/>
          <w:w w:val="200"/>
          <w:sz w:val="18"/>
        </w:rPr>
        <w:t>t</w:t>
      </w:r>
      <w:r>
        <w:rPr>
          <w:b/>
          <w:sz w:val="18"/>
        </w:rPr>
        <w:t>alebi</w:t>
      </w:r>
      <w:r>
        <w:rPr>
          <w:sz w:val="18"/>
        </w:rPr>
        <w:t>, </w:t>
      </w:r>
      <w:r>
        <w:rPr>
          <w:spacing w:val="-10"/>
          <w:sz w:val="18"/>
        </w:rPr>
        <w:t> </w:t>
      </w:r>
      <w:r>
        <w:rPr>
          <w:spacing w:val="-1"/>
          <w:sz w:val="18"/>
        </w:rPr>
        <w:t>S.</w:t>
      </w:r>
      <w:r>
        <w:rPr>
          <w:sz w:val="18"/>
        </w:rPr>
        <w:t>, </w:t>
      </w:r>
      <w:r>
        <w:rPr>
          <w:spacing w:val="-13"/>
          <w:sz w:val="18"/>
        </w:rPr>
        <w:t> </w:t>
      </w:r>
      <w:r>
        <w:rPr>
          <w:spacing w:val="-14"/>
          <w:sz w:val="18"/>
        </w:rPr>
        <w:t>T</w:t>
      </w:r>
      <w:r>
        <w:rPr>
          <w:sz w:val="18"/>
        </w:rPr>
        <w:t>.J. </w:t>
      </w:r>
      <w:r>
        <w:rPr>
          <w:spacing w:val="-9"/>
          <w:sz w:val="18"/>
        </w:rPr>
        <w:t> </w:t>
      </w:r>
      <w:r>
        <w:rPr>
          <w:sz w:val="18"/>
        </w:rPr>
        <w:t>Boone </w:t>
      </w:r>
      <w:r>
        <w:rPr>
          <w:spacing w:val="-10"/>
          <w:sz w:val="18"/>
        </w:rPr>
        <w:t> </w:t>
      </w:r>
      <w:r>
        <w:rPr>
          <w:sz w:val="18"/>
        </w:rPr>
        <w:t>and </w:t>
      </w:r>
      <w:r>
        <w:rPr>
          <w:spacing w:val="-10"/>
          <w:sz w:val="18"/>
        </w:rPr>
        <w:t> </w:t>
      </w:r>
      <w:r>
        <w:rPr>
          <w:spacing w:val="-1"/>
          <w:sz w:val="18"/>
        </w:rPr>
        <w:t>J.E</w:t>
      </w:r>
      <w:r>
        <w:rPr>
          <w:sz w:val="18"/>
        </w:rPr>
        <w:t>. </w:t>
      </w:r>
      <w:r>
        <w:rPr>
          <w:spacing w:val="-10"/>
          <w:sz w:val="18"/>
        </w:rPr>
        <w:t> </w:t>
      </w:r>
      <w:r>
        <w:rPr>
          <w:sz w:val="18"/>
        </w:rPr>
        <w:t>Eastwood, </w:t>
      </w:r>
      <w:r>
        <w:rPr>
          <w:spacing w:val="-10"/>
          <w:sz w:val="18"/>
        </w:rPr>
        <w:t> </w:t>
      </w:r>
      <w:r>
        <w:rPr>
          <w:sz w:val="18"/>
        </w:rPr>
        <w:t>1998: </w:t>
      </w:r>
      <w:r>
        <w:rPr>
          <w:spacing w:val="-10"/>
          <w:sz w:val="18"/>
        </w:rPr>
        <w:t> </w:t>
      </w:r>
      <w:r>
        <w:rPr>
          <w:sz w:val="18"/>
        </w:rPr>
        <w:t>Injection </w:t>
      </w:r>
      <w:r>
        <w:rPr>
          <w:spacing w:val="-10"/>
          <w:sz w:val="18"/>
        </w:rPr>
        <w:t> </w:t>
      </w:r>
      <w:r>
        <w:rPr>
          <w:sz w:val="18"/>
        </w:rPr>
        <w:t>induced microseismicity</w:t>
      </w:r>
      <w:r>
        <w:rPr>
          <w:spacing w:val="-16"/>
          <w:sz w:val="18"/>
        </w:rPr>
        <w:t> </w:t>
      </w:r>
      <w:r>
        <w:rPr>
          <w:sz w:val="18"/>
        </w:rPr>
        <w:t>in</w:t>
      </w:r>
      <w:r>
        <w:rPr>
          <w:spacing w:val="-15"/>
          <w:sz w:val="18"/>
        </w:rPr>
        <w:t> </w:t>
      </w:r>
      <w:r>
        <w:rPr>
          <w:sz w:val="18"/>
        </w:rPr>
        <w:t>Colorado</w:t>
      </w:r>
      <w:r>
        <w:rPr>
          <w:spacing w:val="-15"/>
          <w:sz w:val="18"/>
        </w:rPr>
        <w:t> </w:t>
      </w:r>
      <w:r>
        <w:rPr>
          <w:sz w:val="18"/>
        </w:rPr>
        <w:t>shales.</w:t>
      </w:r>
      <w:r>
        <w:rPr>
          <w:spacing w:val="-15"/>
          <w:sz w:val="18"/>
        </w:rPr>
        <w:t> </w:t>
      </w:r>
      <w:r>
        <w:rPr>
          <w:i/>
          <w:sz w:val="18"/>
        </w:rPr>
        <w:t>Pure</w:t>
      </w:r>
      <w:r>
        <w:rPr>
          <w:i/>
          <w:spacing w:val="-15"/>
          <w:sz w:val="18"/>
        </w:rPr>
        <w:t> </w:t>
      </w:r>
      <w:r>
        <w:rPr>
          <w:i/>
          <w:sz w:val="18"/>
        </w:rPr>
        <w:t>and</w:t>
      </w:r>
      <w:r>
        <w:rPr>
          <w:i/>
          <w:spacing w:val="-18"/>
          <w:sz w:val="18"/>
        </w:rPr>
        <w:t> </w:t>
      </w:r>
      <w:r>
        <w:rPr>
          <w:i/>
          <w:sz w:val="18"/>
        </w:rPr>
        <w:t>Applied</w:t>
      </w:r>
      <w:r>
        <w:rPr>
          <w:i/>
          <w:spacing w:val="-15"/>
          <w:sz w:val="18"/>
        </w:rPr>
        <w:t> </w:t>
      </w:r>
      <w:r>
        <w:rPr>
          <w:i/>
          <w:sz w:val="18"/>
        </w:rPr>
        <w:t>Geophysics, </w:t>
      </w:r>
      <w:r>
        <w:rPr>
          <w:b/>
          <w:sz w:val="18"/>
        </w:rPr>
        <w:t>153</w:t>
      </w:r>
      <w:r>
        <w:rPr>
          <w:sz w:val="18"/>
        </w:rPr>
        <w:t>,</w:t>
      </w:r>
      <w:r>
        <w:rPr>
          <w:spacing w:val="-1"/>
          <w:sz w:val="18"/>
        </w:rPr>
        <w:t> </w:t>
      </w:r>
      <w:r>
        <w:rPr>
          <w:sz w:val="18"/>
        </w:rPr>
        <w:t>95–111.</w:t>
      </w:r>
    </w:p>
    <w:p>
      <w:pPr>
        <w:spacing w:line="230" w:lineRule="auto" w:before="3"/>
        <w:ind w:left="894" w:right="0" w:hanging="341"/>
        <w:jc w:val="both"/>
        <w:rPr>
          <w:sz w:val="18"/>
        </w:rPr>
      </w:pPr>
      <w:r>
        <w:rPr/>
        <w:pict>
          <v:shape style="position:absolute;margin-left:207.155197pt;margin-top:19.366381pt;width:40.6pt;height:5.25pt;mso-position-horizontal-relative:page;mso-position-vertical-relative:paragraph;z-index:-258806784" type="#_x0000_t202" filled="false" stroked="false">
            <v:textbox inset="0,0,0,0">
              <w:txbxContent>
                <w:p>
                  <w:pPr>
                    <w:tabs>
                      <w:tab w:pos="646" w:val="left" w:leader="none"/>
                    </w:tabs>
                    <w:spacing w:line="100" w:lineRule="exact" w:before="0"/>
                    <w:ind w:left="0" w:right="0" w:firstLine="0"/>
                    <w:jc w:val="left"/>
                    <w:rPr>
                      <w:sz w:val="10"/>
                    </w:rPr>
                  </w:pPr>
                  <w:r>
                    <w:rPr>
                      <w:w w:val="105"/>
                      <w:sz w:val="10"/>
                    </w:rPr>
                    <w:t>1/3     </w:t>
                  </w:r>
                  <w:r>
                    <w:rPr>
                      <w:spacing w:val="11"/>
                      <w:w w:val="105"/>
                      <w:sz w:val="10"/>
                    </w:rPr>
                    <w:t> </w:t>
                  </w:r>
                  <w:r>
                    <w:rPr>
                      <w:w w:val="105"/>
                      <w:sz w:val="10"/>
                    </w:rPr>
                    <w:t>2</w:t>
                    <w:tab/>
                    <w:t>4</w:t>
                  </w:r>
                  <w:r>
                    <w:rPr>
                      <w:spacing w:val="7"/>
                      <w:w w:val="105"/>
                      <w:sz w:val="10"/>
                    </w:rPr>
                    <w:t> </w:t>
                  </w:r>
                  <w:r>
                    <w:rPr>
                      <w:spacing w:val="-19"/>
                      <w:w w:val="105"/>
                      <w:sz w:val="10"/>
                    </w:rPr>
                    <w:t>3</w:t>
                  </w:r>
                </w:p>
              </w:txbxContent>
            </v:textbox>
            <w10:wrap type="none"/>
          </v:shape>
        </w:pict>
      </w:r>
      <w:r>
        <w:rPr>
          <w:b/>
          <w:w w:val="200"/>
          <w:sz w:val="18"/>
        </w:rPr>
        <w:t>t</w:t>
      </w:r>
      <w:r>
        <w:rPr>
          <w:b/>
          <w:sz w:val="18"/>
        </w:rPr>
        <w:t>amura</w:t>
      </w:r>
      <w:r>
        <w:rPr>
          <w:sz w:val="18"/>
        </w:rPr>
        <w:t>, S., N. Imanaka, M. Kamikawa and G. Adachi, 2001: A CO</w:t>
      </w:r>
      <w:r>
        <w:rPr>
          <w:w w:val="104"/>
          <w:position w:val="-5"/>
          <w:sz w:val="10"/>
        </w:rPr>
        <w:t>2 </w:t>
      </w:r>
      <w:r>
        <w:rPr>
          <w:sz w:val="18"/>
        </w:rPr>
        <w:t>sensor based on a Sc</w:t>
      </w:r>
      <w:r>
        <w:rPr>
          <w:position w:val="6"/>
          <w:sz w:val="10"/>
        </w:rPr>
        <w:t>3+ </w:t>
      </w:r>
      <w:r>
        <w:rPr>
          <w:sz w:val="18"/>
        </w:rPr>
        <w:t>conducting Sc Zr (PO ) solid electrolyte.</w:t>
      </w:r>
    </w:p>
    <w:p>
      <w:pPr>
        <w:spacing w:before="35"/>
        <w:ind w:left="894" w:right="0" w:firstLine="0"/>
        <w:jc w:val="both"/>
        <w:rPr>
          <w:sz w:val="18"/>
        </w:rPr>
      </w:pPr>
      <w:r>
        <w:rPr>
          <w:i/>
          <w:sz w:val="18"/>
        </w:rPr>
        <w:t>Sensors and Actuators B, </w:t>
      </w:r>
      <w:r>
        <w:rPr>
          <w:b/>
          <w:sz w:val="18"/>
        </w:rPr>
        <w:t>73</w:t>
      </w:r>
      <w:r>
        <w:rPr>
          <w:sz w:val="18"/>
        </w:rPr>
        <w:t>, 205–210.</w:t>
      </w:r>
    </w:p>
    <w:p>
      <w:pPr>
        <w:spacing w:line="240" w:lineRule="exact" w:before="9"/>
        <w:ind w:left="894" w:right="0" w:hanging="341"/>
        <w:jc w:val="both"/>
        <w:rPr>
          <w:sz w:val="18"/>
        </w:rPr>
      </w:pPr>
      <w:r>
        <w:rPr>
          <w:b/>
          <w:spacing w:val="-17"/>
          <w:w w:val="200"/>
          <w:sz w:val="18"/>
        </w:rPr>
        <w:t>t</w:t>
      </w:r>
      <w:r>
        <w:rPr>
          <w:b/>
          <w:sz w:val="18"/>
        </w:rPr>
        <w:t>anaka</w:t>
      </w:r>
      <w:r>
        <w:rPr>
          <w:sz w:val="18"/>
        </w:rPr>
        <w:t>,  </w:t>
      </w:r>
      <w:r>
        <w:rPr>
          <w:spacing w:val="-9"/>
          <w:sz w:val="18"/>
        </w:rPr>
        <w:t> </w:t>
      </w:r>
      <w:r>
        <w:rPr>
          <w:spacing w:val="-1"/>
          <w:sz w:val="18"/>
        </w:rPr>
        <w:t>S.</w:t>
      </w:r>
      <w:r>
        <w:rPr>
          <w:sz w:val="18"/>
        </w:rPr>
        <w:t>,  </w:t>
      </w:r>
      <w:r>
        <w:rPr>
          <w:spacing w:val="-9"/>
          <w:sz w:val="18"/>
        </w:rPr>
        <w:t> </w:t>
      </w:r>
      <w:r>
        <w:rPr>
          <w:spacing w:val="-1"/>
          <w:sz w:val="18"/>
        </w:rPr>
        <w:t>H</w:t>
      </w:r>
      <w:r>
        <w:rPr>
          <w:sz w:val="18"/>
        </w:rPr>
        <w:t>.  </w:t>
      </w:r>
      <w:r>
        <w:rPr>
          <w:spacing w:val="-9"/>
          <w:sz w:val="18"/>
        </w:rPr>
        <w:t> </w:t>
      </w:r>
      <w:r>
        <w:rPr>
          <w:spacing w:val="-1"/>
          <w:sz w:val="18"/>
        </w:rPr>
        <w:t>Koid</w:t>
      </w:r>
      <w:r>
        <w:rPr>
          <w:sz w:val="18"/>
        </w:rPr>
        <w:t>e  </w:t>
      </w:r>
      <w:r>
        <w:rPr>
          <w:spacing w:val="-9"/>
          <w:sz w:val="18"/>
        </w:rPr>
        <w:t> </w:t>
      </w:r>
      <w:r>
        <w:rPr>
          <w:sz w:val="18"/>
        </w:rPr>
        <w:t>and  </w:t>
      </w:r>
      <w:r>
        <w:rPr>
          <w:spacing w:val="-19"/>
          <w:sz w:val="18"/>
        </w:rPr>
        <w:t> </w:t>
      </w:r>
      <w:r>
        <w:rPr>
          <w:spacing w:val="-1"/>
          <w:sz w:val="18"/>
        </w:rPr>
        <w:t>A</w:t>
      </w:r>
      <w:r>
        <w:rPr>
          <w:sz w:val="18"/>
        </w:rPr>
        <w:t>.  </w:t>
      </w:r>
      <w:r>
        <w:rPr>
          <w:spacing w:val="-9"/>
          <w:sz w:val="18"/>
        </w:rPr>
        <w:t> </w:t>
      </w:r>
      <w:r>
        <w:rPr>
          <w:spacing w:val="-1"/>
          <w:sz w:val="18"/>
        </w:rPr>
        <w:t>Sasagawa</w:t>
      </w:r>
      <w:r>
        <w:rPr>
          <w:sz w:val="18"/>
        </w:rPr>
        <w:t>,  </w:t>
      </w:r>
      <w:r>
        <w:rPr>
          <w:spacing w:val="-9"/>
          <w:sz w:val="18"/>
        </w:rPr>
        <w:t> </w:t>
      </w:r>
      <w:r>
        <w:rPr>
          <w:sz w:val="18"/>
        </w:rPr>
        <w:t>1995:  </w:t>
      </w:r>
      <w:r>
        <w:rPr>
          <w:spacing w:val="-9"/>
          <w:sz w:val="18"/>
        </w:rPr>
        <w:t> </w:t>
      </w:r>
      <w:r>
        <w:rPr>
          <w:spacing w:val="-1"/>
          <w:sz w:val="18"/>
        </w:rPr>
        <w:t>Possibilit</w:t>
      </w:r>
      <w:r>
        <w:rPr>
          <w:sz w:val="18"/>
        </w:rPr>
        <w:t>y  </w:t>
      </w:r>
      <w:r>
        <w:rPr>
          <w:spacing w:val="-9"/>
          <w:sz w:val="18"/>
        </w:rPr>
        <w:t> </w:t>
      </w:r>
      <w:r>
        <w:rPr>
          <w:sz w:val="18"/>
        </w:rPr>
        <w:t>of underground CO</w:t>
      </w:r>
      <w:r>
        <w:rPr>
          <w:position w:val="-5"/>
          <w:sz w:val="10"/>
        </w:rPr>
        <w:t>2 </w:t>
      </w:r>
      <w:r>
        <w:rPr>
          <w:sz w:val="18"/>
        </w:rPr>
        <w:t>sequestration in Japan. </w:t>
      </w:r>
      <w:r>
        <w:rPr>
          <w:i/>
          <w:sz w:val="18"/>
        </w:rPr>
        <w:t>Energy Conversion and </w:t>
      </w:r>
      <w:r>
        <w:rPr>
          <w:i/>
          <w:sz w:val="18"/>
        </w:rPr>
        <w:t>Management, </w:t>
      </w:r>
      <w:r>
        <w:rPr>
          <w:b/>
          <w:sz w:val="18"/>
        </w:rPr>
        <w:t>36</w:t>
      </w:r>
      <w:r>
        <w:rPr>
          <w:sz w:val="18"/>
        </w:rPr>
        <w:t>(6–9), 527–530.</w:t>
      </w:r>
    </w:p>
    <w:p>
      <w:pPr>
        <w:spacing w:line="240" w:lineRule="exact" w:before="0"/>
        <w:ind w:left="894" w:right="0" w:hanging="341"/>
        <w:jc w:val="both"/>
        <w:rPr>
          <w:sz w:val="18"/>
        </w:rPr>
      </w:pPr>
      <w:r>
        <w:rPr>
          <w:b/>
          <w:spacing w:val="-17"/>
          <w:w w:val="200"/>
          <w:sz w:val="18"/>
        </w:rPr>
        <w:t>t</w:t>
      </w:r>
      <w:r>
        <w:rPr>
          <w:b/>
          <w:sz w:val="18"/>
        </w:rPr>
        <w:t>orp, </w:t>
      </w:r>
      <w:r>
        <w:rPr>
          <w:b/>
          <w:spacing w:val="-19"/>
          <w:sz w:val="18"/>
        </w:rPr>
        <w:t> </w:t>
      </w:r>
      <w:r>
        <w:rPr>
          <w:spacing w:val="-14"/>
          <w:sz w:val="18"/>
        </w:rPr>
        <w:t>T</w:t>
      </w:r>
      <w:r>
        <w:rPr>
          <w:sz w:val="18"/>
        </w:rPr>
        <w:t>. </w:t>
      </w:r>
      <w:r>
        <w:rPr>
          <w:spacing w:val="-19"/>
          <w:sz w:val="18"/>
        </w:rPr>
        <w:t> </w:t>
      </w:r>
      <w:r>
        <w:rPr>
          <w:sz w:val="18"/>
        </w:rPr>
        <w:t>and </w:t>
      </w:r>
      <w:r>
        <w:rPr>
          <w:spacing w:val="-19"/>
          <w:sz w:val="18"/>
        </w:rPr>
        <w:t> </w:t>
      </w:r>
      <w:r>
        <w:rPr>
          <w:spacing w:val="-1"/>
          <w:sz w:val="18"/>
        </w:rPr>
        <w:t>K.R</w:t>
      </w:r>
      <w:r>
        <w:rPr>
          <w:sz w:val="18"/>
        </w:rPr>
        <w:t>. </w:t>
      </w:r>
      <w:r>
        <w:rPr>
          <w:spacing w:val="-19"/>
          <w:sz w:val="18"/>
        </w:rPr>
        <w:t> </w:t>
      </w:r>
      <w:r>
        <w:rPr>
          <w:sz w:val="18"/>
        </w:rPr>
        <w:t>Brown, </w:t>
      </w:r>
      <w:r>
        <w:rPr>
          <w:spacing w:val="-19"/>
          <w:sz w:val="18"/>
        </w:rPr>
        <w:t> </w:t>
      </w:r>
      <w:r>
        <w:rPr>
          <w:sz w:val="18"/>
        </w:rPr>
        <w:t>2005: </w:t>
      </w:r>
      <w:r>
        <w:rPr>
          <w:spacing w:val="-19"/>
          <w:sz w:val="18"/>
        </w:rPr>
        <w:t> </w:t>
      </w:r>
      <w:r>
        <w:rPr>
          <w:sz w:val="18"/>
        </w:rPr>
        <w:t>C</w:t>
      </w:r>
      <w:r>
        <w:rPr>
          <w:spacing w:val="-1"/>
          <w:sz w:val="18"/>
        </w:rPr>
        <w:t>O</w:t>
      </w:r>
      <w:r>
        <w:rPr>
          <w:w w:val="104"/>
          <w:position w:val="-5"/>
          <w:sz w:val="10"/>
        </w:rPr>
        <w:t>2</w:t>
      </w:r>
      <w:r>
        <w:rPr>
          <w:position w:val="-5"/>
          <w:sz w:val="10"/>
        </w:rPr>
        <w:t>  </w:t>
      </w:r>
      <w:r>
        <w:rPr>
          <w:spacing w:val="-4"/>
          <w:position w:val="-5"/>
          <w:sz w:val="10"/>
        </w:rPr>
        <w:t> </w:t>
      </w:r>
      <w:r>
        <w:rPr>
          <w:sz w:val="18"/>
        </w:rPr>
        <w:t>unde</w:t>
      </w:r>
      <w:r>
        <w:rPr>
          <w:spacing w:val="-4"/>
          <w:sz w:val="18"/>
        </w:rPr>
        <w:t>r</w:t>
      </w:r>
      <w:r>
        <w:rPr>
          <w:sz w:val="18"/>
        </w:rPr>
        <w:t>ground </w:t>
      </w:r>
      <w:r>
        <w:rPr>
          <w:spacing w:val="-19"/>
          <w:sz w:val="18"/>
        </w:rPr>
        <w:t> </w:t>
      </w:r>
      <w:r>
        <w:rPr>
          <w:spacing w:val="-1"/>
          <w:sz w:val="18"/>
        </w:rPr>
        <w:t>storag</w:t>
      </w:r>
      <w:r>
        <w:rPr>
          <w:sz w:val="18"/>
        </w:rPr>
        <w:t>e </w:t>
      </w:r>
      <w:r>
        <w:rPr>
          <w:spacing w:val="-20"/>
          <w:sz w:val="18"/>
        </w:rPr>
        <w:t> </w:t>
      </w:r>
      <w:r>
        <w:rPr>
          <w:sz w:val="18"/>
        </w:rPr>
        <w:t>costs </w:t>
      </w:r>
      <w:r>
        <w:rPr>
          <w:spacing w:val="-19"/>
          <w:sz w:val="18"/>
        </w:rPr>
        <w:t> </w:t>
      </w:r>
      <w:r>
        <w:rPr>
          <w:sz w:val="18"/>
        </w:rPr>
        <w:t>as experienced at Sleipner and Weyburn. Proceedings of the 7</w:t>
      </w:r>
      <w:r>
        <w:rPr>
          <w:position w:val="6"/>
          <w:sz w:val="10"/>
        </w:rPr>
        <w:t>th </w:t>
      </w:r>
      <w:r>
        <w:rPr>
          <w:sz w:val="18"/>
        </w:rPr>
        <w:t>International</w:t>
      </w:r>
      <w:r>
        <w:rPr>
          <w:spacing w:val="-24"/>
          <w:sz w:val="18"/>
        </w:rPr>
        <w:t> </w:t>
      </w:r>
      <w:r>
        <w:rPr>
          <w:sz w:val="18"/>
        </w:rPr>
        <w:t>Conference</w:t>
      </w:r>
      <w:r>
        <w:rPr>
          <w:spacing w:val="-24"/>
          <w:sz w:val="18"/>
        </w:rPr>
        <w:t> </w:t>
      </w:r>
      <w:r>
        <w:rPr>
          <w:sz w:val="18"/>
        </w:rPr>
        <w:t>on</w:t>
      </w:r>
      <w:r>
        <w:rPr>
          <w:spacing w:val="-24"/>
          <w:sz w:val="18"/>
        </w:rPr>
        <w:t> </w:t>
      </w:r>
      <w:r>
        <w:rPr>
          <w:sz w:val="18"/>
        </w:rPr>
        <w:t>Greenhouse</w:t>
      </w:r>
      <w:r>
        <w:rPr>
          <w:spacing w:val="-23"/>
          <w:sz w:val="18"/>
        </w:rPr>
        <w:t> </w:t>
      </w:r>
      <w:r>
        <w:rPr>
          <w:sz w:val="18"/>
        </w:rPr>
        <w:t>Gas</w:t>
      </w:r>
      <w:r>
        <w:rPr>
          <w:spacing w:val="-24"/>
          <w:sz w:val="18"/>
        </w:rPr>
        <w:t> </w:t>
      </w:r>
      <w:r>
        <w:rPr>
          <w:sz w:val="18"/>
        </w:rPr>
        <w:t>Control</w:t>
      </w:r>
      <w:r>
        <w:rPr>
          <w:spacing w:val="-27"/>
          <w:sz w:val="18"/>
        </w:rPr>
        <w:t> </w:t>
      </w:r>
      <w:r>
        <w:rPr>
          <w:sz w:val="18"/>
        </w:rPr>
        <w:t>Technologies (GHGT-7), September 5–9, 2004, </w:t>
      </w:r>
      <w:r>
        <w:rPr>
          <w:spacing w:val="-3"/>
          <w:sz w:val="18"/>
        </w:rPr>
        <w:t>Vancouver, </w:t>
      </w:r>
      <w:r>
        <w:rPr>
          <w:sz w:val="18"/>
        </w:rPr>
        <w:t>Canada, </w:t>
      </w:r>
      <w:r>
        <w:rPr>
          <w:spacing w:val="-3"/>
          <w:sz w:val="18"/>
        </w:rPr>
        <w:t>v.I, </w:t>
      </w:r>
      <w:r>
        <w:rPr>
          <w:sz w:val="18"/>
        </w:rPr>
        <w:t>531-540.</w:t>
      </w:r>
    </w:p>
    <w:p>
      <w:pPr>
        <w:spacing w:line="240" w:lineRule="exact" w:before="0"/>
        <w:ind w:left="894" w:right="0" w:hanging="341"/>
        <w:jc w:val="both"/>
        <w:rPr>
          <w:sz w:val="18"/>
        </w:rPr>
      </w:pPr>
      <w:r>
        <w:rPr>
          <w:b/>
          <w:spacing w:val="-17"/>
          <w:w w:val="200"/>
          <w:sz w:val="18"/>
        </w:rPr>
        <w:t>t</w:t>
      </w:r>
      <w:r>
        <w:rPr>
          <w:b/>
          <w:sz w:val="18"/>
        </w:rPr>
        <w:t>orp</w:t>
      </w:r>
      <w:r>
        <w:rPr>
          <w:sz w:val="18"/>
        </w:rPr>
        <w:t>, </w:t>
      </w:r>
      <w:r>
        <w:rPr>
          <w:spacing w:val="4"/>
          <w:sz w:val="18"/>
        </w:rPr>
        <w:t> </w:t>
      </w:r>
      <w:r>
        <w:rPr>
          <w:spacing w:val="-14"/>
          <w:sz w:val="18"/>
        </w:rPr>
        <w:t>T</w:t>
      </w:r>
      <w:r>
        <w:rPr>
          <w:sz w:val="18"/>
        </w:rPr>
        <w:t>.A. </w:t>
      </w:r>
      <w:r>
        <w:rPr>
          <w:spacing w:val="8"/>
          <w:sz w:val="18"/>
        </w:rPr>
        <w:t> </w:t>
      </w:r>
      <w:r>
        <w:rPr>
          <w:sz w:val="18"/>
        </w:rPr>
        <w:t>and </w:t>
      </w:r>
      <w:r>
        <w:rPr>
          <w:spacing w:val="8"/>
          <w:sz w:val="18"/>
        </w:rPr>
        <w:t> </w:t>
      </w:r>
      <w:r>
        <w:rPr>
          <w:spacing w:val="-1"/>
          <w:sz w:val="18"/>
        </w:rPr>
        <w:t>J</w:t>
      </w:r>
      <w:r>
        <w:rPr>
          <w:sz w:val="18"/>
        </w:rPr>
        <w:t>. </w:t>
      </w:r>
      <w:r>
        <w:rPr>
          <w:spacing w:val="8"/>
          <w:sz w:val="18"/>
        </w:rPr>
        <w:t> </w:t>
      </w:r>
      <w:r>
        <w:rPr>
          <w:spacing w:val="-1"/>
          <w:sz w:val="18"/>
        </w:rPr>
        <w:t>Gale</w:t>
      </w:r>
      <w:r>
        <w:rPr>
          <w:sz w:val="18"/>
        </w:rPr>
        <w:t>, </w:t>
      </w:r>
      <w:r>
        <w:rPr>
          <w:spacing w:val="8"/>
          <w:sz w:val="18"/>
        </w:rPr>
        <w:t> </w:t>
      </w:r>
      <w:r>
        <w:rPr>
          <w:sz w:val="18"/>
        </w:rPr>
        <w:t>2003: </w:t>
      </w:r>
      <w:r>
        <w:rPr>
          <w:spacing w:val="8"/>
          <w:sz w:val="18"/>
        </w:rPr>
        <w:t> </w:t>
      </w:r>
      <w:r>
        <w:rPr>
          <w:spacing w:val="-1"/>
          <w:sz w:val="18"/>
        </w:rPr>
        <w:t>Demonstratin</w:t>
      </w:r>
      <w:r>
        <w:rPr>
          <w:sz w:val="18"/>
        </w:rPr>
        <w:t>g </w:t>
      </w:r>
      <w:r>
        <w:rPr>
          <w:spacing w:val="7"/>
          <w:sz w:val="18"/>
        </w:rPr>
        <w:t> </w:t>
      </w:r>
      <w:r>
        <w:rPr>
          <w:spacing w:val="-1"/>
          <w:sz w:val="18"/>
        </w:rPr>
        <w:t>storag</w:t>
      </w:r>
      <w:r>
        <w:rPr>
          <w:sz w:val="18"/>
        </w:rPr>
        <w:t>e </w:t>
      </w:r>
      <w:r>
        <w:rPr>
          <w:spacing w:val="8"/>
          <w:sz w:val="18"/>
        </w:rPr>
        <w:t> </w:t>
      </w:r>
      <w:r>
        <w:rPr>
          <w:sz w:val="18"/>
        </w:rPr>
        <w:t>of </w:t>
      </w:r>
      <w:r>
        <w:rPr>
          <w:spacing w:val="8"/>
          <w:sz w:val="18"/>
        </w:rPr>
        <w:t> </w:t>
      </w:r>
      <w:r>
        <w:rPr>
          <w:sz w:val="18"/>
        </w:rPr>
        <w:t>C</w:t>
      </w:r>
      <w:r>
        <w:rPr>
          <w:spacing w:val="1"/>
          <w:sz w:val="18"/>
        </w:rPr>
        <w:t>O</w:t>
      </w:r>
      <w:r>
        <w:rPr>
          <w:w w:val="104"/>
          <w:position w:val="-5"/>
          <w:sz w:val="10"/>
        </w:rPr>
        <w:t>2</w:t>
      </w:r>
      <w:r>
        <w:rPr>
          <w:position w:val="-5"/>
          <w:sz w:val="10"/>
        </w:rPr>
        <w:t>   </w:t>
      </w:r>
      <w:r>
        <w:rPr>
          <w:spacing w:val="-2"/>
          <w:position w:val="-5"/>
          <w:sz w:val="10"/>
        </w:rPr>
        <w:t> </w:t>
      </w:r>
      <w:r>
        <w:rPr>
          <w:sz w:val="18"/>
        </w:rPr>
        <w:t>in geological</w:t>
      </w:r>
      <w:r>
        <w:rPr>
          <w:spacing w:val="-21"/>
          <w:sz w:val="18"/>
        </w:rPr>
        <w:t> </w:t>
      </w:r>
      <w:r>
        <w:rPr>
          <w:sz w:val="18"/>
        </w:rPr>
        <w:t>reservoirs:</w:t>
      </w:r>
      <w:r>
        <w:rPr>
          <w:spacing w:val="-21"/>
          <w:sz w:val="18"/>
        </w:rPr>
        <w:t> </w:t>
      </w:r>
      <w:r>
        <w:rPr>
          <w:sz w:val="18"/>
        </w:rPr>
        <w:t>the</w:t>
      </w:r>
      <w:r>
        <w:rPr>
          <w:spacing w:val="-20"/>
          <w:sz w:val="18"/>
        </w:rPr>
        <w:t> </w:t>
      </w:r>
      <w:r>
        <w:rPr>
          <w:sz w:val="18"/>
        </w:rPr>
        <w:t>Sleipner</w:t>
      </w:r>
      <w:r>
        <w:rPr>
          <w:spacing w:val="-21"/>
          <w:sz w:val="18"/>
        </w:rPr>
        <w:t> </w:t>
      </w:r>
      <w:r>
        <w:rPr>
          <w:sz w:val="18"/>
        </w:rPr>
        <w:t>and</w:t>
      </w:r>
      <w:r>
        <w:rPr>
          <w:spacing w:val="-21"/>
          <w:sz w:val="18"/>
        </w:rPr>
        <w:t> </w:t>
      </w:r>
      <w:r>
        <w:rPr>
          <w:sz w:val="18"/>
        </w:rPr>
        <w:t>SACS</w:t>
      </w:r>
      <w:r>
        <w:rPr>
          <w:spacing w:val="-20"/>
          <w:sz w:val="18"/>
        </w:rPr>
        <w:t> </w:t>
      </w:r>
      <w:r>
        <w:rPr>
          <w:sz w:val="18"/>
        </w:rPr>
        <w:t>projects.</w:t>
      </w:r>
      <w:r>
        <w:rPr>
          <w:spacing w:val="-21"/>
          <w:sz w:val="18"/>
        </w:rPr>
        <w:t> </w:t>
      </w:r>
      <w:r>
        <w:rPr>
          <w:sz w:val="18"/>
        </w:rPr>
        <w:t>Proceedings 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Amsterdam, </w:t>
      </w:r>
      <w:r>
        <w:rPr>
          <w:spacing w:val="-3"/>
          <w:sz w:val="18"/>
        </w:rPr>
        <w:t>v.I,</w:t>
      </w:r>
      <w:r>
        <w:rPr>
          <w:spacing w:val="-23"/>
          <w:sz w:val="18"/>
        </w:rPr>
        <w:t> </w:t>
      </w:r>
      <w:r>
        <w:rPr>
          <w:sz w:val="18"/>
        </w:rPr>
        <w:t>311–316.</w:t>
      </w:r>
    </w:p>
    <w:p>
      <w:pPr>
        <w:spacing w:line="278" w:lineRule="auto" w:before="24"/>
        <w:ind w:left="894" w:right="1" w:hanging="341"/>
        <w:jc w:val="both"/>
        <w:rPr>
          <w:sz w:val="18"/>
        </w:rPr>
      </w:pPr>
      <w:r>
        <w:rPr>
          <w:b/>
          <w:spacing w:val="-3"/>
          <w:sz w:val="18"/>
        </w:rPr>
        <w:t>USEPA</w:t>
      </w:r>
      <w:r>
        <w:rPr>
          <w:spacing w:val="-3"/>
          <w:sz w:val="18"/>
        </w:rPr>
        <w:t>, </w:t>
      </w:r>
      <w:r>
        <w:rPr>
          <w:sz w:val="18"/>
        </w:rPr>
        <w:t>1994: Determination of Maximum Injection Pressure for Class I </w:t>
      </w:r>
      <w:r>
        <w:rPr>
          <w:spacing w:val="-3"/>
          <w:sz w:val="18"/>
        </w:rPr>
        <w:t>Wells. </w:t>
      </w:r>
      <w:r>
        <w:rPr>
          <w:sz w:val="18"/>
        </w:rPr>
        <w:t>Region 5 -- Underground Injection Control Section Regional Guidance #7.</w:t>
      </w:r>
    </w:p>
    <w:p>
      <w:pPr>
        <w:spacing w:line="278" w:lineRule="auto" w:before="0"/>
        <w:ind w:left="894" w:right="0" w:hanging="341"/>
        <w:jc w:val="both"/>
        <w:rPr>
          <w:sz w:val="18"/>
        </w:rPr>
      </w:pPr>
      <w:r>
        <w:rPr>
          <w:b/>
          <w:sz w:val="18"/>
        </w:rPr>
        <w:t>U.S. Geological Survey</w:t>
      </w:r>
      <w:r>
        <w:rPr>
          <w:sz w:val="18"/>
        </w:rPr>
        <w:t>, 2001a: U.S. Geological Survey </w:t>
      </w:r>
      <w:r>
        <w:rPr>
          <w:spacing w:val="-3"/>
          <w:sz w:val="18"/>
        </w:rPr>
        <w:t>World </w:t>
      </w:r>
      <w:r>
        <w:rPr>
          <w:sz w:val="18"/>
        </w:rPr>
        <w:t>Petroleum Assessment 2000 - Description and Results. U.S. Geological</w:t>
      </w:r>
      <w:r>
        <w:rPr>
          <w:spacing w:val="-26"/>
          <w:sz w:val="18"/>
        </w:rPr>
        <w:t> </w:t>
      </w:r>
      <w:r>
        <w:rPr>
          <w:sz w:val="18"/>
        </w:rPr>
        <w:t>Survey</w:t>
      </w:r>
      <w:r>
        <w:rPr>
          <w:spacing w:val="-26"/>
          <w:sz w:val="18"/>
        </w:rPr>
        <w:t> </w:t>
      </w:r>
      <w:r>
        <w:rPr>
          <w:sz w:val="18"/>
        </w:rPr>
        <w:t>Digital</w:t>
      </w:r>
      <w:r>
        <w:rPr>
          <w:spacing w:val="-26"/>
          <w:sz w:val="18"/>
        </w:rPr>
        <w:t> </w:t>
      </w:r>
      <w:r>
        <w:rPr>
          <w:sz w:val="18"/>
        </w:rPr>
        <w:t>Data</w:t>
      </w:r>
      <w:r>
        <w:rPr>
          <w:spacing w:val="-26"/>
          <w:sz w:val="18"/>
        </w:rPr>
        <w:t> </w:t>
      </w:r>
      <w:r>
        <w:rPr>
          <w:sz w:val="18"/>
        </w:rPr>
        <w:t>Series</w:t>
      </w:r>
      <w:r>
        <w:rPr>
          <w:spacing w:val="-26"/>
          <w:sz w:val="18"/>
        </w:rPr>
        <w:t> </w:t>
      </w:r>
      <w:r>
        <w:rPr>
          <w:sz w:val="18"/>
        </w:rPr>
        <w:t>-</w:t>
      </w:r>
      <w:r>
        <w:rPr>
          <w:spacing w:val="-26"/>
          <w:sz w:val="18"/>
        </w:rPr>
        <w:t> </w:t>
      </w:r>
      <w:r>
        <w:rPr>
          <w:sz w:val="18"/>
        </w:rPr>
        <w:t>DDS-60.</w:t>
      </w:r>
      <w:r>
        <w:rPr>
          <w:spacing w:val="-26"/>
          <w:sz w:val="18"/>
        </w:rPr>
        <w:t> </w:t>
      </w:r>
      <w:hyperlink r:id="rId269">
        <w:r>
          <w:rPr>
            <w:sz w:val="18"/>
          </w:rPr>
          <w:t>http://greenwood.</w:t>
        </w:r>
      </w:hyperlink>
      <w:r>
        <w:rPr>
          <w:sz w:val="18"/>
        </w:rPr>
        <w:t> cr.usgs.gov/energy/WorldEnergy/DDS-60/.</w:t>
      </w:r>
    </w:p>
    <w:p>
      <w:pPr>
        <w:spacing w:line="278" w:lineRule="auto" w:before="0"/>
        <w:ind w:left="894" w:right="1" w:hanging="341"/>
        <w:jc w:val="both"/>
        <w:rPr>
          <w:sz w:val="18"/>
        </w:rPr>
      </w:pPr>
      <w:r>
        <w:rPr>
          <w:b/>
          <w:sz w:val="18"/>
        </w:rPr>
        <w:t>U.S. Geological  Survey</w:t>
      </w:r>
      <w:r>
        <w:rPr>
          <w:sz w:val="18"/>
        </w:rPr>
        <w:t>,  2001b:  U.S.  Geological  </w:t>
      </w:r>
      <w:r>
        <w:rPr>
          <w:spacing w:val="-3"/>
          <w:sz w:val="18"/>
        </w:rPr>
        <w:t>Survey,  </w:t>
      </w:r>
      <w:r>
        <w:rPr>
          <w:sz w:val="18"/>
        </w:rPr>
        <w:t>On-  line factsheet  172-96  </w:t>
      </w:r>
      <w:r>
        <w:rPr>
          <w:spacing w:val="-3"/>
          <w:sz w:val="18"/>
        </w:rPr>
        <w:t>Version  </w:t>
      </w:r>
      <w:r>
        <w:rPr>
          <w:sz w:val="18"/>
        </w:rPr>
        <w:t>2.  Invisible  Gas  Killing  Trees at Mammoth Mountain California. </w:t>
      </w:r>
      <w:hyperlink r:id="rId270">
        <w:r>
          <w:rPr>
            <w:sz w:val="18"/>
          </w:rPr>
          <w:t>http://wrgis.wr.usgs.</w:t>
        </w:r>
      </w:hyperlink>
      <w:r>
        <w:rPr>
          <w:sz w:val="18"/>
        </w:rPr>
        <w:t> gov/fact-sheet/fs172-96/.</w:t>
      </w:r>
    </w:p>
    <w:p>
      <w:pPr>
        <w:spacing w:line="278" w:lineRule="auto" w:before="0"/>
        <w:ind w:left="894" w:right="0" w:hanging="341"/>
        <w:jc w:val="both"/>
        <w:rPr>
          <w:sz w:val="18"/>
        </w:rPr>
      </w:pPr>
      <w:r>
        <w:rPr>
          <w:b/>
          <w:spacing w:val="-6"/>
          <w:sz w:val="18"/>
        </w:rPr>
        <w:t>van </w:t>
      </w:r>
      <w:r>
        <w:rPr>
          <w:b/>
          <w:sz w:val="18"/>
        </w:rPr>
        <w:t>Bergen</w:t>
      </w:r>
      <w:r>
        <w:rPr>
          <w:sz w:val="18"/>
        </w:rPr>
        <w:t>, </w:t>
      </w:r>
      <w:r>
        <w:rPr>
          <w:spacing w:val="-5"/>
          <w:sz w:val="18"/>
        </w:rPr>
        <w:t>F., </w:t>
      </w:r>
      <w:r>
        <w:rPr>
          <w:sz w:val="18"/>
        </w:rPr>
        <w:t>H.J.M. Pagnier, L.G.H. van der </w:t>
      </w:r>
      <w:r>
        <w:rPr>
          <w:spacing w:val="-3"/>
          <w:sz w:val="18"/>
        </w:rPr>
        <w:t>Meer,  F.J.G.  </w:t>
      </w:r>
      <w:r>
        <w:rPr>
          <w:sz w:val="18"/>
        </w:rPr>
        <w:t>van  den   Belt,   </w:t>
      </w:r>
      <w:r>
        <w:rPr>
          <w:spacing w:val="-4"/>
          <w:sz w:val="18"/>
        </w:rPr>
        <w:t>P.L.A.   </w:t>
      </w:r>
      <w:r>
        <w:rPr>
          <w:sz w:val="18"/>
        </w:rPr>
        <w:t>Winthaegen   and   R.S.   Westerhoff,</w:t>
      </w:r>
      <w:r>
        <w:rPr>
          <w:spacing w:val="40"/>
          <w:sz w:val="18"/>
        </w:rPr>
        <w:t> </w:t>
      </w:r>
      <w:r>
        <w:rPr>
          <w:spacing w:val="-3"/>
          <w:sz w:val="18"/>
        </w:rPr>
        <w:t>2003a:</w:t>
      </w:r>
    </w:p>
    <w:p>
      <w:pPr>
        <w:spacing w:line="230" w:lineRule="auto" w:before="3"/>
        <w:ind w:left="894" w:right="1" w:firstLine="0"/>
        <w:jc w:val="both"/>
        <w:rPr>
          <w:sz w:val="18"/>
        </w:rPr>
      </w:pPr>
      <w:r>
        <w:rPr>
          <w:sz w:val="18"/>
        </w:rPr>
        <w:t>Development of a field experiment of CO</w:t>
      </w:r>
      <w:r>
        <w:rPr>
          <w:position w:val="-5"/>
          <w:sz w:val="10"/>
        </w:rPr>
        <w:t>2 </w:t>
      </w:r>
      <w:r>
        <w:rPr>
          <w:sz w:val="18"/>
        </w:rPr>
        <w:t>storage in coal seams in the Upper Silesian Basin of Poland (RECOPOL).</w:t>
      </w:r>
      <w:r>
        <w:rPr>
          <w:spacing w:val="29"/>
          <w:sz w:val="18"/>
        </w:rPr>
        <w:t> </w:t>
      </w:r>
      <w:r>
        <w:rPr>
          <w:sz w:val="18"/>
        </w:rPr>
        <w:t>Proceedings</w:t>
      </w:r>
    </w:p>
    <w:p>
      <w:pPr>
        <w:spacing w:line="278" w:lineRule="auto" w:before="35"/>
        <w:ind w:left="894" w:right="1" w:firstLine="0"/>
        <w:jc w:val="both"/>
        <w:rPr>
          <w:sz w:val="18"/>
        </w:rPr>
      </w:pPr>
      <w:r>
        <w:rPr>
          <w:sz w:val="18"/>
        </w:rPr>
        <w:t>of the 6</w:t>
      </w:r>
      <w:r>
        <w:rPr>
          <w:position w:val="6"/>
          <w:sz w:val="10"/>
        </w:rPr>
        <w:t>th </w:t>
      </w:r>
      <w:r>
        <w:rPr>
          <w:sz w:val="18"/>
        </w:rPr>
        <w:t>International Conference on Greenhouse Gas Control Technologies (GHGT-6), J. Gale and </w:t>
      </w:r>
      <w:r>
        <w:rPr>
          <w:spacing w:val="-12"/>
          <w:sz w:val="18"/>
        </w:rPr>
        <w:t>Y. </w:t>
      </w:r>
      <w:r>
        <w:rPr>
          <w:sz w:val="18"/>
        </w:rPr>
        <w:t>Kaya (eds.), 1–4 October 2002, Kyoto, Japan, Pergamon, </w:t>
      </w:r>
      <w:r>
        <w:rPr>
          <w:spacing w:val="-3"/>
          <w:sz w:val="18"/>
        </w:rPr>
        <w:t>v.I, </w:t>
      </w:r>
      <w:r>
        <w:rPr>
          <w:sz w:val="18"/>
        </w:rPr>
        <w:t>569–574.</w:t>
      </w:r>
    </w:p>
    <w:p>
      <w:pPr>
        <w:spacing w:line="240" w:lineRule="exact" w:before="43"/>
        <w:ind w:left="539" w:right="134" w:hanging="341"/>
        <w:jc w:val="both"/>
        <w:rPr>
          <w:sz w:val="18"/>
        </w:rPr>
      </w:pPr>
      <w:r>
        <w:rPr/>
        <w:br w:type="column"/>
      </w:r>
      <w:r>
        <w:rPr>
          <w:b/>
          <w:spacing w:val="-6"/>
          <w:sz w:val="18"/>
        </w:rPr>
        <w:t>van </w:t>
      </w:r>
      <w:r>
        <w:rPr>
          <w:b/>
          <w:sz w:val="18"/>
        </w:rPr>
        <w:t>Bergen</w:t>
      </w:r>
      <w:r>
        <w:rPr>
          <w:sz w:val="18"/>
        </w:rPr>
        <w:t>, </w:t>
      </w:r>
      <w:r>
        <w:rPr>
          <w:spacing w:val="-5"/>
          <w:sz w:val="18"/>
        </w:rPr>
        <w:t>F., </w:t>
      </w:r>
      <w:r>
        <w:rPr>
          <w:spacing w:val="-3"/>
          <w:sz w:val="18"/>
        </w:rPr>
        <w:t>A.F.B. </w:t>
      </w:r>
      <w:r>
        <w:rPr>
          <w:sz w:val="18"/>
        </w:rPr>
        <w:t>Wildenborg, J. Gale and K.J. Damen, 2003b: Worldwide selection of early opportunities for CO</w:t>
      </w:r>
      <w:r>
        <w:rPr>
          <w:position w:val="-5"/>
          <w:sz w:val="10"/>
        </w:rPr>
        <w:t>2</w:t>
      </w:r>
      <w:r>
        <w:rPr>
          <w:sz w:val="18"/>
        </w:rPr>
        <w:t>-EOR</w:t>
      </w:r>
      <w:r>
        <w:rPr>
          <w:spacing w:val="27"/>
          <w:sz w:val="18"/>
        </w:rPr>
        <w:t> </w:t>
      </w:r>
      <w:r>
        <w:rPr>
          <w:sz w:val="18"/>
        </w:rPr>
        <w:t>and CO -ECBM. Proceedings of the 6</w:t>
      </w:r>
      <w:r>
        <w:rPr>
          <w:position w:val="6"/>
          <w:sz w:val="10"/>
        </w:rPr>
        <w:t>th </w:t>
      </w:r>
      <w:r>
        <w:rPr>
          <w:sz w:val="18"/>
        </w:rPr>
        <w:t>International Conference on Greenhouse Gas Control Technologies (GHGT-6), J. Gale</w:t>
      </w:r>
      <w:r>
        <w:rPr>
          <w:spacing w:val="-22"/>
          <w:sz w:val="18"/>
        </w:rPr>
        <w:t> </w:t>
      </w:r>
      <w:r>
        <w:rPr>
          <w:sz w:val="18"/>
        </w:rPr>
        <w:t>and</w:t>
      </w:r>
    </w:p>
    <w:p>
      <w:pPr>
        <w:spacing w:line="278" w:lineRule="auto" w:before="24"/>
        <w:ind w:left="539" w:right="137" w:firstLine="0"/>
        <w:jc w:val="both"/>
        <w:rPr>
          <w:sz w:val="18"/>
        </w:rPr>
      </w:pPr>
      <w:r>
        <w:rPr/>
        <w:pict>
          <v:shape style="position:absolute;margin-left:351.43161pt;margin-top:-15.335906pt;width:2.65pt;height:5.25pt;mso-position-horizontal-relative:page;mso-position-vertical-relative:paragraph;z-index:-258805760"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sz w:val="18"/>
        </w:rPr>
        <w:t>Y. Kaya (eds.), 1–4 October 2002, Kyoto, Japan, Pergamon, v.I, 639–644.</w:t>
      </w:r>
    </w:p>
    <w:p>
      <w:pPr>
        <w:spacing w:line="278" w:lineRule="auto" w:before="0"/>
        <w:ind w:left="539" w:right="135" w:hanging="341"/>
        <w:jc w:val="both"/>
        <w:rPr>
          <w:sz w:val="18"/>
        </w:rPr>
      </w:pPr>
      <w:r>
        <w:rPr>
          <w:b/>
          <w:sz w:val="18"/>
        </w:rPr>
        <w:t>van der Burgt</w:t>
      </w:r>
      <w:r>
        <w:rPr>
          <w:sz w:val="18"/>
        </w:rPr>
        <w:t>, M.J., J. Cantle and V.K. Boutkan, 1992: Carbon dioxide disposal from coal-based IGCC’s in depleted gas fields. </w:t>
      </w:r>
      <w:r>
        <w:rPr>
          <w:i/>
          <w:sz w:val="18"/>
        </w:rPr>
        <w:t>Energy Conversion and Management, </w:t>
      </w:r>
      <w:r>
        <w:rPr>
          <w:b/>
          <w:sz w:val="18"/>
        </w:rPr>
        <w:t>33</w:t>
      </w:r>
      <w:r>
        <w:rPr>
          <w:sz w:val="18"/>
        </w:rPr>
        <w:t>(5–8), 603–610.</w:t>
      </w:r>
    </w:p>
    <w:p>
      <w:pPr>
        <w:spacing w:line="278" w:lineRule="auto" w:before="0"/>
        <w:ind w:left="539" w:right="134" w:hanging="341"/>
        <w:jc w:val="both"/>
        <w:rPr>
          <w:sz w:val="18"/>
        </w:rPr>
      </w:pPr>
      <w:r>
        <w:rPr>
          <w:b/>
          <w:spacing w:val="-6"/>
          <w:sz w:val="18"/>
        </w:rPr>
        <w:t>van </w:t>
      </w:r>
      <w:r>
        <w:rPr>
          <w:b/>
          <w:sz w:val="18"/>
        </w:rPr>
        <w:t>der </w:t>
      </w:r>
      <w:r>
        <w:rPr>
          <w:b/>
          <w:spacing w:val="-4"/>
          <w:sz w:val="18"/>
        </w:rPr>
        <w:t>meer, </w:t>
      </w:r>
      <w:r>
        <w:rPr>
          <w:sz w:val="18"/>
        </w:rPr>
        <w:t>L.G.H., 1992: Investigation regarding the storage of carbon dioxide in aquifers in the Netherlands. </w:t>
      </w:r>
      <w:r>
        <w:rPr>
          <w:i/>
          <w:sz w:val="18"/>
        </w:rPr>
        <w:t>Energy</w:t>
      </w:r>
      <w:r>
        <w:rPr>
          <w:i/>
          <w:spacing w:val="-26"/>
          <w:sz w:val="18"/>
        </w:rPr>
        <w:t> </w:t>
      </w:r>
      <w:r>
        <w:rPr>
          <w:i/>
          <w:sz w:val="18"/>
        </w:rPr>
        <w:t>Conversion </w:t>
      </w:r>
      <w:r>
        <w:rPr>
          <w:i/>
          <w:sz w:val="18"/>
        </w:rPr>
        <w:t>and Management, </w:t>
      </w:r>
      <w:r>
        <w:rPr>
          <w:b/>
          <w:sz w:val="18"/>
        </w:rPr>
        <w:t>33</w:t>
      </w:r>
      <w:r>
        <w:rPr>
          <w:sz w:val="18"/>
        </w:rPr>
        <w:t>(5–8),</w:t>
      </w:r>
      <w:r>
        <w:rPr>
          <w:spacing w:val="-1"/>
          <w:sz w:val="18"/>
        </w:rPr>
        <w:t> </w:t>
      </w:r>
      <w:r>
        <w:rPr>
          <w:sz w:val="18"/>
        </w:rPr>
        <w:t>611–618.</w:t>
      </w:r>
    </w:p>
    <w:p>
      <w:pPr>
        <w:spacing w:line="245" w:lineRule="exact" w:before="0"/>
        <w:ind w:left="199" w:right="0" w:firstLine="0"/>
        <w:jc w:val="left"/>
        <w:rPr>
          <w:sz w:val="18"/>
        </w:rPr>
      </w:pPr>
      <w:r>
        <w:rPr>
          <w:b/>
          <w:sz w:val="18"/>
        </w:rPr>
        <w:t>van der meer</w:t>
      </w:r>
      <w:r>
        <w:rPr>
          <w:sz w:val="18"/>
        </w:rPr>
        <w:t>, L.G.H., 1995: The CO</w:t>
      </w:r>
      <w:r>
        <w:rPr>
          <w:position w:val="-5"/>
          <w:sz w:val="10"/>
        </w:rPr>
        <w:t>2 </w:t>
      </w:r>
      <w:r>
        <w:rPr>
          <w:sz w:val="18"/>
        </w:rPr>
        <w:t>storage efficiency of aquifers.</w:t>
      </w:r>
    </w:p>
    <w:p>
      <w:pPr>
        <w:spacing w:line="202" w:lineRule="exact" w:before="0"/>
        <w:ind w:left="539" w:right="0" w:firstLine="0"/>
        <w:jc w:val="both"/>
        <w:rPr>
          <w:sz w:val="18"/>
        </w:rPr>
      </w:pPr>
      <w:r>
        <w:rPr>
          <w:i/>
          <w:sz w:val="18"/>
        </w:rPr>
        <w:t>Energy Conversion and Management, </w:t>
      </w:r>
      <w:r>
        <w:rPr>
          <w:b/>
          <w:sz w:val="18"/>
        </w:rPr>
        <w:t>36</w:t>
      </w:r>
      <w:r>
        <w:rPr>
          <w:sz w:val="18"/>
        </w:rPr>
        <w:t>(6–9), 513–518.</w:t>
      </w:r>
    </w:p>
    <w:p>
      <w:pPr>
        <w:spacing w:line="240" w:lineRule="exact" w:before="8"/>
        <w:ind w:left="539" w:right="134" w:hanging="341"/>
        <w:jc w:val="both"/>
        <w:rPr>
          <w:sz w:val="18"/>
        </w:rPr>
      </w:pPr>
      <w:r>
        <w:rPr>
          <w:b/>
          <w:spacing w:val="-6"/>
          <w:sz w:val="18"/>
        </w:rPr>
        <w:t>van </w:t>
      </w:r>
      <w:r>
        <w:rPr>
          <w:b/>
          <w:sz w:val="18"/>
        </w:rPr>
        <w:t>der meer </w:t>
      </w:r>
      <w:r>
        <w:rPr>
          <w:sz w:val="18"/>
        </w:rPr>
        <w:t>L.G.H., 1996: Computer modeling of  underground CO</w:t>
      </w:r>
      <w:r>
        <w:rPr>
          <w:position w:val="-5"/>
          <w:sz w:val="10"/>
        </w:rPr>
        <w:t>2 </w:t>
      </w:r>
      <w:r>
        <w:rPr>
          <w:sz w:val="18"/>
        </w:rPr>
        <w:t>storage. </w:t>
      </w:r>
      <w:r>
        <w:rPr>
          <w:i/>
          <w:sz w:val="18"/>
        </w:rPr>
        <w:t>Energy Conversion and Management, </w:t>
      </w:r>
      <w:r>
        <w:rPr>
          <w:b/>
          <w:sz w:val="18"/>
        </w:rPr>
        <w:t>37</w:t>
      </w:r>
      <w:r>
        <w:rPr>
          <w:sz w:val="18"/>
        </w:rPr>
        <w:t>(6–8), 1155–1160.</w:t>
      </w:r>
    </w:p>
    <w:p>
      <w:pPr>
        <w:spacing w:line="240" w:lineRule="exact" w:before="0"/>
        <w:ind w:left="539" w:right="134" w:hanging="341"/>
        <w:jc w:val="both"/>
        <w:rPr>
          <w:sz w:val="18"/>
        </w:rPr>
      </w:pPr>
      <w:r>
        <w:rPr>
          <w:b/>
          <w:spacing w:val="-6"/>
          <w:sz w:val="18"/>
        </w:rPr>
        <w:t>van </w:t>
      </w:r>
      <w:r>
        <w:rPr>
          <w:b/>
          <w:sz w:val="18"/>
        </w:rPr>
        <w:t>der meer</w:t>
      </w:r>
      <w:r>
        <w:rPr>
          <w:sz w:val="18"/>
        </w:rPr>
        <w:t>, L.G.H., R.J. Arts and L. Paterson, 2001: Prediction of migration of CO</w:t>
      </w:r>
      <w:r>
        <w:rPr>
          <w:position w:val="-5"/>
          <w:sz w:val="10"/>
        </w:rPr>
        <w:t>2 </w:t>
      </w:r>
      <w:r>
        <w:rPr>
          <w:sz w:val="18"/>
        </w:rPr>
        <w:t>after injection into a saline aquifer: reservoir history</w:t>
      </w:r>
      <w:r>
        <w:rPr>
          <w:spacing w:val="-5"/>
          <w:sz w:val="18"/>
        </w:rPr>
        <w:t> </w:t>
      </w:r>
      <w:r>
        <w:rPr>
          <w:sz w:val="18"/>
        </w:rPr>
        <w:t>matching</w:t>
      </w:r>
      <w:r>
        <w:rPr>
          <w:spacing w:val="-5"/>
          <w:sz w:val="18"/>
        </w:rPr>
        <w:t> </w:t>
      </w:r>
      <w:r>
        <w:rPr>
          <w:sz w:val="18"/>
        </w:rPr>
        <w:t>of</w:t>
      </w:r>
      <w:r>
        <w:rPr>
          <w:spacing w:val="-5"/>
          <w:sz w:val="18"/>
        </w:rPr>
        <w:t> </w:t>
      </w:r>
      <w:r>
        <w:rPr>
          <w:sz w:val="18"/>
        </w:rPr>
        <w:t>a</w:t>
      </w:r>
      <w:r>
        <w:rPr>
          <w:spacing w:val="-5"/>
          <w:sz w:val="18"/>
        </w:rPr>
        <w:t> </w:t>
      </w:r>
      <w:r>
        <w:rPr>
          <w:sz w:val="18"/>
        </w:rPr>
        <w:t>4D</w:t>
      </w:r>
      <w:r>
        <w:rPr>
          <w:spacing w:val="-5"/>
          <w:sz w:val="18"/>
        </w:rPr>
        <w:t> </w:t>
      </w:r>
      <w:r>
        <w:rPr>
          <w:sz w:val="18"/>
        </w:rPr>
        <w:t>seismic</w:t>
      </w:r>
      <w:r>
        <w:rPr>
          <w:spacing w:val="-5"/>
          <w:sz w:val="18"/>
        </w:rPr>
        <w:t> </w:t>
      </w:r>
      <w:r>
        <w:rPr>
          <w:sz w:val="18"/>
        </w:rPr>
        <w:t>image</w:t>
      </w:r>
      <w:r>
        <w:rPr>
          <w:spacing w:val="-5"/>
          <w:sz w:val="18"/>
        </w:rPr>
        <w:t> </w:t>
      </w:r>
      <w:r>
        <w:rPr>
          <w:sz w:val="18"/>
        </w:rPr>
        <w:t>with</w:t>
      </w:r>
      <w:r>
        <w:rPr>
          <w:spacing w:val="-4"/>
          <w:sz w:val="18"/>
        </w:rPr>
        <w:t> </w:t>
      </w:r>
      <w:r>
        <w:rPr>
          <w:sz w:val="18"/>
        </w:rPr>
        <w:t>a</w:t>
      </w:r>
      <w:r>
        <w:rPr>
          <w:spacing w:val="-5"/>
          <w:sz w:val="18"/>
        </w:rPr>
        <w:t> </w:t>
      </w:r>
      <w:r>
        <w:rPr>
          <w:sz w:val="18"/>
        </w:rPr>
        <w:t>compositional</w:t>
      </w:r>
      <w:r>
        <w:rPr>
          <w:spacing w:val="-5"/>
          <w:sz w:val="18"/>
        </w:rPr>
        <w:t> </w:t>
      </w:r>
      <w:r>
        <w:rPr>
          <w:sz w:val="18"/>
        </w:rPr>
        <w:t>gas/ water model. Proceedings of the 5</w:t>
      </w:r>
      <w:r>
        <w:rPr>
          <w:position w:val="6"/>
          <w:sz w:val="10"/>
        </w:rPr>
        <w:t>th </w:t>
      </w:r>
      <w:r>
        <w:rPr>
          <w:sz w:val="18"/>
        </w:rPr>
        <w:t>International Conference on Greenhouse Gas Control Technologies (GHGT-5), D.J.</w:t>
      </w:r>
      <w:r>
        <w:rPr>
          <w:spacing w:val="-31"/>
          <w:sz w:val="18"/>
        </w:rPr>
        <w:t> </w:t>
      </w:r>
      <w:r>
        <w:rPr>
          <w:sz w:val="18"/>
        </w:rPr>
        <w:t>Williams,</w:t>
      </w:r>
    </w:p>
    <w:p>
      <w:pPr>
        <w:spacing w:line="278" w:lineRule="auto" w:before="24"/>
        <w:ind w:left="539" w:right="136" w:firstLine="0"/>
        <w:jc w:val="both"/>
        <w:rPr>
          <w:sz w:val="18"/>
        </w:rPr>
      </w:pPr>
      <w:r>
        <w:rPr>
          <w:sz w:val="18"/>
        </w:rPr>
        <w:t>R.A. Durie, P. McMullan, C.A.J. Paulson and A.Y. Smith (eds.), 2001, CSIRO, Melbourne, Australia, 378–384.</w:t>
      </w:r>
    </w:p>
    <w:p>
      <w:pPr>
        <w:spacing w:line="207" w:lineRule="exact" w:before="0"/>
        <w:ind w:left="539" w:right="0" w:hanging="341"/>
        <w:jc w:val="both"/>
        <w:rPr>
          <w:sz w:val="18"/>
        </w:rPr>
      </w:pPr>
      <w:r>
        <w:rPr>
          <w:b/>
          <w:sz w:val="18"/>
        </w:rPr>
        <w:t>van der meer, </w:t>
      </w:r>
      <w:r>
        <w:rPr>
          <w:sz w:val="18"/>
        </w:rPr>
        <w:t>L.G.H., J. Hartman, C. Geel and E. Kreft, 2005:</w:t>
      </w:r>
    </w:p>
    <w:p>
      <w:pPr>
        <w:spacing w:line="240" w:lineRule="exact" w:before="9"/>
        <w:ind w:left="539" w:right="134" w:firstLine="0"/>
        <w:jc w:val="both"/>
        <w:rPr>
          <w:sz w:val="18"/>
        </w:rPr>
      </w:pPr>
      <w:r>
        <w:rPr>
          <w:sz w:val="18"/>
        </w:rPr>
        <w:t>Re-injecting CO</w:t>
      </w:r>
      <w:r>
        <w:rPr>
          <w:position w:val="-5"/>
          <w:sz w:val="10"/>
        </w:rPr>
        <w:t>2 </w:t>
      </w:r>
      <w:r>
        <w:rPr>
          <w:sz w:val="18"/>
        </w:rPr>
        <w:t>into an offshore gas reservoir at a depth of nearly 4000 metres sub-sea. Proceedings of the 7</w:t>
      </w:r>
      <w:r>
        <w:rPr>
          <w:position w:val="6"/>
          <w:sz w:val="10"/>
        </w:rPr>
        <w:t>th </w:t>
      </w:r>
      <w:r>
        <w:rPr>
          <w:sz w:val="18"/>
        </w:rPr>
        <w:t>International Conference</w:t>
      </w:r>
      <w:r>
        <w:rPr>
          <w:spacing w:val="-7"/>
          <w:sz w:val="18"/>
        </w:rPr>
        <w:t> </w:t>
      </w:r>
      <w:r>
        <w:rPr>
          <w:sz w:val="18"/>
        </w:rPr>
        <w:t>on</w:t>
      </w:r>
      <w:r>
        <w:rPr>
          <w:spacing w:val="-6"/>
          <w:sz w:val="18"/>
        </w:rPr>
        <w:t> </w:t>
      </w:r>
      <w:r>
        <w:rPr>
          <w:sz w:val="18"/>
        </w:rPr>
        <w:t>Greenhouse</w:t>
      </w:r>
      <w:r>
        <w:rPr>
          <w:spacing w:val="-7"/>
          <w:sz w:val="18"/>
        </w:rPr>
        <w:t> </w:t>
      </w:r>
      <w:r>
        <w:rPr>
          <w:sz w:val="18"/>
        </w:rPr>
        <w:t>Gas</w:t>
      </w:r>
      <w:r>
        <w:rPr>
          <w:spacing w:val="-6"/>
          <w:sz w:val="18"/>
        </w:rPr>
        <w:t> </w:t>
      </w:r>
      <w:r>
        <w:rPr>
          <w:sz w:val="18"/>
        </w:rPr>
        <w:t>Control</w:t>
      </w:r>
      <w:r>
        <w:rPr>
          <w:spacing w:val="-9"/>
          <w:sz w:val="18"/>
        </w:rPr>
        <w:t> </w:t>
      </w:r>
      <w:r>
        <w:rPr>
          <w:sz w:val="18"/>
        </w:rPr>
        <w:t>Technologies</w:t>
      </w:r>
      <w:r>
        <w:rPr>
          <w:spacing w:val="-7"/>
          <w:sz w:val="18"/>
        </w:rPr>
        <w:t> </w:t>
      </w:r>
      <w:r>
        <w:rPr>
          <w:sz w:val="18"/>
        </w:rPr>
        <w:t>(GHGT-7), September 5–9, 2004, </w:t>
      </w:r>
      <w:r>
        <w:rPr>
          <w:spacing w:val="-3"/>
          <w:sz w:val="18"/>
        </w:rPr>
        <w:t>Vancouver, </w:t>
      </w:r>
      <w:r>
        <w:rPr>
          <w:sz w:val="18"/>
        </w:rPr>
        <w:t>Canada, </w:t>
      </w:r>
      <w:r>
        <w:rPr>
          <w:spacing w:val="-3"/>
          <w:sz w:val="18"/>
        </w:rPr>
        <w:t>v.I,</w:t>
      </w:r>
      <w:r>
        <w:rPr>
          <w:spacing w:val="-4"/>
          <w:sz w:val="18"/>
        </w:rPr>
        <w:t> </w:t>
      </w:r>
      <w:r>
        <w:rPr>
          <w:sz w:val="18"/>
        </w:rPr>
        <w:t>521-530.</w:t>
      </w:r>
    </w:p>
    <w:p>
      <w:pPr>
        <w:spacing w:line="278" w:lineRule="auto" w:before="24"/>
        <w:ind w:left="539" w:right="133" w:hanging="341"/>
        <w:jc w:val="both"/>
        <w:rPr>
          <w:sz w:val="18"/>
        </w:rPr>
      </w:pPr>
      <w:r>
        <w:rPr>
          <w:b/>
          <w:spacing w:val="-3"/>
          <w:sz w:val="18"/>
        </w:rPr>
        <w:t>vavra</w:t>
      </w:r>
      <w:r>
        <w:rPr>
          <w:spacing w:val="-3"/>
          <w:sz w:val="18"/>
        </w:rPr>
        <w:t>, </w:t>
      </w:r>
      <w:r>
        <w:rPr>
          <w:sz w:val="18"/>
        </w:rPr>
        <w:t>C.L., J.G. Kaldi and R.M. Sneider, 1992: Geological applications</w:t>
      </w:r>
      <w:r>
        <w:rPr>
          <w:spacing w:val="-7"/>
          <w:sz w:val="18"/>
        </w:rPr>
        <w:t> </w:t>
      </w:r>
      <w:r>
        <w:rPr>
          <w:sz w:val="18"/>
        </w:rPr>
        <w:t>of</w:t>
      </w:r>
      <w:r>
        <w:rPr>
          <w:spacing w:val="-7"/>
          <w:sz w:val="18"/>
        </w:rPr>
        <w:t> </w:t>
      </w:r>
      <w:r>
        <w:rPr>
          <w:sz w:val="18"/>
        </w:rPr>
        <w:t>capillary</w:t>
      </w:r>
      <w:r>
        <w:rPr>
          <w:spacing w:val="-7"/>
          <w:sz w:val="18"/>
        </w:rPr>
        <w:t> </w:t>
      </w:r>
      <w:r>
        <w:rPr>
          <w:sz w:val="18"/>
        </w:rPr>
        <w:t>pressure:</w:t>
      </w:r>
      <w:r>
        <w:rPr>
          <w:spacing w:val="-6"/>
          <w:sz w:val="18"/>
        </w:rPr>
        <w:t> </w:t>
      </w:r>
      <w:r>
        <w:rPr>
          <w:sz w:val="18"/>
        </w:rPr>
        <w:t>a</w:t>
      </w:r>
      <w:r>
        <w:rPr>
          <w:spacing w:val="-7"/>
          <w:sz w:val="18"/>
        </w:rPr>
        <w:t> </w:t>
      </w:r>
      <w:r>
        <w:rPr>
          <w:sz w:val="18"/>
        </w:rPr>
        <w:t>review.</w:t>
      </w:r>
      <w:r>
        <w:rPr>
          <w:spacing w:val="-8"/>
          <w:sz w:val="18"/>
        </w:rPr>
        <w:t> </w:t>
      </w:r>
      <w:r>
        <w:rPr>
          <w:i/>
          <w:sz w:val="18"/>
        </w:rPr>
        <w:t>American</w:t>
      </w:r>
      <w:r>
        <w:rPr>
          <w:i/>
          <w:spacing w:val="-9"/>
          <w:sz w:val="18"/>
        </w:rPr>
        <w:t> </w:t>
      </w:r>
      <w:r>
        <w:rPr>
          <w:i/>
          <w:sz w:val="18"/>
        </w:rPr>
        <w:t>Association </w:t>
      </w:r>
      <w:r>
        <w:rPr>
          <w:i/>
          <w:sz w:val="18"/>
        </w:rPr>
        <w:t>of Petroleum Geologists Bulletin, </w:t>
      </w:r>
      <w:r>
        <w:rPr>
          <w:b/>
          <w:sz w:val="18"/>
        </w:rPr>
        <w:t>76</w:t>
      </w:r>
      <w:r>
        <w:rPr>
          <w:sz w:val="18"/>
        </w:rPr>
        <w:t>(6),</w:t>
      </w:r>
      <w:r>
        <w:rPr>
          <w:spacing w:val="-4"/>
          <w:sz w:val="18"/>
        </w:rPr>
        <w:t> </w:t>
      </w:r>
      <w:r>
        <w:rPr>
          <w:sz w:val="18"/>
        </w:rPr>
        <w:t>840–850.</w:t>
      </w:r>
    </w:p>
    <w:p>
      <w:pPr>
        <w:spacing w:line="278" w:lineRule="auto" w:before="0"/>
        <w:ind w:left="539" w:right="134" w:hanging="341"/>
        <w:jc w:val="both"/>
        <w:rPr>
          <w:sz w:val="18"/>
        </w:rPr>
      </w:pPr>
      <w:r>
        <w:rPr>
          <w:b/>
          <w:sz w:val="18"/>
        </w:rPr>
        <w:t>vine</w:t>
      </w:r>
      <w:r>
        <w:rPr>
          <w:sz w:val="18"/>
        </w:rPr>
        <w:t>, E., 2004: Regulatory constraints to carbon sequestration in terrestrial ecosystems and geological formations: a California perspective. </w:t>
      </w:r>
      <w:r>
        <w:rPr>
          <w:i/>
          <w:sz w:val="18"/>
        </w:rPr>
        <w:t>Mitigation and Adaptation Strategies for Global </w:t>
      </w:r>
      <w:r>
        <w:rPr>
          <w:i/>
          <w:sz w:val="18"/>
        </w:rPr>
        <w:t>Change, </w:t>
      </w:r>
      <w:r>
        <w:rPr>
          <w:b/>
          <w:sz w:val="18"/>
        </w:rPr>
        <w:t>9, </w:t>
      </w:r>
      <w:r>
        <w:rPr>
          <w:sz w:val="18"/>
        </w:rPr>
        <w:t>77–95.</w:t>
      </w:r>
    </w:p>
    <w:p>
      <w:pPr>
        <w:spacing w:line="278" w:lineRule="auto" w:before="0"/>
        <w:ind w:left="539" w:right="135" w:hanging="341"/>
        <w:jc w:val="both"/>
        <w:rPr>
          <w:sz w:val="18"/>
        </w:rPr>
      </w:pPr>
      <w:r>
        <w:rPr>
          <w:b/>
          <w:sz w:val="18"/>
        </w:rPr>
        <w:t>Wall</w:t>
      </w:r>
      <w:r>
        <w:rPr>
          <w:sz w:val="18"/>
        </w:rPr>
        <w:t>, C., C. Bernstone. and M. Olvstam, 2005: International and European</w:t>
      </w:r>
      <w:r>
        <w:rPr>
          <w:spacing w:val="-9"/>
          <w:sz w:val="18"/>
        </w:rPr>
        <w:t> </w:t>
      </w:r>
      <w:r>
        <w:rPr>
          <w:sz w:val="18"/>
        </w:rPr>
        <w:t>legal</w:t>
      </w:r>
      <w:r>
        <w:rPr>
          <w:spacing w:val="-9"/>
          <w:sz w:val="18"/>
        </w:rPr>
        <w:t> </w:t>
      </w:r>
      <w:r>
        <w:rPr>
          <w:sz w:val="18"/>
        </w:rPr>
        <w:t>aspects</w:t>
      </w:r>
      <w:r>
        <w:rPr>
          <w:spacing w:val="-9"/>
          <w:sz w:val="18"/>
        </w:rPr>
        <w:t> </w:t>
      </w:r>
      <w:r>
        <w:rPr>
          <w:sz w:val="18"/>
        </w:rPr>
        <w:t>on</w:t>
      </w:r>
      <w:r>
        <w:rPr>
          <w:spacing w:val="-9"/>
          <w:sz w:val="18"/>
        </w:rPr>
        <w:t> </w:t>
      </w:r>
      <w:r>
        <w:rPr>
          <w:sz w:val="18"/>
        </w:rPr>
        <w:t>underground</w:t>
      </w:r>
      <w:r>
        <w:rPr>
          <w:spacing w:val="-9"/>
          <w:sz w:val="18"/>
        </w:rPr>
        <w:t> </w:t>
      </w:r>
      <w:r>
        <w:rPr>
          <w:sz w:val="18"/>
        </w:rPr>
        <w:t>geological</w:t>
      </w:r>
      <w:r>
        <w:rPr>
          <w:spacing w:val="-9"/>
          <w:sz w:val="18"/>
        </w:rPr>
        <w:t> </w:t>
      </w:r>
      <w:r>
        <w:rPr>
          <w:sz w:val="18"/>
        </w:rPr>
        <w:t>storage</w:t>
      </w:r>
      <w:r>
        <w:rPr>
          <w:spacing w:val="-9"/>
          <w:sz w:val="18"/>
        </w:rPr>
        <w:t> </w:t>
      </w:r>
      <w:r>
        <w:rPr>
          <w:sz w:val="18"/>
        </w:rPr>
        <w:t>of</w:t>
      </w:r>
      <w:r>
        <w:rPr>
          <w:spacing w:val="-9"/>
          <w:sz w:val="18"/>
        </w:rPr>
        <w:t> </w:t>
      </w:r>
      <w:r>
        <w:rPr>
          <w:sz w:val="18"/>
        </w:rPr>
        <w:t>CO</w:t>
      </w:r>
      <w:r>
        <w:rPr>
          <w:position w:val="-5"/>
          <w:sz w:val="10"/>
        </w:rPr>
        <w:t>2</w:t>
      </w:r>
      <w:r>
        <w:rPr>
          <w:sz w:val="18"/>
        </w:rPr>
        <w:t>,</w:t>
      </w:r>
    </w:p>
    <w:p>
      <w:pPr>
        <w:spacing w:line="164" w:lineRule="exact" w:before="0"/>
        <w:ind w:left="539" w:right="0" w:firstLine="0"/>
        <w:jc w:val="both"/>
        <w:rPr>
          <w:sz w:val="18"/>
        </w:rPr>
      </w:pPr>
      <w:r>
        <w:rPr>
          <w:sz w:val="18"/>
        </w:rPr>
        <w:t>Proceedings</w:t>
      </w:r>
      <w:r>
        <w:rPr>
          <w:spacing w:val="25"/>
          <w:sz w:val="18"/>
        </w:rPr>
        <w:t> </w:t>
      </w:r>
      <w:r>
        <w:rPr>
          <w:sz w:val="18"/>
        </w:rPr>
        <w:t>of</w:t>
      </w:r>
      <w:r>
        <w:rPr>
          <w:spacing w:val="26"/>
          <w:sz w:val="18"/>
        </w:rPr>
        <w:t> </w:t>
      </w:r>
      <w:r>
        <w:rPr>
          <w:sz w:val="18"/>
        </w:rPr>
        <w:t>the</w:t>
      </w:r>
      <w:r>
        <w:rPr>
          <w:spacing w:val="26"/>
          <w:sz w:val="18"/>
        </w:rPr>
        <w:t> </w:t>
      </w:r>
      <w:r>
        <w:rPr>
          <w:sz w:val="18"/>
        </w:rPr>
        <w:t>7</w:t>
      </w:r>
      <w:r>
        <w:rPr>
          <w:position w:val="6"/>
          <w:sz w:val="10"/>
        </w:rPr>
        <w:t>th </w:t>
      </w:r>
      <w:r>
        <w:rPr>
          <w:spacing w:val="20"/>
          <w:position w:val="6"/>
          <w:sz w:val="10"/>
        </w:rPr>
        <w:t> </w:t>
      </w:r>
      <w:r>
        <w:rPr>
          <w:sz w:val="18"/>
        </w:rPr>
        <w:t>International</w:t>
      </w:r>
      <w:r>
        <w:rPr>
          <w:spacing w:val="26"/>
          <w:sz w:val="18"/>
        </w:rPr>
        <w:t> </w:t>
      </w:r>
      <w:r>
        <w:rPr>
          <w:sz w:val="18"/>
        </w:rPr>
        <w:t>Conference</w:t>
      </w:r>
      <w:r>
        <w:rPr>
          <w:spacing w:val="26"/>
          <w:sz w:val="18"/>
        </w:rPr>
        <w:t> </w:t>
      </w:r>
      <w:r>
        <w:rPr>
          <w:sz w:val="18"/>
        </w:rPr>
        <w:t>on</w:t>
      </w:r>
      <w:r>
        <w:rPr>
          <w:spacing w:val="25"/>
          <w:sz w:val="18"/>
        </w:rPr>
        <w:t> </w:t>
      </w:r>
      <w:r>
        <w:rPr>
          <w:sz w:val="18"/>
        </w:rPr>
        <w:t>Greenhouse</w:t>
      </w:r>
    </w:p>
    <w:p>
      <w:pPr>
        <w:spacing w:before="33"/>
        <w:ind w:left="539" w:right="0" w:firstLine="0"/>
        <w:jc w:val="both"/>
        <w:rPr>
          <w:sz w:val="18"/>
        </w:rPr>
      </w:pPr>
      <w:r>
        <w:rPr>
          <w:sz w:val="18"/>
        </w:rPr>
        <w:t>Gas Control Technologies (GHGT-7), v.I, 971-978.</w:t>
      </w:r>
    </w:p>
    <w:p>
      <w:pPr>
        <w:spacing w:line="240" w:lineRule="exact" w:before="9"/>
        <w:ind w:left="539" w:right="136" w:hanging="341"/>
        <w:jc w:val="both"/>
        <w:rPr>
          <w:sz w:val="18"/>
        </w:rPr>
      </w:pPr>
      <w:r>
        <w:rPr>
          <w:b/>
          <w:sz w:val="18"/>
        </w:rPr>
        <w:t>Walton</w:t>
      </w:r>
      <w:r>
        <w:rPr>
          <w:sz w:val="18"/>
        </w:rPr>
        <w:t>, </w:t>
      </w:r>
      <w:r>
        <w:rPr>
          <w:spacing w:val="-3"/>
          <w:sz w:val="18"/>
        </w:rPr>
        <w:t>F.C., </w:t>
      </w:r>
      <w:r>
        <w:rPr>
          <w:sz w:val="18"/>
        </w:rPr>
        <w:t>J.C </w:t>
      </w:r>
      <w:r>
        <w:rPr>
          <w:spacing w:val="-3"/>
          <w:sz w:val="18"/>
        </w:rPr>
        <w:t>Tait, </w:t>
      </w:r>
      <w:r>
        <w:rPr>
          <w:sz w:val="18"/>
        </w:rPr>
        <w:t>D. LeNeveu and M.I. Sheppard, 2005: Geological storage of CO</w:t>
      </w:r>
      <w:r>
        <w:rPr>
          <w:position w:val="-5"/>
          <w:sz w:val="10"/>
        </w:rPr>
        <w:t>2</w:t>
      </w:r>
      <w:r>
        <w:rPr>
          <w:sz w:val="18"/>
        </w:rPr>
        <w:t>: A statistical approach to assessing performance and risk. Proceedings of the 7</w:t>
      </w:r>
      <w:r>
        <w:rPr>
          <w:position w:val="6"/>
          <w:sz w:val="10"/>
        </w:rPr>
        <w:t>th </w:t>
      </w:r>
      <w:r>
        <w:rPr>
          <w:sz w:val="18"/>
        </w:rPr>
        <w:t>International Conference</w:t>
      </w:r>
      <w:r>
        <w:rPr>
          <w:spacing w:val="-7"/>
          <w:sz w:val="18"/>
        </w:rPr>
        <w:t> </w:t>
      </w:r>
      <w:r>
        <w:rPr>
          <w:sz w:val="18"/>
        </w:rPr>
        <w:t>on</w:t>
      </w:r>
      <w:r>
        <w:rPr>
          <w:spacing w:val="-7"/>
          <w:sz w:val="18"/>
        </w:rPr>
        <w:t> </w:t>
      </w:r>
      <w:r>
        <w:rPr>
          <w:sz w:val="18"/>
        </w:rPr>
        <w:t>Greenhouse</w:t>
      </w:r>
      <w:r>
        <w:rPr>
          <w:spacing w:val="-6"/>
          <w:sz w:val="18"/>
        </w:rPr>
        <w:t> </w:t>
      </w:r>
      <w:r>
        <w:rPr>
          <w:sz w:val="18"/>
        </w:rPr>
        <w:t>Gas</w:t>
      </w:r>
      <w:r>
        <w:rPr>
          <w:spacing w:val="-7"/>
          <w:sz w:val="18"/>
        </w:rPr>
        <w:t> </w:t>
      </w:r>
      <w:r>
        <w:rPr>
          <w:sz w:val="18"/>
        </w:rPr>
        <w:t>Control</w:t>
      </w:r>
      <w:r>
        <w:rPr>
          <w:spacing w:val="-9"/>
          <w:sz w:val="18"/>
        </w:rPr>
        <w:t> </w:t>
      </w:r>
      <w:r>
        <w:rPr>
          <w:sz w:val="18"/>
        </w:rPr>
        <w:t>Technologies</w:t>
      </w:r>
      <w:r>
        <w:rPr>
          <w:spacing w:val="-6"/>
          <w:sz w:val="18"/>
        </w:rPr>
        <w:t> </w:t>
      </w:r>
      <w:r>
        <w:rPr>
          <w:sz w:val="18"/>
        </w:rPr>
        <w:t>(GHGT-7), September 5–9, 2004, </w:t>
      </w:r>
      <w:r>
        <w:rPr>
          <w:spacing w:val="-3"/>
          <w:sz w:val="18"/>
        </w:rPr>
        <w:t>Vancouver, </w:t>
      </w:r>
      <w:r>
        <w:rPr>
          <w:sz w:val="18"/>
        </w:rPr>
        <w:t>Canada, </w:t>
      </w:r>
      <w:r>
        <w:rPr>
          <w:spacing w:val="-3"/>
          <w:sz w:val="18"/>
        </w:rPr>
        <w:t>v.I,</w:t>
      </w:r>
      <w:r>
        <w:rPr>
          <w:spacing w:val="-4"/>
          <w:sz w:val="18"/>
        </w:rPr>
        <w:t> </w:t>
      </w:r>
      <w:r>
        <w:rPr>
          <w:sz w:val="18"/>
        </w:rPr>
        <w:t>693-700.</w:t>
      </w:r>
    </w:p>
    <w:p>
      <w:pPr>
        <w:spacing w:line="240" w:lineRule="exact" w:before="0"/>
        <w:ind w:left="539" w:right="135" w:hanging="341"/>
        <w:jc w:val="both"/>
        <w:rPr>
          <w:sz w:val="18"/>
        </w:rPr>
      </w:pPr>
      <w:r>
        <w:rPr>
          <w:b/>
          <w:sz w:val="18"/>
        </w:rPr>
        <w:t>Wang</w:t>
      </w:r>
      <w:r>
        <w:rPr>
          <w:sz w:val="18"/>
        </w:rPr>
        <w:t>, S. and </w:t>
      </w:r>
      <w:r>
        <w:rPr>
          <w:spacing w:val="-5"/>
          <w:sz w:val="18"/>
        </w:rPr>
        <w:t>P.R. </w:t>
      </w:r>
      <w:r>
        <w:rPr>
          <w:sz w:val="18"/>
        </w:rPr>
        <w:t>Jaffé, 2004: Dissolution of Trace Metals in Potable Aquifers due to CO</w:t>
      </w:r>
      <w:r>
        <w:rPr>
          <w:position w:val="-5"/>
          <w:sz w:val="10"/>
        </w:rPr>
        <w:t>2 </w:t>
      </w:r>
      <w:r>
        <w:rPr>
          <w:sz w:val="18"/>
        </w:rPr>
        <w:t>Releases from Deep Formations. Energy Conversion and Management. In press.</w:t>
      </w:r>
    </w:p>
    <w:p>
      <w:pPr>
        <w:spacing w:line="278" w:lineRule="auto" w:before="24"/>
        <w:ind w:left="539" w:right="133" w:hanging="341"/>
        <w:jc w:val="both"/>
        <w:rPr>
          <w:sz w:val="18"/>
        </w:rPr>
      </w:pPr>
      <w:r>
        <w:rPr>
          <w:b/>
          <w:sz w:val="18"/>
        </w:rPr>
        <w:t>Watson</w:t>
      </w:r>
      <w:r>
        <w:rPr>
          <w:sz w:val="18"/>
        </w:rPr>
        <w:t>, M.N., C.J. Boreham and P.R. Tingate, 2004: Carbon dioxide and carbonate elements in the Otway Basin: implications for geological storage of carbon dioxide. </w:t>
      </w:r>
      <w:r>
        <w:rPr>
          <w:i/>
          <w:sz w:val="18"/>
        </w:rPr>
        <w:t>The APPEA Journal</w:t>
      </w:r>
      <w:r>
        <w:rPr>
          <w:sz w:val="18"/>
        </w:rPr>
        <w:t>, </w:t>
      </w:r>
      <w:r>
        <w:rPr>
          <w:b/>
          <w:sz w:val="18"/>
        </w:rPr>
        <w:t>44</w:t>
      </w:r>
      <w:r>
        <w:rPr>
          <w:sz w:val="18"/>
        </w:rPr>
        <w:t>(1), 703–720.</w:t>
      </w:r>
    </w:p>
    <w:p>
      <w:pPr>
        <w:spacing w:after="0" w:line="278" w:lineRule="auto"/>
        <w:jc w:val="both"/>
        <w:rPr>
          <w:sz w:val="18"/>
        </w:rPr>
        <w:sectPr>
          <w:type w:val="continuous"/>
          <w:pgSz w:w="12240" w:h="15840"/>
          <w:pgMar w:top="400" w:bottom="280" w:left="580" w:right="600"/>
          <w:cols w:num="2" w:equalWidth="0">
            <w:col w:w="5620" w:space="40"/>
            <w:col w:w="5400"/>
          </w:cols>
        </w:sectPr>
      </w:pPr>
    </w:p>
    <w:p>
      <w:pPr>
        <w:pStyle w:val="BodyText"/>
      </w:pPr>
    </w:p>
    <w:p>
      <w:pPr>
        <w:pStyle w:val="BodyText"/>
        <w:spacing w:before="1"/>
        <w:rPr>
          <w:sz w:val="18"/>
        </w:rPr>
      </w:pPr>
    </w:p>
    <w:p>
      <w:pPr>
        <w:spacing w:after="0"/>
        <w:rPr>
          <w:sz w:val="18"/>
        </w:rPr>
        <w:sectPr>
          <w:pgSz w:w="12240" w:h="15840"/>
          <w:pgMar w:header="567" w:footer="0" w:top="760" w:bottom="280" w:left="580" w:right="600"/>
        </w:sectPr>
      </w:pPr>
    </w:p>
    <w:p>
      <w:pPr>
        <w:spacing w:line="240" w:lineRule="exact" w:before="43"/>
        <w:ind w:left="497" w:right="38" w:hanging="341"/>
        <w:jc w:val="both"/>
        <w:rPr>
          <w:sz w:val="18"/>
        </w:rPr>
      </w:pPr>
      <w:r>
        <w:rPr>
          <w:b/>
          <w:sz w:val="18"/>
        </w:rPr>
        <w:t>White</w:t>
      </w:r>
      <w:r>
        <w:rPr>
          <w:sz w:val="18"/>
        </w:rPr>
        <w:t>, C.M., B.R. Strazisar, E.J. Granite, J.S. Hoffman and H.W. Pennline, 2003: Separation and capture of CO</w:t>
      </w:r>
      <w:r>
        <w:rPr>
          <w:position w:val="-5"/>
          <w:sz w:val="10"/>
        </w:rPr>
        <w:t>2 </w:t>
      </w:r>
      <w:r>
        <w:rPr>
          <w:sz w:val="18"/>
        </w:rPr>
        <w:t>from large stationary sources and sequestration in geological formations-</w:t>
      </w:r>
    </w:p>
    <w:p>
      <w:pPr>
        <w:spacing w:line="278" w:lineRule="auto" w:before="24"/>
        <w:ind w:left="497" w:right="38" w:firstLine="0"/>
        <w:jc w:val="both"/>
        <w:rPr>
          <w:sz w:val="18"/>
        </w:rPr>
      </w:pPr>
      <w:r>
        <w:rPr>
          <w:sz w:val="18"/>
        </w:rPr>
        <w:t>-coalbeds and deep saline aquifers, Air and </w:t>
      </w:r>
      <w:r>
        <w:rPr>
          <w:spacing w:val="-3"/>
          <w:sz w:val="18"/>
        </w:rPr>
        <w:t>Waste </w:t>
      </w:r>
      <w:r>
        <w:rPr>
          <w:sz w:val="18"/>
        </w:rPr>
        <w:t>Management Association </w:t>
      </w:r>
      <w:r>
        <w:rPr>
          <w:spacing w:val="-3"/>
          <w:sz w:val="18"/>
        </w:rPr>
        <w:t>(AWMA) </w:t>
      </w:r>
      <w:r>
        <w:rPr>
          <w:sz w:val="18"/>
        </w:rPr>
        <w:t>Critical Review Papers, </w:t>
      </w:r>
      <w:r>
        <w:rPr>
          <w:sz w:val="18"/>
          <w:u w:val="single"/>
        </w:rPr>
        <w:t>http://www.awma.</w:t>
      </w:r>
      <w:r>
        <w:rPr>
          <w:sz w:val="18"/>
        </w:rPr>
        <w:t> </w:t>
      </w:r>
      <w:r>
        <w:rPr>
          <w:sz w:val="18"/>
          <w:u w:val="single"/>
        </w:rPr>
        <w:t>org/journal/ShowAbstract.asp?Year=2003&amp;PaperID=1066</w:t>
      </w:r>
      <w:r>
        <w:rPr>
          <w:sz w:val="18"/>
        </w:rPr>
        <w:t>, </w:t>
      </w:r>
      <w:r>
        <w:rPr>
          <w:spacing w:val="-4"/>
          <w:sz w:val="18"/>
        </w:rPr>
        <w:t>June </w:t>
      </w:r>
      <w:r>
        <w:rPr>
          <w:sz w:val="18"/>
        </w:rPr>
        <w:t>2003.</w:t>
      </w:r>
    </w:p>
    <w:p>
      <w:pPr>
        <w:spacing w:line="207" w:lineRule="exact" w:before="0"/>
        <w:ind w:left="157" w:right="0" w:firstLine="0"/>
        <w:jc w:val="both"/>
        <w:rPr>
          <w:sz w:val="18"/>
        </w:rPr>
      </w:pPr>
      <w:r>
        <w:rPr>
          <w:b/>
          <w:sz w:val="18"/>
        </w:rPr>
        <w:t>White,</w:t>
      </w:r>
      <w:r>
        <w:rPr>
          <w:b/>
          <w:spacing w:val="-23"/>
          <w:sz w:val="18"/>
        </w:rPr>
        <w:t> </w:t>
      </w:r>
      <w:r>
        <w:rPr>
          <w:sz w:val="18"/>
        </w:rPr>
        <w:t>D.</w:t>
      </w:r>
      <w:r>
        <w:rPr>
          <w:spacing w:val="-23"/>
          <w:sz w:val="18"/>
        </w:rPr>
        <w:t> </w:t>
      </w:r>
      <w:r>
        <w:rPr>
          <w:sz w:val="18"/>
        </w:rPr>
        <w:t>(ed.),</w:t>
      </w:r>
      <w:r>
        <w:rPr>
          <w:spacing w:val="-22"/>
          <w:sz w:val="18"/>
        </w:rPr>
        <w:t> </w:t>
      </w:r>
      <w:r>
        <w:rPr>
          <w:sz w:val="18"/>
        </w:rPr>
        <w:t>2005:</w:t>
      </w:r>
      <w:r>
        <w:rPr>
          <w:spacing w:val="-25"/>
          <w:sz w:val="18"/>
        </w:rPr>
        <w:t> </w:t>
      </w:r>
      <w:r>
        <w:rPr>
          <w:sz w:val="18"/>
        </w:rPr>
        <w:t>Theme</w:t>
      </w:r>
      <w:r>
        <w:rPr>
          <w:spacing w:val="-23"/>
          <w:sz w:val="18"/>
        </w:rPr>
        <w:t> </w:t>
      </w:r>
      <w:r>
        <w:rPr>
          <w:sz w:val="18"/>
        </w:rPr>
        <w:t>2:</w:t>
      </w:r>
      <w:r>
        <w:rPr>
          <w:spacing w:val="-22"/>
          <w:sz w:val="18"/>
        </w:rPr>
        <w:t> </w:t>
      </w:r>
      <w:r>
        <w:rPr>
          <w:sz w:val="18"/>
        </w:rPr>
        <w:t>Prediction,</w:t>
      </w:r>
      <w:r>
        <w:rPr>
          <w:spacing w:val="-23"/>
          <w:sz w:val="18"/>
        </w:rPr>
        <w:t> </w:t>
      </w:r>
      <w:r>
        <w:rPr>
          <w:sz w:val="18"/>
        </w:rPr>
        <w:t>Monitoring</w:t>
      </w:r>
      <w:r>
        <w:rPr>
          <w:spacing w:val="-22"/>
          <w:sz w:val="18"/>
        </w:rPr>
        <w:t> </w:t>
      </w:r>
      <w:r>
        <w:rPr>
          <w:sz w:val="18"/>
        </w:rPr>
        <w:t>and</w:t>
      </w:r>
      <w:r>
        <w:rPr>
          <w:spacing w:val="-25"/>
          <w:sz w:val="18"/>
        </w:rPr>
        <w:t> </w:t>
      </w:r>
      <w:r>
        <w:rPr>
          <w:sz w:val="18"/>
        </w:rPr>
        <w:t>Verification</w:t>
      </w:r>
    </w:p>
    <w:p>
      <w:pPr>
        <w:spacing w:line="240" w:lineRule="exact" w:before="9"/>
        <w:ind w:left="497" w:right="38" w:firstLine="0"/>
        <w:jc w:val="both"/>
        <w:rPr>
          <w:sz w:val="18"/>
        </w:rPr>
      </w:pPr>
      <w:r>
        <w:rPr>
          <w:sz w:val="18"/>
        </w:rPr>
        <w:t>of CO</w:t>
      </w:r>
      <w:r>
        <w:rPr>
          <w:position w:val="-5"/>
          <w:sz w:val="10"/>
        </w:rPr>
        <w:t>2 </w:t>
      </w:r>
      <w:r>
        <w:rPr>
          <w:sz w:val="18"/>
        </w:rPr>
        <w:t>Movements. In: IEA GHG Weyburn CO</w:t>
      </w:r>
      <w:r>
        <w:rPr>
          <w:position w:val="-5"/>
          <w:sz w:val="10"/>
        </w:rPr>
        <w:t>2 </w:t>
      </w:r>
      <w:r>
        <w:rPr>
          <w:sz w:val="18"/>
        </w:rPr>
        <w:t>Monitoring and Storage Project Summary Report 2000-2004, M. Wilson and M. Monea (eds.), Proceedings of the 7</w:t>
      </w:r>
      <w:r>
        <w:rPr>
          <w:position w:val="6"/>
          <w:sz w:val="10"/>
        </w:rPr>
        <w:t>th </w:t>
      </w:r>
      <w:r>
        <w:rPr>
          <w:sz w:val="18"/>
        </w:rPr>
        <w:t>International Conference on Greenhouse Gas Control Technologies (GHGT-7), Volume III, p 73–148.</w:t>
      </w:r>
    </w:p>
    <w:p>
      <w:pPr>
        <w:spacing w:before="24"/>
        <w:ind w:left="157" w:right="0" w:firstLine="0"/>
        <w:jc w:val="both"/>
        <w:rPr>
          <w:sz w:val="18"/>
        </w:rPr>
      </w:pPr>
      <w:r>
        <w:rPr>
          <w:b/>
          <w:sz w:val="18"/>
        </w:rPr>
        <w:t>White,</w:t>
      </w:r>
      <w:r>
        <w:rPr>
          <w:b/>
          <w:spacing w:val="-14"/>
          <w:sz w:val="18"/>
        </w:rPr>
        <w:t> </w:t>
      </w:r>
      <w:r>
        <w:rPr>
          <w:sz w:val="18"/>
        </w:rPr>
        <w:t>D.J.,</w:t>
      </w:r>
      <w:r>
        <w:rPr>
          <w:spacing w:val="-13"/>
          <w:sz w:val="18"/>
        </w:rPr>
        <w:t> </w:t>
      </w:r>
      <w:r>
        <w:rPr>
          <w:sz w:val="18"/>
        </w:rPr>
        <w:t>G.</w:t>
      </w:r>
      <w:r>
        <w:rPr>
          <w:spacing w:val="-14"/>
          <w:sz w:val="18"/>
        </w:rPr>
        <w:t> </w:t>
      </w:r>
      <w:r>
        <w:rPr>
          <w:sz w:val="18"/>
        </w:rPr>
        <w:t>Burrowes,</w:t>
      </w:r>
      <w:r>
        <w:rPr>
          <w:spacing w:val="-16"/>
          <w:sz w:val="18"/>
        </w:rPr>
        <w:t> </w:t>
      </w:r>
      <w:r>
        <w:rPr>
          <w:spacing w:val="-7"/>
          <w:sz w:val="18"/>
        </w:rPr>
        <w:t>T.</w:t>
      </w:r>
      <w:r>
        <w:rPr>
          <w:spacing w:val="-14"/>
          <w:sz w:val="18"/>
        </w:rPr>
        <w:t> </w:t>
      </w:r>
      <w:r>
        <w:rPr>
          <w:sz w:val="18"/>
        </w:rPr>
        <w:t>Davis,</w:t>
      </w:r>
      <w:r>
        <w:rPr>
          <w:spacing w:val="-13"/>
          <w:sz w:val="18"/>
        </w:rPr>
        <w:t> </w:t>
      </w:r>
      <w:r>
        <w:rPr>
          <w:sz w:val="18"/>
        </w:rPr>
        <w:t>Z.</w:t>
      </w:r>
      <w:r>
        <w:rPr>
          <w:spacing w:val="-14"/>
          <w:sz w:val="18"/>
        </w:rPr>
        <w:t> </w:t>
      </w:r>
      <w:r>
        <w:rPr>
          <w:sz w:val="18"/>
        </w:rPr>
        <w:t>Hajnal,</w:t>
      </w:r>
      <w:r>
        <w:rPr>
          <w:spacing w:val="-13"/>
          <w:sz w:val="18"/>
        </w:rPr>
        <w:t> </w:t>
      </w:r>
      <w:r>
        <w:rPr>
          <w:sz w:val="18"/>
        </w:rPr>
        <w:t>K.</w:t>
      </w:r>
      <w:r>
        <w:rPr>
          <w:spacing w:val="-14"/>
          <w:sz w:val="18"/>
        </w:rPr>
        <w:t> </w:t>
      </w:r>
      <w:r>
        <w:rPr>
          <w:sz w:val="18"/>
        </w:rPr>
        <w:t>Hirsche,</w:t>
      </w:r>
      <w:r>
        <w:rPr>
          <w:spacing w:val="-13"/>
          <w:sz w:val="18"/>
        </w:rPr>
        <w:t> </w:t>
      </w:r>
      <w:r>
        <w:rPr>
          <w:sz w:val="18"/>
        </w:rPr>
        <w:t>I.</w:t>
      </w:r>
      <w:r>
        <w:rPr>
          <w:spacing w:val="-14"/>
          <w:sz w:val="18"/>
        </w:rPr>
        <w:t> </w:t>
      </w:r>
      <w:r>
        <w:rPr>
          <w:sz w:val="18"/>
        </w:rPr>
        <w:t>Hutcheon,</w:t>
      </w:r>
    </w:p>
    <w:p>
      <w:pPr>
        <w:spacing w:line="278" w:lineRule="auto" w:before="33"/>
        <w:ind w:left="497" w:right="38" w:firstLine="0"/>
        <w:jc w:val="both"/>
        <w:rPr>
          <w:sz w:val="18"/>
        </w:rPr>
      </w:pPr>
      <w:r>
        <w:rPr>
          <w:sz w:val="18"/>
        </w:rPr>
        <w:t>E. Majer, B. Rostron and S. Whittaker, 2004: Greenhouse gas sequestration in abandoned oil reservoirs: The International Energy Agency Weyburn pilot project. </w:t>
      </w:r>
      <w:r>
        <w:rPr>
          <w:i/>
          <w:sz w:val="18"/>
        </w:rPr>
        <w:t>GSA Today</w:t>
      </w:r>
      <w:r>
        <w:rPr>
          <w:sz w:val="18"/>
        </w:rPr>
        <w:t>, </w:t>
      </w:r>
      <w:r>
        <w:rPr>
          <w:b/>
          <w:sz w:val="18"/>
        </w:rPr>
        <w:t>14</w:t>
      </w:r>
      <w:r>
        <w:rPr>
          <w:sz w:val="18"/>
        </w:rPr>
        <w:t>, 4–10.</w:t>
      </w:r>
    </w:p>
    <w:p>
      <w:pPr>
        <w:spacing w:line="278" w:lineRule="auto" w:before="0"/>
        <w:ind w:left="497" w:right="39" w:hanging="341"/>
        <w:jc w:val="both"/>
        <w:rPr>
          <w:sz w:val="18"/>
        </w:rPr>
      </w:pPr>
      <w:r>
        <w:rPr>
          <w:b/>
          <w:sz w:val="18"/>
        </w:rPr>
        <w:t>White</w:t>
      </w:r>
      <w:r>
        <w:rPr>
          <w:sz w:val="18"/>
        </w:rPr>
        <w:t>, M.D. and M. Oostrom, 1997: STOMP, Subsurface Transport Over Multiple Phases. Pacific Northwest National Laboratory Report PNNL-11218, Richland, WA, October 1997.</w:t>
      </w:r>
    </w:p>
    <w:p>
      <w:pPr>
        <w:spacing w:line="278" w:lineRule="auto" w:before="0"/>
        <w:ind w:left="497" w:right="38" w:hanging="341"/>
        <w:jc w:val="both"/>
        <w:rPr>
          <w:sz w:val="18"/>
        </w:rPr>
      </w:pPr>
      <w:r>
        <w:rPr>
          <w:b/>
          <w:sz w:val="18"/>
        </w:rPr>
        <w:t>White</w:t>
      </w:r>
      <w:r>
        <w:rPr>
          <w:sz w:val="18"/>
        </w:rPr>
        <w:t>, </w:t>
      </w:r>
      <w:r>
        <w:rPr>
          <w:spacing w:val="-3"/>
          <w:sz w:val="18"/>
        </w:rPr>
        <w:t>S.P.,1995: </w:t>
      </w:r>
      <w:r>
        <w:rPr>
          <w:sz w:val="18"/>
        </w:rPr>
        <w:t>Multiphase Non-Isothermal Transport of Systems of Reacting Chemicals. </w:t>
      </w:r>
      <w:r>
        <w:rPr>
          <w:i/>
          <w:spacing w:val="-4"/>
          <w:sz w:val="18"/>
        </w:rPr>
        <w:t>Water </w:t>
      </w:r>
      <w:r>
        <w:rPr>
          <w:i/>
          <w:sz w:val="18"/>
        </w:rPr>
        <w:t>Resources Research, </w:t>
      </w:r>
      <w:r>
        <w:rPr>
          <w:b/>
          <w:spacing w:val="-3"/>
          <w:sz w:val="18"/>
        </w:rPr>
        <w:t>32</w:t>
      </w:r>
      <w:r>
        <w:rPr>
          <w:spacing w:val="-3"/>
          <w:sz w:val="18"/>
        </w:rPr>
        <w:t>(7), </w:t>
      </w:r>
      <w:r>
        <w:rPr>
          <w:sz w:val="18"/>
        </w:rPr>
        <w:t>1761–1772.</w:t>
      </w:r>
    </w:p>
    <w:p>
      <w:pPr>
        <w:spacing w:line="278" w:lineRule="auto" w:before="0"/>
        <w:ind w:left="497" w:right="38" w:hanging="341"/>
        <w:jc w:val="both"/>
        <w:rPr>
          <w:sz w:val="18"/>
        </w:rPr>
      </w:pPr>
      <w:r>
        <w:rPr>
          <w:b/>
          <w:sz w:val="18"/>
        </w:rPr>
        <w:t>Whitman</w:t>
      </w:r>
      <w:r>
        <w:rPr>
          <w:sz w:val="18"/>
        </w:rPr>
        <w:t>, W.B., D.C. Coleman and W.J. Wiebe, 2001: Prokaryotes: The unseen majority. </w:t>
      </w:r>
      <w:r>
        <w:rPr>
          <w:i/>
          <w:sz w:val="18"/>
        </w:rPr>
        <w:t>Proceedings of the National Academy of </w:t>
      </w:r>
      <w:r>
        <w:rPr>
          <w:i/>
          <w:sz w:val="18"/>
        </w:rPr>
        <w:t>Sciences U.S.A., </w:t>
      </w:r>
      <w:r>
        <w:rPr>
          <w:b/>
          <w:sz w:val="18"/>
        </w:rPr>
        <w:t>95</w:t>
      </w:r>
      <w:r>
        <w:rPr>
          <w:sz w:val="18"/>
        </w:rPr>
        <w:t>(12), 6578–6583.</w:t>
      </w:r>
    </w:p>
    <w:p>
      <w:pPr>
        <w:spacing w:line="207" w:lineRule="exact" w:before="0"/>
        <w:ind w:left="157" w:right="0" w:firstLine="0"/>
        <w:jc w:val="both"/>
        <w:rPr>
          <w:sz w:val="18"/>
        </w:rPr>
      </w:pPr>
      <w:r>
        <w:rPr>
          <w:b/>
          <w:sz w:val="18"/>
        </w:rPr>
        <w:t>Wildenborg</w:t>
      </w:r>
      <w:r>
        <w:rPr>
          <w:sz w:val="18"/>
        </w:rPr>
        <w:t>, </w:t>
      </w:r>
      <w:r>
        <w:rPr>
          <w:spacing w:val="-3"/>
          <w:sz w:val="18"/>
        </w:rPr>
        <w:t>A.F.B., </w:t>
      </w:r>
      <w:r>
        <w:rPr>
          <w:sz w:val="18"/>
        </w:rPr>
        <w:t>A.L.  Leijnse,  E.  Kreft,  M.N.</w:t>
      </w:r>
      <w:r>
        <w:rPr>
          <w:spacing w:val="-3"/>
          <w:sz w:val="18"/>
        </w:rPr>
        <w:t> </w:t>
      </w:r>
      <w:r>
        <w:rPr>
          <w:sz w:val="18"/>
        </w:rPr>
        <w:t>Nepveu, A.N.M.</w:t>
      </w:r>
    </w:p>
    <w:p>
      <w:pPr>
        <w:spacing w:before="32"/>
        <w:ind w:left="497" w:right="0" w:firstLine="0"/>
        <w:jc w:val="both"/>
        <w:rPr>
          <w:sz w:val="18"/>
        </w:rPr>
      </w:pPr>
      <w:r>
        <w:rPr>
          <w:sz w:val="18"/>
        </w:rPr>
        <w:t>Obdam,</w:t>
      </w:r>
      <w:r>
        <w:rPr>
          <w:spacing w:val="-6"/>
          <w:sz w:val="18"/>
        </w:rPr>
        <w:t> </w:t>
      </w:r>
      <w:r>
        <w:rPr>
          <w:sz w:val="18"/>
        </w:rPr>
        <w:t>B.</w:t>
      </w:r>
      <w:r>
        <w:rPr>
          <w:spacing w:val="-5"/>
          <w:sz w:val="18"/>
        </w:rPr>
        <w:t> </w:t>
      </w:r>
      <w:r>
        <w:rPr>
          <w:sz w:val="18"/>
        </w:rPr>
        <w:t>Orlic,</w:t>
      </w:r>
      <w:r>
        <w:rPr>
          <w:spacing w:val="-6"/>
          <w:sz w:val="18"/>
        </w:rPr>
        <w:t> </w:t>
      </w:r>
      <w:r>
        <w:rPr>
          <w:sz w:val="18"/>
        </w:rPr>
        <w:t>E.L.</w:t>
      </w:r>
      <w:r>
        <w:rPr>
          <w:spacing w:val="-8"/>
          <w:sz w:val="18"/>
        </w:rPr>
        <w:t> </w:t>
      </w:r>
      <w:r>
        <w:rPr>
          <w:sz w:val="18"/>
        </w:rPr>
        <w:t>Wipfler,</w:t>
      </w:r>
      <w:r>
        <w:rPr>
          <w:spacing w:val="-6"/>
          <w:sz w:val="18"/>
        </w:rPr>
        <w:t> </w:t>
      </w:r>
      <w:r>
        <w:rPr>
          <w:sz w:val="18"/>
        </w:rPr>
        <w:t>B.</w:t>
      </w:r>
      <w:r>
        <w:rPr>
          <w:spacing w:val="-5"/>
          <w:sz w:val="18"/>
        </w:rPr>
        <w:t> </w:t>
      </w:r>
      <w:r>
        <w:rPr>
          <w:sz w:val="18"/>
        </w:rPr>
        <w:t>van</w:t>
      </w:r>
      <w:r>
        <w:rPr>
          <w:spacing w:val="-6"/>
          <w:sz w:val="18"/>
        </w:rPr>
        <w:t> </w:t>
      </w:r>
      <w:r>
        <w:rPr>
          <w:sz w:val="18"/>
        </w:rPr>
        <w:t>der</w:t>
      </w:r>
      <w:r>
        <w:rPr>
          <w:spacing w:val="-5"/>
          <w:sz w:val="18"/>
        </w:rPr>
        <w:t> </w:t>
      </w:r>
      <w:r>
        <w:rPr>
          <w:sz w:val="18"/>
        </w:rPr>
        <w:t>Grift,</w:t>
      </w:r>
      <w:r>
        <w:rPr>
          <w:spacing w:val="-8"/>
          <w:sz w:val="18"/>
        </w:rPr>
        <w:t> </w:t>
      </w:r>
      <w:r>
        <w:rPr>
          <w:spacing w:val="-9"/>
          <w:sz w:val="18"/>
        </w:rPr>
        <w:t>W.</w:t>
      </w:r>
      <w:r>
        <w:rPr>
          <w:spacing w:val="-6"/>
          <w:sz w:val="18"/>
        </w:rPr>
        <w:t> </w:t>
      </w:r>
      <w:r>
        <w:rPr>
          <w:sz w:val="18"/>
        </w:rPr>
        <w:t>van</w:t>
      </w:r>
      <w:r>
        <w:rPr>
          <w:spacing w:val="-5"/>
          <w:sz w:val="18"/>
        </w:rPr>
        <w:t> </w:t>
      </w:r>
      <w:r>
        <w:rPr>
          <w:sz w:val="18"/>
        </w:rPr>
        <w:t>Kesteren,</w:t>
      </w:r>
    </w:p>
    <w:p>
      <w:pPr>
        <w:spacing w:line="240" w:lineRule="exact" w:before="9"/>
        <w:ind w:left="497" w:right="38" w:firstLine="0"/>
        <w:jc w:val="both"/>
        <w:rPr>
          <w:sz w:val="18"/>
        </w:rPr>
      </w:pPr>
      <w:r>
        <w:rPr>
          <w:sz w:val="18"/>
        </w:rPr>
        <w:t>I. Gaus, I. Czernichowski-Lauriol, </w:t>
      </w:r>
      <w:r>
        <w:rPr>
          <w:spacing w:val="-10"/>
          <w:sz w:val="18"/>
        </w:rPr>
        <w:t>P. </w:t>
      </w:r>
      <w:r>
        <w:rPr>
          <w:spacing w:val="-3"/>
          <w:sz w:val="18"/>
        </w:rPr>
        <w:t>Torfs </w:t>
      </w:r>
      <w:r>
        <w:rPr>
          <w:sz w:val="18"/>
        </w:rPr>
        <w:t>and R. </w:t>
      </w:r>
      <w:r>
        <w:rPr>
          <w:spacing w:val="-3"/>
          <w:sz w:val="18"/>
        </w:rPr>
        <w:t>Wojcik, </w:t>
      </w:r>
      <w:r>
        <w:rPr>
          <w:sz w:val="18"/>
        </w:rPr>
        <w:t>2005a: Risk assessment methodology for CO</w:t>
      </w:r>
      <w:r>
        <w:rPr>
          <w:position w:val="-5"/>
          <w:sz w:val="10"/>
        </w:rPr>
        <w:t>2 </w:t>
      </w:r>
      <w:r>
        <w:rPr>
          <w:sz w:val="18"/>
        </w:rPr>
        <w:t>sequestration scenario approach, Carbon Dioxide Capture for Storage in Deep Geologic Formations—Results</w:t>
      </w:r>
      <w:r>
        <w:rPr>
          <w:spacing w:val="-15"/>
          <w:sz w:val="18"/>
        </w:rPr>
        <w:t> </w:t>
      </w:r>
      <w:r>
        <w:rPr>
          <w:sz w:val="18"/>
        </w:rPr>
        <w:t>from</w:t>
      </w:r>
      <w:r>
        <w:rPr>
          <w:spacing w:val="-14"/>
          <w:sz w:val="18"/>
        </w:rPr>
        <w:t> </w:t>
      </w:r>
      <w:r>
        <w:rPr>
          <w:sz w:val="18"/>
        </w:rPr>
        <w:t>the</w:t>
      </w:r>
      <w:r>
        <w:rPr>
          <w:spacing w:val="-14"/>
          <w:sz w:val="18"/>
        </w:rPr>
        <w:t> </w:t>
      </w:r>
      <w:r>
        <w:rPr>
          <w:sz w:val="18"/>
        </w:rPr>
        <w:t>CO</w:t>
      </w:r>
      <w:r>
        <w:rPr>
          <w:position w:val="-5"/>
          <w:sz w:val="10"/>
        </w:rPr>
        <w:t>2</w:t>
      </w:r>
      <w:r>
        <w:rPr>
          <w:spacing w:val="6"/>
          <w:position w:val="-5"/>
          <w:sz w:val="10"/>
        </w:rPr>
        <w:t> </w:t>
      </w:r>
      <w:r>
        <w:rPr>
          <w:sz w:val="18"/>
        </w:rPr>
        <w:t>Capture</w:t>
      </w:r>
      <w:r>
        <w:rPr>
          <w:spacing w:val="-14"/>
          <w:sz w:val="18"/>
        </w:rPr>
        <w:t> </w:t>
      </w:r>
      <w:r>
        <w:rPr>
          <w:sz w:val="18"/>
        </w:rPr>
        <w:t>Project,</w:t>
      </w:r>
      <w:r>
        <w:rPr>
          <w:spacing w:val="-14"/>
          <w:sz w:val="18"/>
        </w:rPr>
        <w:t> </w:t>
      </w:r>
      <w:r>
        <w:rPr>
          <w:spacing w:val="-6"/>
          <w:sz w:val="18"/>
        </w:rPr>
        <w:t>v.</w:t>
      </w:r>
      <w:r>
        <w:rPr>
          <w:spacing w:val="-15"/>
          <w:sz w:val="18"/>
        </w:rPr>
        <w:t> </w:t>
      </w:r>
      <w:r>
        <w:rPr>
          <w:sz w:val="18"/>
        </w:rPr>
        <w:t>2:</w:t>
      </w:r>
      <w:r>
        <w:rPr>
          <w:spacing w:val="-14"/>
          <w:sz w:val="18"/>
        </w:rPr>
        <w:t> </w:t>
      </w:r>
      <w:r>
        <w:rPr>
          <w:sz w:val="18"/>
        </w:rPr>
        <w:t>Geologic Storage</w:t>
      </w:r>
      <w:r>
        <w:rPr>
          <w:spacing w:val="-17"/>
          <w:sz w:val="18"/>
        </w:rPr>
        <w:t> </w:t>
      </w:r>
      <w:r>
        <w:rPr>
          <w:sz w:val="18"/>
        </w:rPr>
        <w:t>of</w:t>
      </w:r>
      <w:r>
        <w:rPr>
          <w:spacing w:val="-17"/>
          <w:sz w:val="18"/>
        </w:rPr>
        <w:t> </w:t>
      </w:r>
      <w:r>
        <w:rPr>
          <w:sz w:val="18"/>
        </w:rPr>
        <w:t>Carbon</w:t>
      </w:r>
      <w:r>
        <w:rPr>
          <w:spacing w:val="-16"/>
          <w:sz w:val="18"/>
        </w:rPr>
        <w:t> </w:t>
      </w:r>
      <w:r>
        <w:rPr>
          <w:sz w:val="18"/>
        </w:rPr>
        <w:t>Dioxide</w:t>
      </w:r>
      <w:r>
        <w:rPr>
          <w:spacing w:val="-17"/>
          <w:sz w:val="18"/>
        </w:rPr>
        <w:t> </w:t>
      </w:r>
      <w:r>
        <w:rPr>
          <w:sz w:val="18"/>
        </w:rPr>
        <w:t>with</w:t>
      </w:r>
      <w:r>
        <w:rPr>
          <w:spacing w:val="-17"/>
          <w:sz w:val="18"/>
        </w:rPr>
        <w:t> </w:t>
      </w:r>
      <w:r>
        <w:rPr>
          <w:sz w:val="18"/>
        </w:rPr>
        <w:t>Monitoring</w:t>
      </w:r>
      <w:r>
        <w:rPr>
          <w:spacing w:val="-16"/>
          <w:sz w:val="18"/>
        </w:rPr>
        <w:t> </w:t>
      </w:r>
      <w:r>
        <w:rPr>
          <w:sz w:val="18"/>
        </w:rPr>
        <w:t>and</w:t>
      </w:r>
      <w:r>
        <w:rPr>
          <w:spacing w:val="-19"/>
          <w:sz w:val="18"/>
        </w:rPr>
        <w:t> </w:t>
      </w:r>
      <w:r>
        <w:rPr>
          <w:sz w:val="18"/>
        </w:rPr>
        <w:t>Verification,</w:t>
      </w:r>
      <w:r>
        <w:rPr>
          <w:spacing w:val="-17"/>
          <w:sz w:val="18"/>
        </w:rPr>
        <w:t> </w:t>
      </w:r>
      <w:r>
        <w:rPr>
          <w:sz w:val="18"/>
        </w:rPr>
        <w:t>S.M. Benson (ed.), Elsevier Science, London, pp.</w:t>
      </w:r>
      <w:r>
        <w:rPr>
          <w:spacing w:val="-4"/>
          <w:sz w:val="18"/>
        </w:rPr>
        <w:t> </w:t>
      </w:r>
      <w:r>
        <w:rPr>
          <w:sz w:val="18"/>
        </w:rPr>
        <w:t>1293–1316.</w:t>
      </w:r>
    </w:p>
    <w:p>
      <w:pPr>
        <w:spacing w:before="24"/>
        <w:ind w:left="157" w:right="0" w:firstLine="0"/>
        <w:jc w:val="both"/>
        <w:rPr>
          <w:sz w:val="18"/>
        </w:rPr>
      </w:pPr>
      <w:r>
        <w:rPr>
          <w:b/>
          <w:sz w:val="18"/>
        </w:rPr>
        <w:t>Wildenborg</w:t>
      </w:r>
      <w:r>
        <w:rPr>
          <w:sz w:val="18"/>
        </w:rPr>
        <w:t>, T., J. Gale, C. Hendriks, S. Holloway, R. Brandsma,</w:t>
      </w:r>
    </w:p>
    <w:p>
      <w:pPr>
        <w:spacing w:line="240" w:lineRule="exact" w:before="9"/>
        <w:ind w:left="497" w:right="38" w:firstLine="0"/>
        <w:jc w:val="both"/>
        <w:rPr>
          <w:sz w:val="18"/>
        </w:rPr>
      </w:pPr>
      <w:r>
        <w:rPr>
          <w:sz w:val="18"/>
        </w:rPr>
        <w:t>E. Kreft and A. Lokhorst, 2005b: Cost curves for CO</w:t>
      </w:r>
      <w:r>
        <w:rPr>
          <w:position w:val="-5"/>
          <w:sz w:val="10"/>
        </w:rPr>
        <w:t>2 </w:t>
      </w:r>
      <w:r>
        <w:rPr>
          <w:sz w:val="18"/>
        </w:rPr>
        <w:t>storage: European sector. Proceedings of the 7</w:t>
      </w:r>
      <w:r>
        <w:rPr>
          <w:position w:val="6"/>
          <w:sz w:val="10"/>
        </w:rPr>
        <w:t>th </w:t>
      </w:r>
      <w:r>
        <w:rPr>
          <w:sz w:val="18"/>
        </w:rPr>
        <w:t>International Conference on Greenhouse Gas Control Technologies (GHGT-7), September 5–9, 2004, Vancouver, Canada, v.I, 603-610.</w:t>
      </w:r>
    </w:p>
    <w:p>
      <w:pPr>
        <w:spacing w:line="278" w:lineRule="auto" w:before="24"/>
        <w:ind w:left="497" w:right="39" w:hanging="341"/>
        <w:jc w:val="both"/>
        <w:rPr>
          <w:sz w:val="18"/>
        </w:rPr>
      </w:pPr>
      <w:r>
        <w:rPr>
          <w:b/>
          <w:sz w:val="18"/>
        </w:rPr>
        <w:t>Wilson</w:t>
      </w:r>
      <w:r>
        <w:rPr>
          <w:sz w:val="18"/>
        </w:rPr>
        <w:t>, E., 2004: Managing the Risks of Geologic Carbon Sequestration: A Regulatory and Legal Analysis. Doctoral Dissertation, Engineering and Public Policy, Carnegie Mellon, Pittsburgh, PA, U.S.A.</w:t>
      </w:r>
    </w:p>
    <w:p>
      <w:pPr>
        <w:spacing w:line="278" w:lineRule="auto" w:before="0"/>
        <w:ind w:left="497" w:right="38" w:hanging="341"/>
        <w:jc w:val="both"/>
        <w:rPr>
          <w:sz w:val="18"/>
        </w:rPr>
      </w:pPr>
      <w:r>
        <w:rPr>
          <w:b/>
          <w:sz w:val="18"/>
        </w:rPr>
        <w:t>Wilson</w:t>
      </w:r>
      <w:r>
        <w:rPr>
          <w:sz w:val="18"/>
        </w:rPr>
        <w:t>, E., T. Johnson and D. Keith, 2003: Regulating the ultimate sink: managing the risks of geologic CO</w:t>
      </w:r>
      <w:r>
        <w:rPr>
          <w:position w:val="-5"/>
          <w:sz w:val="10"/>
        </w:rPr>
        <w:t>2 </w:t>
      </w:r>
      <w:r>
        <w:rPr>
          <w:sz w:val="18"/>
        </w:rPr>
        <w:t>Storage. Environmental</w:t>
      </w:r>
    </w:p>
    <w:p>
      <w:pPr>
        <w:spacing w:line="164" w:lineRule="exact" w:before="0"/>
        <w:ind w:left="497" w:right="0" w:firstLine="0"/>
        <w:jc w:val="both"/>
        <w:rPr>
          <w:sz w:val="18"/>
        </w:rPr>
      </w:pPr>
      <w:r>
        <w:rPr>
          <w:sz w:val="18"/>
        </w:rPr>
        <w:t>Science and Technology, 37, 3476–3483.</w:t>
      </w:r>
    </w:p>
    <w:p>
      <w:pPr>
        <w:spacing w:line="278" w:lineRule="auto" w:before="33"/>
        <w:ind w:left="497" w:right="38" w:hanging="341"/>
        <w:jc w:val="both"/>
        <w:rPr>
          <w:sz w:val="18"/>
        </w:rPr>
      </w:pPr>
      <w:r>
        <w:rPr>
          <w:b/>
          <w:sz w:val="18"/>
        </w:rPr>
        <w:t>Wilson</w:t>
      </w:r>
      <w:r>
        <w:rPr>
          <w:sz w:val="18"/>
        </w:rPr>
        <w:t>, M. and M. Monea, 2005: IEA GHG </w:t>
      </w:r>
      <w:r>
        <w:rPr>
          <w:spacing w:val="-3"/>
          <w:sz w:val="18"/>
        </w:rPr>
        <w:t>Weyburn </w:t>
      </w:r>
      <w:r>
        <w:rPr>
          <w:sz w:val="18"/>
        </w:rPr>
        <w:t>Monitoring and Storage Project, Summary Report, 2000-2004. Petroleum Technology</w:t>
      </w:r>
      <w:r>
        <w:rPr>
          <w:spacing w:val="-15"/>
          <w:sz w:val="18"/>
        </w:rPr>
        <w:t> </w:t>
      </w:r>
      <w:r>
        <w:rPr>
          <w:sz w:val="18"/>
        </w:rPr>
        <w:t>Research</w:t>
      </w:r>
      <w:r>
        <w:rPr>
          <w:spacing w:val="-14"/>
          <w:sz w:val="18"/>
        </w:rPr>
        <w:t> </w:t>
      </w:r>
      <w:r>
        <w:rPr>
          <w:sz w:val="18"/>
        </w:rPr>
        <w:t>Center,</w:t>
      </w:r>
      <w:r>
        <w:rPr>
          <w:spacing w:val="-15"/>
          <w:sz w:val="18"/>
        </w:rPr>
        <w:t> </w:t>
      </w:r>
      <w:r>
        <w:rPr>
          <w:sz w:val="18"/>
        </w:rPr>
        <w:t>Regina</w:t>
      </w:r>
      <w:r>
        <w:rPr>
          <w:spacing w:val="-14"/>
          <w:sz w:val="18"/>
        </w:rPr>
        <w:t> </w:t>
      </w:r>
      <w:r>
        <w:rPr>
          <w:sz w:val="18"/>
        </w:rPr>
        <w:t>SK,</w:t>
      </w:r>
      <w:r>
        <w:rPr>
          <w:spacing w:val="-15"/>
          <w:sz w:val="18"/>
        </w:rPr>
        <w:t> </w:t>
      </w:r>
      <w:r>
        <w:rPr>
          <w:sz w:val="18"/>
        </w:rPr>
        <w:t>Canada.</w:t>
      </w:r>
      <w:r>
        <w:rPr>
          <w:spacing w:val="-14"/>
          <w:sz w:val="18"/>
        </w:rPr>
        <w:t> </w:t>
      </w:r>
      <w:r>
        <w:rPr>
          <w:sz w:val="18"/>
        </w:rPr>
        <w:t>In:</w:t>
      </w:r>
      <w:r>
        <w:rPr>
          <w:spacing w:val="-15"/>
          <w:sz w:val="18"/>
        </w:rPr>
        <w:t> </w:t>
      </w:r>
      <w:r>
        <w:rPr>
          <w:sz w:val="18"/>
        </w:rPr>
        <w:t>Proceedings of the 7th International Conference on Greenhouse Gas Control Technologies (GHGT-7), </w:t>
      </w:r>
      <w:r>
        <w:rPr>
          <w:spacing w:val="-6"/>
          <w:sz w:val="18"/>
        </w:rPr>
        <w:t>Vol. </w:t>
      </w:r>
      <w:r>
        <w:rPr>
          <w:sz w:val="18"/>
        </w:rPr>
        <w:t>III, September 5–9, </w:t>
      </w:r>
      <w:r>
        <w:rPr>
          <w:spacing w:val="-3"/>
          <w:sz w:val="18"/>
        </w:rPr>
        <w:t>Vancouver, </w:t>
      </w:r>
      <w:r>
        <w:rPr>
          <w:sz w:val="18"/>
        </w:rPr>
        <w:t>Canada</w:t>
      </w:r>
    </w:p>
    <w:p>
      <w:pPr>
        <w:spacing w:line="278" w:lineRule="auto" w:before="0"/>
        <w:ind w:left="497" w:right="38" w:hanging="341"/>
        <w:jc w:val="both"/>
        <w:rPr>
          <w:sz w:val="18"/>
        </w:rPr>
      </w:pPr>
      <w:r>
        <w:rPr>
          <w:b/>
          <w:sz w:val="18"/>
        </w:rPr>
        <w:t>Winter</w:t>
      </w:r>
      <w:r>
        <w:rPr>
          <w:sz w:val="18"/>
        </w:rPr>
        <w:t>,</w:t>
      </w:r>
      <w:r>
        <w:rPr>
          <w:spacing w:val="-9"/>
          <w:sz w:val="18"/>
        </w:rPr>
        <w:t> </w:t>
      </w:r>
      <w:r>
        <w:rPr>
          <w:sz w:val="18"/>
        </w:rPr>
        <w:t>E.M.</w:t>
      </w:r>
      <w:r>
        <w:rPr>
          <w:spacing w:val="-8"/>
          <w:sz w:val="18"/>
        </w:rPr>
        <w:t> </w:t>
      </w:r>
      <w:r>
        <w:rPr>
          <w:sz w:val="18"/>
        </w:rPr>
        <w:t>and</w:t>
      </w:r>
      <w:r>
        <w:rPr>
          <w:spacing w:val="-8"/>
          <w:sz w:val="18"/>
        </w:rPr>
        <w:t> </w:t>
      </w:r>
      <w:r>
        <w:rPr>
          <w:spacing w:val="-5"/>
          <w:sz w:val="18"/>
        </w:rPr>
        <w:t>P.D.</w:t>
      </w:r>
      <w:r>
        <w:rPr>
          <w:spacing w:val="-9"/>
          <w:sz w:val="18"/>
        </w:rPr>
        <w:t> </w:t>
      </w:r>
      <w:r>
        <w:rPr>
          <w:sz w:val="18"/>
        </w:rPr>
        <w:t>Bergman,</w:t>
      </w:r>
      <w:r>
        <w:rPr>
          <w:spacing w:val="-8"/>
          <w:sz w:val="18"/>
        </w:rPr>
        <w:t> </w:t>
      </w:r>
      <w:r>
        <w:rPr>
          <w:sz w:val="18"/>
        </w:rPr>
        <w:t>1993:</w:t>
      </w:r>
      <w:r>
        <w:rPr>
          <w:spacing w:val="-18"/>
          <w:sz w:val="18"/>
        </w:rPr>
        <w:t> </w:t>
      </w:r>
      <w:r>
        <w:rPr>
          <w:sz w:val="18"/>
        </w:rPr>
        <w:t>Availability</w:t>
      </w:r>
      <w:r>
        <w:rPr>
          <w:spacing w:val="-8"/>
          <w:sz w:val="18"/>
        </w:rPr>
        <w:t> </w:t>
      </w:r>
      <w:r>
        <w:rPr>
          <w:sz w:val="18"/>
        </w:rPr>
        <w:t>of</w:t>
      </w:r>
      <w:r>
        <w:rPr>
          <w:spacing w:val="-8"/>
          <w:sz w:val="18"/>
        </w:rPr>
        <w:t> </w:t>
      </w:r>
      <w:r>
        <w:rPr>
          <w:sz w:val="18"/>
        </w:rPr>
        <w:t>depleted</w:t>
      </w:r>
      <w:r>
        <w:rPr>
          <w:spacing w:val="-8"/>
          <w:sz w:val="18"/>
        </w:rPr>
        <w:t> </w:t>
      </w:r>
      <w:r>
        <w:rPr>
          <w:sz w:val="18"/>
        </w:rPr>
        <w:t>oil</w:t>
      </w:r>
      <w:r>
        <w:rPr>
          <w:spacing w:val="-9"/>
          <w:sz w:val="18"/>
        </w:rPr>
        <w:t> </w:t>
      </w:r>
      <w:r>
        <w:rPr>
          <w:sz w:val="18"/>
        </w:rPr>
        <w:t>and gas reservoirs for disposal of carbon dioxide in the United States. Energy Conversion and Management, </w:t>
      </w:r>
      <w:r>
        <w:rPr>
          <w:b/>
          <w:sz w:val="18"/>
        </w:rPr>
        <w:t>34</w:t>
      </w:r>
      <w:r>
        <w:rPr>
          <w:sz w:val="18"/>
        </w:rPr>
        <w:t>(9–11),</w:t>
      </w:r>
      <w:r>
        <w:rPr>
          <w:spacing w:val="-13"/>
          <w:sz w:val="18"/>
        </w:rPr>
        <w:t> </w:t>
      </w:r>
      <w:r>
        <w:rPr>
          <w:sz w:val="18"/>
        </w:rPr>
        <w:t>1177–1187.</w:t>
      </w:r>
    </w:p>
    <w:p>
      <w:pPr>
        <w:spacing w:line="278" w:lineRule="auto" w:before="67"/>
        <w:ind w:left="497" w:right="532" w:hanging="341"/>
        <w:jc w:val="both"/>
        <w:rPr>
          <w:sz w:val="18"/>
        </w:rPr>
      </w:pPr>
      <w:r>
        <w:rPr/>
        <w:br w:type="column"/>
      </w:r>
      <w:r>
        <w:rPr>
          <w:b/>
          <w:sz w:val="18"/>
        </w:rPr>
        <w:t>Witherspoon</w:t>
      </w:r>
      <w:r>
        <w:rPr>
          <w:sz w:val="18"/>
        </w:rPr>
        <w:t>, P.A., I. Javendal, S.P. Neuman and R.A. Freeze, 1968: Interpretation of aquifer gas storage conditions from water pumping tests. American Gas Association.</w:t>
      </w:r>
    </w:p>
    <w:p>
      <w:pPr>
        <w:spacing w:line="230" w:lineRule="auto" w:before="4"/>
        <w:ind w:left="497" w:right="531" w:hanging="341"/>
        <w:jc w:val="both"/>
        <w:rPr>
          <w:sz w:val="18"/>
        </w:rPr>
      </w:pPr>
      <w:r>
        <w:rPr>
          <w:b/>
          <w:spacing w:val="-4"/>
          <w:sz w:val="18"/>
        </w:rPr>
        <w:t>Wo</w:t>
      </w:r>
      <w:r>
        <w:rPr>
          <w:spacing w:val="-4"/>
          <w:sz w:val="18"/>
        </w:rPr>
        <w:t>,</w:t>
      </w:r>
      <w:r>
        <w:rPr>
          <w:spacing w:val="-9"/>
          <w:sz w:val="18"/>
        </w:rPr>
        <w:t> </w:t>
      </w:r>
      <w:r>
        <w:rPr>
          <w:sz w:val="18"/>
        </w:rPr>
        <w:t>S.</w:t>
      </w:r>
      <w:r>
        <w:rPr>
          <w:spacing w:val="-9"/>
          <w:sz w:val="18"/>
        </w:rPr>
        <w:t> </w:t>
      </w:r>
      <w:r>
        <w:rPr>
          <w:sz w:val="18"/>
        </w:rPr>
        <w:t>and</w:t>
      </w:r>
      <w:r>
        <w:rPr>
          <w:spacing w:val="-9"/>
          <w:sz w:val="18"/>
        </w:rPr>
        <w:t> </w:t>
      </w:r>
      <w:r>
        <w:rPr>
          <w:spacing w:val="-4"/>
          <w:sz w:val="18"/>
        </w:rPr>
        <w:t>J-T.</w:t>
      </w:r>
      <w:r>
        <w:rPr>
          <w:spacing w:val="-9"/>
          <w:sz w:val="18"/>
        </w:rPr>
        <w:t> </w:t>
      </w:r>
      <w:r>
        <w:rPr>
          <w:sz w:val="18"/>
        </w:rPr>
        <w:t>Liang,</w:t>
      </w:r>
      <w:r>
        <w:rPr>
          <w:spacing w:val="-9"/>
          <w:sz w:val="18"/>
        </w:rPr>
        <w:t> </w:t>
      </w:r>
      <w:r>
        <w:rPr>
          <w:sz w:val="18"/>
        </w:rPr>
        <w:t>2005:</w:t>
      </w:r>
      <w:r>
        <w:rPr>
          <w:spacing w:val="-9"/>
          <w:sz w:val="18"/>
        </w:rPr>
        <w:t> </w:t>
      </w:r>
      <w:r>
        <w:rPr>
          <w:sz w:val="18"/>
        </w:rPr>
        <w:t>CO</w:t>
      </w:r>
      <w:r>
        <w:rPr>
          <w:position w:val="-5"/>
          <w:sz w:val="10"/>
        </w:rPr>
        <w:t>2</w:t>
      </w:r>
      <w:r>
        <w:rPr>
          <w:spacing w:val="11"/>
          <w:position w:val="-5"/>
          <w:sz w:val="10"/>
        </w:rPr>
        <w:t> </w:t>
      </w:r>
      <w:r>
        <w:rPr>
          <w:sz w:val="18"/>
        </w:rPr>
        <w:t>storage</w:t>
      </w:r>
      <w:r>
        <w:rPr>
          <w:spacing w:val="-9"/>
          <w:sz w:val="18"/>
        </w:rPr>
        <w:t> </w:t>
      </w:r>
      <w:r>
        <w:rPr>
          <w:sz w:val="18"/>
        </w:rPr>
        <w:t>in</w:t>
      </w:r>
      <w:r>
        <w:rPr>
          <w:spacing w:val="-8"/>
          <w:sz w:val="18"/>
        </w:rPr>
        <w:t> </w:t>
      </w:r>
      <w:r>
        <w:rPr>
          <w:sz w:val="18"/>
        </w:rPr>
        <w:t>coalbeds:</w:t>
      </w:r>
      <w:r>
        <w:rPr>
          <w:spacing w:val="-9"/>
          <w:sz w:val="18"/>
        </w:rPr>
        <w:t> </w:t>
      </w:r>
      <w:r>
        <w:rPr>
          <w:sz w:val="18"/>
        </w:rPr>
        <w:t>CO</w:t>
      </w:r>
      <w:r>
        <w:rPr>
          <w:position w:val="-5"/>
          <w:sz w:val="10"/>
        </w:rPr>
        <w:t>2</w:t>
      </w:r>
      <w:r>
        <w:rPr>
          <w:sz w:val="18"/>
        </w:rPr>
        <w:t>/N</w:t>
      </w:r>
      <w:r>
        <w:rPr>
          <w:position w:val="-5"/>
          <w:sz w:val="10"/>
        </w:rPr>
        <w:t>2</w:t>
      </w:r>
      <w:r>
        <w:rPr>
          <w:spacing w:val="11"/>
          <w:position w:val="-5"/>
          <w:sz w:val="10"/>
        </w:rPr>
        <w:t> </w:t>
      </w:r>
      <w:r>
        <w:rPr>
          <w:sz w:val="18"/>
        </w:rPr>
        <w:t>injection and</w:t>
      </w:r>
      <w:r>
        <w:rPr>
          <w:spacing w:val="12"/>
          <w:sz w:val="18"/>
        </w:rPr>
        <w:t> </w:t>
      </w:r>
      <w:r>
        <w:rPr>
          <w:sz w:val="18"/>
        </w:rPr>
        <w:t>outcrop</w:t>
      </w:r>
      <w:r>
        <w:rPr>
          <w:spacing w:val="12"/>
          <w:sz w:val="18"/>
        </w:rPr>
        <w:t> </w:t>
      </w:r>
      <w:r>
        <w:rPr>
          <w:sz w:val="18"/>
        </w:rPr>
        <w:t>seepage</w:t>
      </w:r>
      <w:r>
        <w:rPr>
          <w:spacing w:val="12"/>
          <w:sz w:val="18"/>
        </w:rPr>
        <w:t> </w:t>
      </w:r>
      <w:r>
        <w:rPr>
          <w:sz w:val="18"/>
        </w:rPr>
        <w:t>modeling,</w:t>
      </w:r>
      <w:r>
        <w:rPr>
          <w:spacing w:val="13"/>
          <w:sz w:val="18"/>
        </w:rPr>
        <w:t> </w:t>
      </w:r>
      <w:r>
        <w:rPr>
          <w:sz w:val="18"/>
        </w:rPr>
        <w:t>Carbon</w:t>
      </w:r>
      <w:r>
        <w:rPr>
          <w:spacing w:val="12"/>
          <w:sz w:val="18"/>
        </w:rPr>
        <w:t> </w:t>
      </w:r>
      <w:r>
        <w:rPr>
          <w:sz w:val="18"/>
        </w:rPr>
        <w:t>Dioxide</w:t>
      </w:r>
      <w:r>
        <w:rPr>
          <w:spacing w:val="12"/>
          <w:sz w:val="18"/>
        </w:rPr>
        <w:t> </w:t>
      </w:r>
      <w:r>
        <w:rPr>
          <w:sz w:val="18"/>
        </w:rPr>
        <w:t>Capture</w:t>
      </w:r>
      <w:r>
        <w:rPr>
          <w:spacing w:val="13"/>
          <w:sz w:val="18"/>
        </w:rPr>
        <w:t> </w:t>
      </w:r>
      <w:r>
        <w:rPr>
          <w:sz w:val="18"/>
        </w:rPr>
        <w:t>for</w:t>
      </w:r>
    </w:p>
    <w:p>
      <w:pPr>
        <w:spacing w:line="240" w:lineRule="exact" w:before="11"/>
        <w:ind w:left="497" w:right="531" w:firstLine="0"/>
        <w:jc w:val="both"/>
        <w:rPr>
          <w:sz w:val="18"/>
        </w:rPr>
      </w:pPr>
      <w:r>
        <w:rPr>
          <w:sz w:val="18"/>
        </w:rPr>
        <w:t>Storage in Deep Geologic Formations—Results from the CO</w:t>
      </w:r>
      <w:r>
        <w:rPr>
          <w:position w:val="-5"/>
          <w:sz w:val="10"/>
        </w:rPr>
        <w:t>2 </w:t>
      </w:r>
      <w:r>
        <w:rPr>
          <w:sz w:val="18"/>
        </w:rPr>
        <w:t>Capture Project, </w:t>
      </w:r>
      <w:r>
        <w:rPr>
          <w:spacing w:val="-6"/>
          <w:sz w:val="18"/>
        </w:rPr>
        <w:t>v. </w:t>
      </w:r>
      <w:r>
        <w:rPr>
          <w:sz w:val="18"/>
        </w:rPr>
        <w:t>2: Geologic Storage of Carbon Dioxide with Monitoring</w:t>
      </w:r>
      <w:r>
        <w:rPr>
          <w:spacing w:val="-10"/>
          <w:sz w:val="18"/>
        </w:rPr>
        <w:t> </w:t>
      </w:r>
      <w:r>
        <w:rPr>
          <w:sz w:val="18"/>
        </w:rPr>
        <w:t>and</w:t>
      </w:r>
      <w:r>
        <w:rPr>
          <w:spacing w:val="-12"/>
          <w:sz w:val="18"/>
        </w:rPr>
        <w:t> </w:t>
      </w:r>
      <w:r>
        <w:rPr>
          <w:sz w:val="18"/>
        </w:rPr>
        <w:t>Verification,</w:t>
      </w:r>
      <w:r>
        <w:rPr>
          <w:spacing w:val="-10"/>
          <w:sz w:val="18"/>
        </w:rPr>
        <w:t> </w:t>
      </w:r>
      <w:r>
        <w:rPr>
          <w:sz w:val="18"/>
        </w:rPr>
        <w:t>S.M.</w:t>
      </w:r>
      <w:r>
        <w:rPr>
          <w:spacing w:val="-10"/>
          <w:sz w:val="18"/>
        </w:rPr>
        <w:t> </w:t>
      </w:r>
      <w:r>
        <w:rPr>
          <w:sz w:val="18"/>
        </w:rPr>
        <w:t>Benson</w:t>
      </w:r>
      <w:r>
        <w:rPr>
          <w:spacing w:val="-9"/>
          <w:sz w:val="18"/>
        </w:rPr>
        <w:t> </w:t>
      </w:r>
      <w:r>
        <w:rPr>
          <w:sz w:val="18"/>
        </w:rPr>
        <w:t>(ed.),</w:t>
      </w:r>
      <w:r>
        <w:rPr>
          <w:spacing w:val="-10"/>
          <w:sz w:val="18"/>
        </w:rPr>
        <w:t> </w:t>
      </w:r>
      <w:r>
        <w:rPr>
          <w:sz w:val="18"/>
        </w:rPr>
        <w:t>Elsevier</w:t>
      </w:r>
      <w:r>
        <w:rPr>
          <w:spacing w:val="-10"/>
          <w:sz w:val="18"/>
        </w:rPr>
        <w:t> </w:t>
      </w:r>
      <w:r>
        <w:rPr>
          <w:sz w:val="18"/>
        </w:rPr>
        <w:t>Science, London, pp. 897–924.</w:t>
      </w:r>
    </w:p>
    <w:p>
      <w:pPr>
        <w:spacing w:line="240" w:lineRule="exact" w:before="0"/>
        <w:ind w:left="497" w:right="531" w:hanging="341"/>
        <w:jc w:val="both"/>
        <w:rPr>
          <w:sz w:val="18"/>
        </w:rPr>
      </w:pPr>
      <w:r>
        <w:rPr>
          <w:b/>
          <w:spacing w:val="-4"/>
          <w:sz w:val="18"/>
        </w:rPr>
        <w:t>Wo</w:t>
      </w:r>
      <w:r>
        <w:rPr>
          <w:spacing w:val="-4"/>
          <w:sz w:val="18"/>
        </w:rPr>
        <w:t>, </w:t>
      </w:r>
      <w:r>
        <w:rPr>
          <w:sz w:val="18"/>
        </w:rPr>
        <w:t>S., </w:t>
      </w:r>
      <w:r>
        <w:rPr>
          <w:spacing w:val="-4"/>
          <w:sz w:val="18"/>
        </w:rPr>
        <w:t>J-T. </w:t>
      </w:r>
      <w:r>
        <w:rPr>
          <w:sz w:val="18"/>
        </w:rPr>
        <w:t>Liang and L.R. </w:t>
      </w:r>
      <w:r>
        <w:rPr>
          <w:spacing w:val="-3"/>
          <w:sz w:val="18"/>
        </w:rPr>
        <w:t>Myer, </w:t>
      </w:r>
      <w:r>
        <w:rPr>
          <w:sz w:val="18"/>
        </w:rPr>
        <w:t>2005: CO</w:t>
      </w:r>
      <w:r>
        <w:rPr>
          <w:position w:val="-5"/>
          <w:sz w:val="10"/>
        </w:rPr>
        <w:t>2 </w:t>
      </w:r>
      <w:r>
        <w:rPr>
          <w:sz w:val="18"/>
        </w:rPr>
        <w:t>storage in coalbeds:</w:t>
      </w:r>
      <w:r>
        <w:rPr>
          <w:spacing w:val="-30"/>
          <w:sz w:val="18"/>
        </w:rPr>
        <w:t> </w:t>
      </w:r>
      <w:r>
        <w:rPr>
          <w:sz w:val="18"/>
        </w:rPr>
        <w:t>Risk assessment of CO</w:t>
      </w:r>
      <w:r>
        <w:rPr>
          <w:position w:val="-5"/>
          <w:sz w:val="10"/>
        </w:rPr>
        <w:t>2 </w:t>
      </w:r>
      <w:r>
        <w:rPr>
          <w:sz w:val="18"/>
        </w:rPr>
        <w:t>and methane leakage, Carbon Dioxide</w:t>
      </w:r>
      <w:r>
        <w:rPr>
          <w:spacing w:val="-20"/>
          <w:sz w:val="18"/>
        </w:rPr>
        <w:t> </w:t>
      </w:r>
      <w:r>
        <w:rPr>
          <w:sz w:val="18"/>
        </w:rPr>
        <w:t>Capture for Storage in Deep Geologic Formations—Results from the CO</w:t>
      </w:r>
      <w:r>
        <w:rPr>
          <w:position w:val="-5"/>
          <w:sz w:val="10"/>
        </w:rPr>
        <w:t>2 </w:t>
      </w:r>
      <w:r>
        <w:rPr>
          <w:sz w:val="18"/>
        </w:rPr>
        <w:t>Capture Project, </w:t>
      </w:r>
      <w:r>
        <w:rPr>
          <w:spacing w:val="-6"/>
          <w:sz w:val="18"/>
        </w:rPr>
        <w:t>v. </w:t>
      </w:r>
      <w:r>
        <w:rPr>
          <w:sz w:val="18"/>
        </w:rPr>
        <w:t>2: Geologic Storage of Carbon Dioxide with Monitoring</w:t>
      </w:r>
      <w:r>
        <w:rPr>
          <w:spacing w:val="-10"/>
          <w:sz w:val="18"/>
        </w:rPr>
        <w:t> </w:t>
      </w:r>
      <w:r>
        <w:rPr>
          <w:sz w:val="18"/>
        </w:rPr>
        <w:t>and</w:t>
      </w:r>
      <w:r>
        <w:rPr>
          <w:spacing w:val="-12"/>
          <w:sz w:val="18"/>
        </w:rPr>
        <w:t> </w:t>
      </w:r>
      <w:r>
        <w:rPr>
          <w:sz w:val="18"/>
        </w:rPr>
        <w:t>Verification,</w:t>
      </w:r>
      <w:r>
        <w:rPr>
          <w:spacing w:val="-10"/>
          <w:sz w:val="18"/>
        </w:rPr>
        <w:t> </w:t>
      </w:r>
      <w:r>
        <w:rPr>
          <w:sz w:val="18"/>
        </w:rPr>
        <w:t>S.M.</w:t>
      </w:r>
      <w:r>
        <w:rPr>
          <w:spacing w:val="-10"/>
          <w:sz w:val="18"/>
        </w:rPr>
        <w:t> </w:t>
      </w:r>
      <w:r>
        <w:rPr>
          <w:sz w:val="18"/>
        </w:rPr>
        <w:t>Benson</w:t>
      </w:r>
      <w:r>
        <w:rPr>
          <w:spacing w:val="-9"/>
          <w:sz w:val="18"/>
        </w:rPr>
        <w:t> </w:t>
      </w:r>
      <w:r>
        <w:rPr>
          <w:sz w:val="18"/>
        </w:rPr>
        <w:t>(ed.),</w:t>
      </w:r>
      <w:r>
        <w:rPr>
          <w:spacing w:val="-10"/>
          <w:sz w:val="18"/>
        </w:rPr>
        <w:t> </w:t>
      </w:r>
      <w:r>
        <w:rPr>
          <w:sz w:val="18"/>
        </w:rPr>
        <w:t>Elsevier</w:t>
      </w:r>
      <w:r>
        <w:rPr>
          <w:spacing w:val="-10"/>
          <w:sz w:val="18"/>
        </w:rPr>
        <w:t> </w:t>
      </w:r>
      <w:r>
        <w:rPr>
          <w:sz w:val="18"/>
        </w:rPr>
        <w:t>Science, London. pp. 1263–1292.</w:t>
      </w:r>
    </w:p>
    <w:p>
      <w:pPr>
        <w:spacing w:line="240" w:lineRule="exact" w:before="0"/>
        <w:ind w:left="497" w:right="531" w:hanging="341"/>
        <w:jc w:val="both"/>
        <w:rPr>
          <w:sz w:val="18"/>
        </w:rPr>
      </w:pPr>
      <w:r>
        <w:rPr>
          <w:b/>
          <w:sz w:val="18"/>
        </w:rPr>
        <w:t>Wong</w:t>
      </w:r>
      <w:r>
        <w:rPr>
          <w:sz w:val="18"/>
        </w:rPr>
        <w:t>, S., </w:t>
      </w:r>
      <w:r>
        <w:rPr>
          <w:spacing w:val="-5"/>
          <w:sz w:val="18"/>
        </w:rPr>
        <w:t>W.D. </w:t>
      </w:r>
      <w:r>
        <w:rPr>
          <w:sz w:val="18"/>
        </w:rPr>
        <w:t>Gunter and J. Gale, 2001: Site ranking for CO</w:t>
      </w:r>
      <w:r>
        <w:rPr>
          <w:position w:val="-5"/>
          <w:sz w:val="10"/>
        </w:rPr>
        <w:t>2</w:t>
      </w:r>
      <w:r>
        <w:rPr>
          <w:sz w:val="18"/>
        </w:rPr>
        <w:t>- enhanced coalbed methane demonstration  pilots.  Proceedings  of the 5</w:t>
      </w:r>
      <w:r>
        <w:rPr>
          <w:position w:val="6"/>
          <w:sz w:val="10"/>
        </w:rPr>
        <w:t>th </w:t>
      </w:r>
      <w:r>
        <w:rPr>
          <w:sz w:val="18"/>
        </w:rPr>
        <w:t>International Conference on Greenhouse Gas Control Technologies</w:t>
      </w:r>
      <w:r>
        <w:rPr>
          <w:spacing w:val="-17"/>
          <w:sz w:val="18"/>
        </w:rPr>
        <w:t> </w:t>
      </w:r>
      <w:r>
        <w:rPr>
          <w:sz w:val="18"/>
        </w:rPr>
        <w:t>(GHGT-5),</w:t>
      </w:r>
      <w:r>
        <w:rPr>
          <w:spacing w:val="-15"/>
          <w:sz w:val="18"/>
        </w:rPr>
        <w:t> </w:t>
      </w:r>
      <w:r>
        <w:rPr>
          <w:sz w:val="18"/>
        </w:rPr>
        <w:t>D.J.</w:t>
      </w:r>
      <w:r>
        <w:rPr>
          <w:spacing w:val="-18"/>
          <w:sz w:val="18"/>
        </w:rPr>
        <w:t> </w:t>
      </w:r>
      <w:r>
        <w:rPr>
          <w:sz w:val="18"/>
        </w:rPr>
        <w:t>Williams,</w:t>
      </w:r>
      <w:r>
        <w:rPr>
          <w:spacing w:val="-17"/>
          <w:sz w:val="18"/>
        </w:rPr>
        <w:t> </w:t>
      </w:r>
      <w:r>
        <w:rPr>
          <w:sz w:val="18"/>
        </w:rPr>
        <w:t>R.A.</w:t>
      </w:r>
      <w:r>
        <w:rPr>
          <w:spacing w:val="-15"/>
          <w:sz w:val="18"/>
        </w:rPr>
        <w:t> </w:t>
      </w:r>
      <w:r>
        <w:rPr>
          <w:sz w:val="18"/>
        </w:rPr>
        <w:t>Durie,</w:t>
      </w:r>
      <w:r>
        <w:rPr>
          <w:spacing w:val="-15"/>
          <w:sz w:val="18"/>
        </w:rPr>
        <w:t> </w:t>
      </w:r>
      <w:r>
        <w:rPr>
          <w:spacing w:val="-10"/>
          <w:sz w:val="18"/>
        </w:rPr>
        <w:t>P.</w:t>
      </w:r>
      <w:r>
        <w:rPr>
          <w:spacing w:val="-15"/>
          <w:sz w:val="18"/>
        </w:rPr>
        <w:t> </w:t>
      </w:r>
      <w:r>
        <w:rPr>
          <w:sz w:val="18"/>
        </w:rPr>
        <w:t>McMullan,</w:t>
      </w:r>
    </w:p>
    <w:p>
      <w:pPr>
        <w:spacing w:line="278" w:lineRule="auto" w:before="24"/>
        <w:ind w:left="497" w:right="533" w:firstLine="0"/>
        <w:jc w:val="both"/>
        <w:rPr>
          <w:sz w:val="18"/>
        </w:rPr>
      </w:pPr>
      <w:r>
        <w:rPr>
          <w:sz w:val="18"/>
        </w:rPr>
        <w:t>C.A.J. Paulson and A. Smith (eds.), 13–16 August 2000, Cairns, Australia, CSIRO Publishing, Collingwood, Victoria, Australia, pp. 543–548.</w:t>
      </w:r>
    </w:p>
    <w:p>
      <w:pPr>
        <w:spacing w:line="278" w:lineRule="auto" w:before="0"/>
        <w:ind w:left="497" w:right="532" w:hanging="341"/>
        <w:jc w:val="both"/>
        <w:rPr>
          <w:sz w:val="18"/>
        </w:rPr>
      </w:pPr>
      <w:r>
        <w:rPr>
          <w:b/>
          <w:sz w:val="18"/>
        </w:rPr>
        <w:t>Wright</w:t>
      </w:r>
      <w:r>
        <w:rPr>
          <w:sz w:val="18"/>
        </w:rPr>
        <w:t>, G. and Majek, 1998: Chromatograph, RTU Monitoring of CO</w:t>
      </w:r>
      <w:r>
        <w:rPr>
          <w:position w:val="-5"/>
          <w:sz w:val="10"/>
        </w:rPr>
        <w:t>2 </w:t>
      </w:r>
      <w:r>
        <w:rPr>
          <w:sz w:val="18"/>
        </w:rPr>
        <w:t>Injection. </w:t>
      </w:r>
      <w:r>
        <w:rPr>
          <w:i/>
          <w:sz w:val="18"/>
        </w:rPr>
        <w:t>Oil and Gas Journal, </w:t>
      </w:r>
      <w:r>
        <w:rPr>
          <w:sz w:val="18"/>
        </w:rPr>
        <w:t>July 20, 1998.</w:t>
      </w:r>
    </w:p>
    <w:p>
      <w:pPr>
        <w:spacing w:line="164" w:lineRule="exact" w:before="0"/>
        <w:ind w:left="157" w:right="0" w:firstLine="0"/>
        <w:jc w:val="both"/>
        <w:rPr>
          <w:sz w:val="18"/>
        </w:rPr>
      </w:pPr>
      <w:r>
        <w:rPr>
          <w:b/>
          <w:sz w:val="18"/>
        </w:rPr>
        <w:t>Wyss</w:t>
      </w:r>
      <w:r>
        <w:rPr>
          <w:sz w:val="18"/>
        </w:rPr>
        <w:t>, M. and P. Molnar, 1972: Efficiency, stress drop, apparent</w:t>
      </w:r>
    </w:p>
    <w:p>
      <w:pPr>
        <w:spacing w:line="278" w:lineRule="auto" w:before="33"/>
        <w:ind w:left="497" w:right="533" w:firstLine="0"/>
        <w:jc w:val="both"/>
        <w:rPr>
          <w:sz w:val="18"/>
        </w:rPr>
      </w:pPr>
      <w:r>
        <w:rPr>
          <w:sz w:val="18"/>
        </w:rPr>
        <w:t>stress, effective stress and frictional stress of Denver, Colorado, earthquakes. </w:t>
      </w:r>
      <w:r>
        <w:rPr>
          <w:i/>
          <w:sz w:val="18"/>
        </w:rPr>
        <w:t>Journal of Geophysical Research, </w:t>
      </w:r>
      <w:r>
        <w:rPr>
          <w:b/>
          <w:sz w:val="18"/>
        </w:rPr>
        <w:t>77</w:t>
      </w:r>
      <w:r>
        <w:rPr>
          <w:sz w:val="18"/>
        </w:rPr>
        <w:t>, 1433–1438.</w:t>
      </w:r>
    </w:p>
    <w:p>
      <w:pPr>
        <w:spacing w:line="207" w:lineRule="exact" w:before="0"/>
        <w:ind w:left="497" w:right="0" w:hanging="341"/>
        <w:jc w:val="both"/>
        <w:rPr>
          <w:sz w:val="18"/>
        </w:rPr>
      </w:pPr>
      <w:r>
        <w:rPr>
          <w:b/>
          <w:sz w:val="18"/>
        </w:rPr>
        <w:t>xu</w:t>
      </w:r>
      <w:r>
        <w:rPr>
          <w:sz w:val="18"/>
        </w:rPr>
        <w:t>, T., J.A. Apps and K. Pruess, 2003: Reactive geochemical</w:t>
      </w:r>
    </w:p>
    <w:p>
      <w:pPr>
        <w:spacing w:line="240" w:lineRule="exact" w:before="9"/>
        <w:ind w:left="497" w:right="531" w:firstLine="0"/>
        <w:jc w:val="both"/>
        <w:rPr>
          <w:sz w:val="18"/>
        </w:rPr>
      </w:pPr>
      <w:r>
        <w:rPr>
          <w:sz w:val="18"/>
        </w:rPr>
        <w:t>transport simulation to study mineral trapping for CO</w:t>
      </w:r>
      <w:r>
        <w:rPr>
          <w:position w:val="-5"/>
          <w:sz w:val="10"/>
        </w:rPr>
        <w:t>2 </w:t>
      </w:r>
      <w:r>
        <w:rPr>
          <w:sz w:val="18"/>
        </w:rPr>
        <w:t>disposal  in deep arenaceous formations. </w:t>
      </w:r>
      <w:r>
        <w:rPr>
          <w:i/>
          <w:sz w:val="18"/>
        </w:rPr>
        <w:t>Journal of Geophysical</w:t>
      </w:r>
      <w:r>
        <w:rPr>
          <w:i/>
          <w:spacing w:val="-24"/>
          <w:sz w:val="18"/>
        </w:rPr>
        <w:t> </w:t>
      </w:r>
      <w:r>
        <w:rPr>
          <w:i/>
          <w:sz w:val="18"/>
        </w:rPr>
        <w:t>Research, </w:t>
      </w:r>
      <w:r>
        <w:rPr>
          <w:b/>
          <w:sz w:val="18"/>
        </w:rPr>
        <w:t>108</w:t>
      </w:r>
      <w:r>
        <w:rPr>
          <w:sz w:val="18"/>
        </w:rPr>
        <w:t>(B2), 2071–2084.</w:t>
      </w:r>
    </w:p>
    <w:p>
      <w:pPr>
        <w:spacing w:line="240" w:lineRule="exact" w:before="0"/>
        <w:ind w:left="497" w:right="531" w:hanging="341"/>
        <w:jc w:val="both"/>
        <w:rPr>
          <w:sz w:val="18"/>
        </w:rPr>
      </w:pPr>
      <w:r>
        <w:rPr>
          <w:b/>
          <w:spacing w:val="-3"/>
          <w:sz w:val="18"/>
        </w:rPr>
        <w:t>yamaguchi</w:t>
      </w:r>
      <w:r>
        <w:rPr>
          <w:spacing w:val="-3"/>
          <w:sz w:val="18"/>
        </w:rPr>
        <w:t>,  </w:t>
      </w:r>
      <w:r>
        <w:rPr>
          <w:sz w:val="18"/>
        </w:rPr>
        <w:t>S., K. Ohga, M. Fujioka and S. Muto, 2005: Prospect    of CO</w:t>
      </w:r>
      <w:r>
        <w:rPr>
          <w:position w:val="-5"/>
          <w:sz w:val="10"/>
        </w:rPr>
        <w:t>2  </w:t>
      </w:r>
      <w:r>
        <w:rPr>
          <w:sz w:val="18"/>
        </w:rPr>
        <w:t>sequestration in Ishikari coal mine, Japan. Proceedings  of the 7</w:t>
      </w:r>
      <w:r>
        <w:rPr>
          <w:position w:val="6"/>
          <w:sz w:val="10"/>
        </w:rPr>
        <w:t>th </w:t>
      </w:r>
      <w:r>
        <w:rPr>
          <w:sz w:val="18"/>
        </w:rPr>
        <w:t>International Conference on Greenhouse Gas Control Technologies (GHGT-7), 5–9 September 2004,</w:t>
      </w:r>
      <w:r>
        <w:rPr>
          <w:spacing w:val="2"/>
          <w:sz w:val="18"/>
        </w:rPr>
        <w:t> </w:t>
      </w:r>
      <w:r>
        <w:rPr>
          <w:spacing w:val="-3"/>
          <w:sz w:val="18"/>
        </w:rPr>
        <w:t>Vancouver,</w:t>
      </w:r>
    </w:p>
    <w:p>
      <w:pPr>
        <w:spacing w:before="24"/>
        <w:ind w:left="497" w:right="0" w:firstLine="0"/>
        <w:jc w:val="both"/>
        <w:rPr>
          <w:sz w:val="18"/>
        </w:rPr>
      </w:pPr>
      <w:r>
        <w:rPr>
          <w:sz w:val="18"/>
        </w:rPr>
        <w:t>Canada, v.I, 423-430.</w:t>
      </w:r>
    </w:p>
    <w:p>
      <w:pPr>
        <w:spacing w:before="33"/>
        <w:ind w:left="157" w:right="0" w:firstLine="0"/>
        <w:jc w:val="both"/>
        <w:rPr>
          <w:sz w:val="18"/>
        </w:rPr>
      </w:pPr>
      <w:r>
        <w:rPr>
          <w:b/>
          <w:sz w:val="18"/>
        </w:rPr>
        <w:t>Zarlenga </w:t>
      </w:r>
      <w:r>
        <w:rPr>
          <w:sz w:val="18"/>
        </w:rPr>
        <w:t>F., R. Vellone, G.P. Beretta, C. Calore, M.A. Chiaramonte,</w:t>
      </w:r>
    </w:p>
    <w:p>
      <w:pPr>
        <w:spacing w:line="240" w:lineRule="exact" w:before="9"/>
        <w:ind w:left="497" w:right="532" w:firstLine="0"/>
        <w:jc w:val="both"/>
        <w:rPr>
          <w:sz w:val="18"/>
        </w:rPr>
      </w:pPr>
      <w:r>
        <w:rPr>
          <w:sz w:val="18"/>
        </w:rPr>
        <w:t>D.</w:t>
      </w:r>
      <w:r>
        <w:rPr>
          <w:spacing w:val="-11"/>
          <w:sz w:val="18"/>
        </w:rPr>
        <w:t> </w:t>
      </w:r>
      <w:r>
        <w:rPr>
          <w:sz w:val="18"/>
        </w:rPr>
        <w:t>De</w:t>
      </w:r>
      <w:r>
        <w:rPr>
          <w:spacing w:val="-10"/>
          <w:sz w:val="18"/>
        </w:rPr>
        <w:t> </w:t>
      </w:r>
      <w:r>
        <w:rPr>
          <w:sz w:val="18"/>
        </w:rPr>
        <w:t>Rita,</w:t>
      </w:r>
      <w:r>
        <w:rPr>
          <w:spacing w:val="-10"/>
          <w:sz w:val="18"/>
        </w:rPr>
        <w:t> </w:t>
      </w:r>
      <w:r>
        <w:rPr>
          <w:sz w:val="18"/>
        </w:rPr>
        <w:t>R.</w:t>
      </w:r>
      <w:r>
        <w:rPr>
          <w:spacing w:val="-11"/>
          <w:sz w:val="18"/>
        </w:rPr>
        <w:t> </w:t>
      </w:r>
      <w:r>
        <w:rPr>
          <w:sz w:val="18"/>
        </w:rPr>
        <w:t>Funiciello,</w:t>
      </w:r>
      <w:r>
        <w:rPr>
          <w:spacing w:val="-11"/>
          <w:sz w:val="18"/>
        </w:rPr>
        <w:t> </w:t>
      </w:r>
      <w:r>
        <w:rPr>
          <w:sz w:val="18"/>
        </w:rPr>
        <w:t>G.</w:t>
      </w:r>
      <w:r>
        <w:rPr>
          <w:spacing w:val="-10"/>
          <w:sz w:val="18"/>
        </w:rPr>
        <w:t> </w:t>
      </w:r>
      <w:r>
        <w:rPr>
          <w:sz w:val="18"/>
        </w:rPr>
        <w:t>Gambolati,</w:t>
      </w:r>
      <w:r>
        <w:rPr>
          <w:spacing w:val="-11"/>
          <w:sz w:val="18"/>
        </w:rPr>
        <w:t> </w:t>
      </w:r>
      <w:r>
        <w:rPr>
          <w:sz w:val="18"/>
        </w:rPr>
        <w:t>G.</w:t>
      </w:r>
      <w:r>
        <w:rPr>
          <w:spacing w:val="-11"/>
          <w:sz w:val="18"/>
        </w:rPr>
        <w:t> </w:t>
      </w:r>
      <w:r>
        <w:rPr>
          <w:sz w:val="18"/>
        </w:rPr>
        <w:t>Gianelli,</w:t>
      </w:r>
      <w:r>
        <w:rPr>
          <w:spacing w:val="-11"/>
          <w:sz w:val="18"/>
        </w:rPr>
        <w:t> </w:t>
      </w:r>
      <w:r>
        <w:rPr>
          <w:sz w:val="18"/>
        </w:rPr>
        <w:t>S.</w:t>
      </w:r>
      <w:r>
        <w:rPr>
          <w:spacing w:val="-10"/>
          <w:sz w:val="18"/>
        </w:rPr>
        <w:t> </w:t>
      </w:r>
      <w:r>
        <w:rPr>
          <w:sz w:val="18"/>
        </w:rPr>
        <w:t>Grauso,</w:t>
      </w:r>
      <w:r>
        <w:rPr>
          <w:spacing w:val="-10"/>
          <w:sz w:val="18"/>
        </w:rPr>
        <w:t> </w:t>
      </w:r>
      <w:r>
        <w:rPr>
          <w:sz w:val="18"/>
        </w:rPr>
        <w:t>S. Lombardi,</w:t>
      </w:r>
      <w:r>
        <w:rPr>
          <w:spacing w:val="-17"/>
          <w:sz w:val="18"/>
        </w:rPr>
        <w:t> </w:t>
      </w:r>
      <w:r>
        <w:rPr>
          <w:sz w:val="18"/>
        </w:rPr>
        <w:t>I.</w:t>
      </w:r>
      <w:r>
        <w:rPr>
          <w:spacing w:val="-17"/>
          <w:sz w:val="18"/>
        </w:rPr>
        <w:t> </w:t>
      </w:r>
      <w:r>
        <w:rPr>
          <w:sz w:val="18"/>
        </w:rPr>
        <w:t>Marson,</w:t>
      </w:r>
      <w:r>
        <w:rPr>
          <w:spacing w:val="-16"/>
          <w:sz w:val="18"/>
        </w:rPr>
        <w:t> </w:t>
      </w:r>
      <w:r>
        <w:rPr>
          <w:sz w:val="18"/>
        </w:rPr>
        <w:t>S.</w:t>
      </w:r>
      <w:r>
        <w:rPr>
          <w:spacing w:val="-17"/>
          <w:sz w:val="18"/>
        </w:rPr>
        <w:t> </w:t>
      </w:r>
      <w:r>
        <w:rPr>
          <w:sz w:val="18"/>
        </w:rPr>
        <w:t>Persoglia,</w:t>
      </w:r>
      <w:r>
        <w:rPr>
          <w:spacing w:val="-17"/>
          <w:sz w:val="18"/>
        </w:rPr>
        <w:t> </w:t>
      </w:r>
      <w:r>
        <w:rPr>
          <w:sz w:val="18"/>
        </w:rPr>
        <w:t>G.</w:t>
      </w:r>
      <w:r>
        <w:rPr>
          <w:spacing w:val="-16"/>
          <w:sz w:val="18"/>
        </w:rPr>
        <w:t> </w:t>
      </w:r>
      <w:r>
        <w:rPr>
          <w:sz w:val="18"/>
        </w:rPr>
        <w:t>Seriani</w:t>
      </w:r>
      <w:r>
        <w:rPr>
          <w:spacing w:val="-17"/>
          <w:sz w:val="18"/>
        </w:rPr>
        <w:t> </w:t>
      </w:r>
      <w:r>
        <w:rPr>
          <w:sz w:val="18"/>
        </w:rPr>
        <w:t>and</w:t>
      </w:r>
      <w:r>
        <w:rPr>
          <w:spacing w:val="-16"/>
          <w:sz w:val="18"/>
        </w:rPr>
        <w:t> </w:t>
      </w:r>
      <w:r>
        <w:rPr>
          <w:sz w:val="18"/>
        </w:rPr>
        <w:t>S.</w:t>
      </w:r>
      <w:r>
        <w:rPr>
          <w:spacing w:val="-20"/>
          <w:sz w:val="18"/>
        </w:rPr>
        <w:t> </w:t>
      </w:r>
      <w:r>
        <w:rPr>
          <w:spacing w:val="-3"/>
          <w:sz w:val="18"/>
        </w:rPr>
        <w:t>Vercelli,</w:t>
      </w:r>
      <w:r>
        <w:rPr>
          <w:spacing w:val="-17"/>
          <w:sz w:val="18"/>
        </w:rPr>
        <w:t> </w:t>
      </w:r>
      <w:r>
        <w:rPr>
          <w:sz w:val="18"/>
        </w:rPr>
        <w:t>2004: Il confinamento geologico della CO</w:t>
      </w:r>
      <w:r>
        <w:rPr>
          <w:position w:val="-5"/>
          <w:sz w:val="10"/>
        </w:rPr>
        <w:t>2</w:t>
      </w:r>
      <w:r>
        <w:rPr>
          <w:sz w:val="18"/>
        </w:rPr>
        <w:t>: Possibilità e problematiche aperte in Italia. Energia e Innovazione, In press (In</w:t>
      </w:r>
      <w:r>
        <w:rPr>
          <w:spacing w:val="-2"/>
          <w:sz w:val="18"/>
        </w:rPr>
        <w:t> </w:t>
      </w:r>
      <w:r>
        <w:rPr>
          <w:sz w:val="18"/>
        </w:rPr>
        <w:t>Italian).</w:t>
      </w:r>
    </w:p>
    <w:p>
      <w:pPr>
        <w:spacing w:line="278" w:lineRule="auto" w:before="24"/>
        <w:ind w:left="497" w:right="532" w:hanging="341"/>
        <w:jc w:val="both"/>
        <w:rPr>
          <w:sz w:val="18"/>
        </w:rPr>
      </w:pPr>
      <w:r>
        <w:rPr>
          <w:b/>
          <w:sz w:val="18"/>
        </w:rPr>
        <w:t>Zhang</w:t>
      </w:r>
      <w:r>
        <w:rPr>
          <w:sz w:val="18"/>
        </w:rPr>
        <w:t>, C.J., M. Smith, M. and B.J. </w:t>
      </w:r>
      <w:r>
        <w:rPr>
          <w:spacing w:val="-3"/>
          <w:sz w:val="18"/>
        </w:rPr>
        <w:t>McCoy, </w:t>
      </w:r>
      <w:r>
        <w:rPr>
          <w:sz w:val="18"/>
        </w:rPr>
        <w:t>1993: Kinetics of supercritical fluid extraction of coal: Physical and chemical processes. In: Supercritical Fluid Engineering Science: Fundamentals</w:t>
      </w:r>
      <w:r>
        <w:rPr>
          <w:spacing w:val="-22"/>
          <w:sz w:val="18"/>
        </w:rPr>
        <w:t> </w:t>
      </w:r>
      <w:r>
        <w:rPr>
          <w:sz w:val="18"/>
        </w:rPr>
        <w:t>and</w:t>
      </w:r>
      <w:r>
        <w:rPr>
          <w:spacing w:val="-31"/>
          <w:sz w:val="18"/>
        </w:rPr>
        <w:t> </w:t>
      </w:r>
      <w:r>
        <w:rPr>
          <w:sz w:val="18"/>
        </w:rPr>
        <w:t>Applications,</w:t>
      </w:r>
      <w:r>
        <w:rPr>
          <w:spacing w:val="-22"/>
          <w:sz w:val="18"/>
        </w:rPr>
        <w:t> </w:t>
      </w:r>
      <w:r>
        <w:rPr>
          <w:sz w:val="18"/>
        </w:rPr>
        <w:t>E.</w:t>
      </w:r>
      <w:r>
        <w:rPr>
          <w:spacing w:val="-21"/>
          <w:sz w:val="18"/>
        </w:rPr>
        <w:t> </w:t>
      </w:r>
      <w:r>
        <w:rPr>
          <w:sz w:val="18"/>
        </w:rPr>
        <w:t>Kiran</w:t>
      </w:r>
      <w:r>
        <w:rPr>
          <w:spacing w:val="-22"/>
          <w:sz w:val="18"/>
        </w:rPr>
        <w:t> </w:t>
      </w:r>
      <w:r>
        <w:rPr>
          <w:sz w:val="18"/>
        </w:rPr>
        <w:t>and</w:t>
      </w:r>
      <w:r>
        <w:rPr>
          <w:spacing w:val="-22"/>
          <w:sz w:val="18"/>
        </w:rPr>
        <w:t> </w:t>
      </w:r>
      <w:r>
        <w:rPr>
          <w:spacing w:val="-5"/>
          <w:sz w:val="18"/>
        </w:rPr>
        <w:t>J.F.</w:t>
      </w:r>
      <w:r>
        <w:rPr>
          <w:spacing w:val="-21"/>
          <w:sz w:val="18"/>
        </w:rPr>
        <w:t> </w:t>
      </w:r>
      <w:r>
        <w:rPr>
          <w:sz w:val="18"/>
        </w:rPr>
        <w:t>Brennecke</w:t>
      </w:r>
      <w:r>
        <w:rPr>
          <w:spacing w:val="-22"/>
          <w:sz w:val="18"/>
        </w:rPr>
        <w:t> </w:t>
      </w:r>
      <w:r>
        <w:rPr>
          <w:sz w:val="18"/>
        </w:rPr>
        <w:t>(eds.), American Chemical </w:t>
      </w:r>
      <w:r>
        <w:rPr>
          <w:spacing w:val="-3"/>
          <w:sz w:val="18"/>
        </w:rPr>
        <w:t>Society, </w:t>
      </w:r>
      <w:r>
        <w:rPr>
          <w:sz w:val="18"/>
        </w:rPr>
        <w:t>Washington, DC, pp.</w:t>
      </w:r>
      <w:r>
        <w:rPr>
          <w:spacing w:val="-11"/>
          <w:sz w:val="18"/>
        </w:rPr>
        <w:t> </w:t>
      </w:r>
      <w:r>
        <w:rPr>
          <w:sz w:val="18"/>
        </w:rPr>
        <w:t>363–379.</w:t>
      </w:r>
    </w:p>
    <w:p>
      <w:pPr>
        <w:spacing w:line="206" w:lineRule="exact" w:before="0"/>
        <w:ind w:left="157" w:right="0" w:firstLine="0"/>
        <w:jc w:val="both"/>
        <w:rPr>
          <w:sz w:val="18"/>
        </w:rPr>
      </w:pPr>
      <w:r>
        <w:rPr>
          <w:b/>
          <w:sz w:val="18"/>
        </w:rPr>
        <w:t>Zhou, </w:t>
      </w:r>
      <w:r>
        <w:rPr>
          <w:sz w:val="18"/>
        </w:rPr>
        <w:t>W., M.J. Stenhouse, R. Arthur, S. Whittaker, D.H.-S. Law,</w:t>
      </w:r>
    </w:p>
    <w:p>
      <w:pPr>
        <w:spacing w:line="240" w:lineRule="exact" w:before="9"/>
        <w:ind w:left="497" w:right="531" w:firstLine="0"/>
        <w:jc w:val="both"/>
        <w:rPr>
          <w:sz w:val="18"/>
        </w:rPr>
      </w:pPr>
      <w:r>
        <w:rPr/>
        <w:pict>
          <v:shape style="position:absolute;margin-left:376.125214pt;margin-top:33.111752pt;width:2.65pt;height:5.25pt;mso-position-horizontal-relative:page;mso-position-vertical-relative:paragraph;z-index:-258804736"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sz w:val="18"/>
        </w:rPr>
        <w:t>R. Chalaturnyk and </w:t>
      </w:r>
      <w:r>
        <w:rPr>
          <w:spacing w:val="-9"/>
          <w:sz w:val="18"/>
        </w:rPr>
        <w:t>W. </w:t>
      </w:r>
      <w:r>
        <w:rPr>
          <w:sz w:val="18"/>
        </w:rPr>
        <w:t>Jazwari, 2005: The IEA </w:t>
      </w:r>
      <w:r>
        <w:rPr>
          <w:spacing w:val="-3"/>
          <w:sz w:val="18"/>
        </w:rPr>
        <w:t>Weyburn </w:t>
      </w:r>
      <w:r>
        <w:rPr>
          <w:sz w:val="18"/>
        </w:rPr>
        <w:t>CO</w:t>
      </w:r>
      <w:r>
        <w:rPr>
          <w:position w:val="-5"/>
          <w:sz w:val="10"/>
        </w:rPr>
        <w:t>2</w:t>
      </w:r>
      <w:r>
        <w:rPr>
          <w:sz w:val="10"/>
        </w:rPr>
        <w:t> </w:t>
      </w:r>
      <w:r>
        <w:rPr>
          <w:sz w:val="18"/>
        </w:rPr>
        <w:t>monitoring and storage project—Modeling of the long-term migration</w:t>
      </w:r>
      <w:r>
        <w:rPr>
          <w:spacing w:val="-27"/>
          <w:sz w:val="18"/>
        </w:rPr>
        <w:t> </w:t>
      </w:r>
      <w:r>
        <w:rPr>
          <w:sz w:val="18"/>
        </w:rPr>
        <w:t>of</w:t>
      </w:r>
      <w:r>
        <w:rPr>
          <w:spacing w:val="-27"/>
          <w:sz w:val="18"/>
        </w:rPr>
        <w:t> </w:t>
      </w:r>
      <w:r>
        <w:rPr>
          <w:sz w:val="18"/>
        </w:rPr>
        <w:t>CO</w:t>
      </w:r>
      <w:r>
        <w:rPr>
          <w:spacing w:val="21"/>
          <w:sz w:val="18"/>
        </w:rPr>
        <w:t> </w:t>
      </w:r>
      <w:r>
        <w:rPr>
          <w:sz w:val="18"/>
        </w:rPr>
        <w:t>from</w:t>
      </w:r>
      <w:r>
        <w:rPr>
          <w:spacing w:val="-30"/>
          <w:sz w:val="18"/>
        </w:rPr>
        <w:t> </w:t>
      </w:r>
      <w:r>
        <w:rPr>
          <w:sz w:val="18"/>
        </w:rPr>
        <w:t>Weyburn.</w:t>
      </w:r>
      <w:r>
        <w:rPr>
          <w:spacing w:val="-26"/>
          <w:sz w:val="18"/>
        </w:rPr>
        <w:t> </w:t>
      </w:r>
      <w:r>
        <w:rPr>
          <w:sz w:val="18"/>
        </w:rPr>
        <w:t>Proceedings</w:t>
      </w:r>
      <w:r>
        <w:rPr>
          <w:spacing w:val="-27"/>
          <w:sz w:val="18"/>
        </w:rPr>
        <w:t> </w:t>
      </w:r>
      <w:r>
        <w:rPr>
          <w:sz w:val="18"/>
        </w:rPr>
        <w:t>of</w:t>
      </w:r>
      <w:r>
        <w:rPr>
          <w:spacing w:val="-27"/>
          <w:sz w:val="18"/>
        </w:rPr>
        <w:t> </w:t>
      </w:r>
      <w:r>
        <w:rPr>
          <w:sz w:val="18"/>
        </w:rPr>
        <w:t>the</w:t>
      </w:r>
      <w:r>
        <w:rPr>
          <w:spacing w:val="-26"/>
          <w:sz w:val="18"/>
        </w:rPr>
        <w:t> </w:t>
      </w:r>
      <w:r>
        <w:rPr>
          <w:sz w:val="18"/>
        </w:rPr>
        <w:t>7</w:t>
      </w:r>
      <w:r>
        <w:rPr>
          <w:position w:val="6"/>
          <w:sz w:val="10"/>
        </w:rPr>
        <w:t>th</w:t>
      </w:r>
      <w:r>
        <w:rPr>
          <w:spacing w:val="-7"/>
          <w:position w:val="6"/>
          <w:sz w:val="10"/>
        </w:rPr>
        <w:t> </w:t>
      </w:r>
      <w:r>
        <w:rPr>
          <w:sz w:val="18"/>
        </w:rPr>
        <w:t>International Conference</w:t>
      </w:r>
      <w:r>
        <w:rPr>
          <w:spacing w:val="-7"/>
          <w:sz w:val="18"/>
        </w:rPr>
        <w:t> </w:t>
      </w:r>
      <w:r>
        <w:rPr>
          <w:sz w:val="18"/>
        </w:rPr>
        <w:t>on</w:t>
      </w:r>
      <w:r>
        <w:rPr>
          <w:spacing w:val="-6"/>
          <w:sz w:val="18"/>
        </w:rPr>
        <w:t> </w:t>
      </w:r>
      <w:r>
        <w:rPr>
          <w:sz w:val="18"/>
        </w:rPr>
        <w:t>Greenhouse</w:t>
      </w:r>
      <w:r>
        <w:rPr>
          <w:spacing w:val="-7"/>
          <w:sz w:val="18"/>
        </w:rPr>
        <w:t> </w:t>
      </w:r>
      <w:r>
        <w:rPr>
          <w:sz w:val="18"/>
        </w:rPr>
        <w:t>Gas</w:t>
      </w:r>
      <w:r>
        <w:rPr>
          <w:spacing w:val="-6"/>
          <w:sz w:val="18"/>
        </w:rPr>
        <w:t> </w:t>
      </w:r>
      <w:r>
        <w:rPr>
          <w:sz w:val="18"/>
        </w:rPr>
        <w:t>Control</w:t>
      </w:r>
      <w:r>
        <w:rPr>
          <w:spacing w:val="-9"/>
          <w:sz w:val="18"/>
        </w:rPr>
        <w:t> </w:t>
      </w:r>
      <w:r>
        <w:rPr>
          <w:sz w:val="18"/>
        </w:rPr>
        <w:t>Technologies</w:t>
      </w:r>
      <w:r>
        <w:rPr>
          <w:spacing w:val="-7"/>
          <w:sz w:val="18"/>
        </w:rPr>
        <w:t> </w:t>
      </w:r>
      <w:r>
        <w:rPr>
          <w:sz w:val="18"/>
        </w:rPr>
        <w:t>(GHGT-7), September</w:t>
      </w:r>
      <w:r>
        <w:rPr>
          <w:spacing w:val="-12"/>
          <w:sz w:val="18"/>
        </w:rPr>
        <w:t> </w:t>
      </w:r>
      <w:r>
        <w:rPr>
          <w:sz w:val="18"/>
        </w:rPr>
        <w:t>5–9,</w:t>
      </w:r>
      <w:r>
        <w:rPr>
          <w:spacing w:val="-12"/>
          <w:sz w:val="18"/>
        </w:rPr>
        <w:t> </w:t>
      </w:r>
      <w:r>
        <w:rPr>
          <w:sz w:val="18"/>
        </w:rPr>
        <w:t>2004,</w:t>
      </w:r>
      <w:r>
        <w:rPr>
          <w:spacing w:val="-15"/>
          <w:sz w:val="18"/>
        </w:rPr>
        <w:t> </w:t>
      </w:r>
      <w:r>
        <w:rPr>
          <w:spacing w:val="-3"/>
          <w:sz w:val="18"/>
        </w:rPr>
        <w:t>Vancouver,</w:t>
      </w:r>
      <w:r>
        <w:rPr>
          <w:spacing w:val="-12"/>
          <w:sz w:val="18"/>
        </w:rPr>
        <w:t> </w:t>
      </w:r>
      <w:r>
        <w:rPr>
          <w:sz w:val="18"/>
        </w:rPr>
        <w:t>Canada,</w:t>
      </w:r>
      <w:r>
        <w:rPr>
          <w:spacing w:val="-12"/>
          <w:sz w:val="18"/>
        </w:rPr>
        <w:t> </w:t>
      </w:r>
      <w:r>
        <w:rPr>
          <w:spacing w:val="-3"/>
          <w:sz w:val="18"/>
        </w:rPr>
        <w:t>v.I,</w:t>
      </w:r>
      <w:r>
        <w:rPr>
          <w:spacing w:val="-11"/>
          <w:sz w:val="18"/>
        </w:rPr>
        <w:t> </w:t>
      </w:r>
      <w:r>
        <w:rPr>
          <w:sz w:val="18"/>
        </w:rPr>
        <w:t>721-730.</w:t>
      </w:r>
      <w:r>
        <w:rPr>
          <w:spacing w:val="-15"/>
          <w:sz w:val="18"/>
        </w:rPr>
        <w:t> </w:t>
      </w:r>
      <w:r>
        <w:rPr>
          <w:spacing w:val="-4"/>
          <w:sz w:val="18"/>
        </w:rPr>
        <w:t>Volume</w:t>
      </w:r>
      <w:r>
        <w:rPr>
          <w:spacing w:val="-12"/>
          <w:sz w:val="18"/>
        </w:rPr>
        <w:t> </w:t>
      </w:r>
      <w:r>
        <w:rPr>
          <w:sz w:val="18"/>
        </w:rPr>
        <w:t>1: Peer-Reviewed Papers and Plenary Presentations, Elsevier,</w:t>
      </w:r>
      <w:r>
        <w:rPr>
          <w:spacing w:val="-29"/>
          <w:sz w:val="18"/>
        </w:rPr>
        <w:t> </w:t>
      </w:r>
      <w:r>
        <w:rPr>
          <w:sz w:val="18"/>
        </w:rPr>
        <w:t>UK.</w:t>
      </w:r>
    </w:p>
    <w:p>
      <w:pPr>
        <w:spacing w:line="278" w:lineRule="auto" w:before="24"/>
        <w:ind w:left="497" w:right="532" w:hanging="341"/>
        <w:jc w:val="both"/>
        <w:rPr>
          <w:sz w:val="18"/>
        </w:rPr>
      </w:pPr>
      <w:r>
        <w:rPr>
          <w:b/>
          <w:sz w:val="18"/>
        </w:rPr>
        <w:t>Zoback</w:t>
      </w:r>
      <w:r>
        <w:rPr>
          <w:sz w:val="18"/>
        </w:rPr>
        <w:t>, M.D. and H.P. Harjes, 1997: Injection-induced earthquakes and crustal stress at 9 km depth at the KTB deep drilling site, Germany. </w:t>
      </w:r>
      <w:r>
        <w:rPr>
          <w:i/>
          <w:sz w:val="18"/>
        </w:rPr>
        <w:t>Journal of Geophysical Research, </w:t>
      </w:r>
      <w:r>
        <w:rPr>
          <w:b/>
          <w:sz w:val="18"/>
        </w:rPr>
        <w:t>102</w:t>
      </w:r>
      <w:r>
        <w:rPr>
          <w:sz w:val="18"/>
        </w:rPr>
        <w:t>, 18477–18491.</w:t>
      </w:r>
    </w:p>
    <w:sectPr>
      <w:type w:val="continuous"/>
      <w:pgSz w:w="12240" w:h="15840"/>
      <w:pgMar w:top="400" w:bottom="280" w:left="580" w:right="600"/>
      <w:cols w:num="2" w:equalWidth="0">
        <w:col w:w="5262" w:space="42"/>
        <w:col w:w="575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58900992"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196</w:t>
                </w:r>
                <w:r>
                  <w:rPr/>
                  <w:fldChar w:fldCharType="end"/>
                </w:r>
              </w:p>
            </w:txbxContent>
          </v:textbox>
          <w10:wrap type="none"/>
        </v:shape>
      </w:pict>
    </w:r>
    <w:r>
      <w:rPr/>
      <w:pict>
        <v:shape style="position:absolute;margin-left:306.362793pt;margin-top:27.346399pt;width:250pt;height:12pt;mso-position-horizontal-relative:page;mso-position-vertical-relative:page;z-index:-258899968"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79.05pt;height:12pt;mso-position-horizontal-relative:page;mso-position-vertical-relative:page;z-index:-258898944" type="#_x0000_t202" filled="false" stroked="false">
          <v:textbox inset="0,0,0,0">
            <w:txbxContent>
              <w:p>
                <w:pPr>
                  <w:spacing w:line="213" w:lineRule="exact" w:before="0"/>
                  <w:ind w:left="20" w:right="0" w:firstLine="0"/>
                  <w:jc w:val="left"/>
                  <w:rPr>
                    <w:i/>
                    <w:sz w:val="20"/>
                  </w:rPr>
                </w:pPr>
                <w:r>
                  <w:rPr>
                    <w:i/>
                    <w:sz w:val="20"/>
                  </w:rPr>
                  <w:t>Chapter 5: Underground geological storage</w:t>
                </w:r>
              </w:p>
            </w:txbxContent>
          </v:textbox>
          <w10:wrap type="none"/>
        </v:shape>
      </w:pict>
    </w:r>
    <w:r>
      <w:rPr/>
      <w:pict>
        <v:shape style="position:absolute;margin-left:557.149597pt;margin-top:27.346399pt;width:21pt;height:12pt;mso-position-horizontal-relative:page;mso-position-vertical-relative:page;z-index:-258897920"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197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723" w:hanging="284"/>
      </w:pPr>
      <w:rPr>
        <w:rFonts w:hint="default" w:ascii="Symbol" w:hAnsi="Symbol" w:eastAsia="Symbol" w:cs="Symbol"/>
        <w:w w:val="100"/>
        <w:sz w:val="20"/>
        <w:szCs w:val="20"/>
      </w:rPr>
    </w:lvl>
    <w:lvl w:ilvl="1">
      <w:start w:val="0"/>
      <w:numFmt w:val="bullet"/>
      <w:lvlText w:val="•"/>
      <w:lvlJc w:val="left"/>
      <w:pPr>
        <w:ind w:left="1172" w:hanging="284"/>
      </w:pPr>
      <w:rPr>
        <w:rFonts w:hint="default"/>
      </w:rPr>
    </w:lvl>
    <w:lvl w:ilvl="2">
      <w:start w:val="0"/>
      <w:numFmt w:val="bullet"/>
      <w:lvlText w:val="•"/>
      <w:lvlJc w:val="left"/>
      <w:pPr>
        <w:ind w:left="1624" w:hanging="284"/>
      </w:pPr>
      <w:rPr>
        <w:rFonts w:hint="default"/>
      </w:rPr>
    </w:lvl>
    <w:lvl w:ilvl="3">
      <w:start w:val="0"/>
      <w:numFmt w:val="bullet"/>
      <w:lvlText w:val="•"/>
      <w:lvlJc w:val="left"/>
      <w:pPr>
        <w:ind w:left="2076" w:hanging="284"/>
      </w:pPr>
      <w:rPr>
        <w:rFonts w:hint="default"/>
      </w:rPr>
    </w:lvl>
    <w:lvl w:ilvl="4">
      <w:start w:val="0"/>
      <w:numFmt w:val="bullet"/>
      <w:lvlText w:val="•"/>
      <w:lvlJc w:val="left"/>
      <w:pPr>
        <w:ind w:left="2528" w:hanging="284"/>
      </w:pPr>
      <w:rPr>
        <w:rFonts w:hint="default"/>
      </w:rPr>
    </w:lvl>
    <w:lvl w:ilvl="5">
      <w:start w:val="0"/>
      <w:numFmt w:val="bullet"/>
      <w:lvlText w:val="•"/>
      <w:lvlJc w:val="left"/>
      <w:pPr>
        <w:ind w:left="2981" w:hanging="284"/>
      </w:pPr>
      <w:rPr>
        <w:rFonts w:hint="default"/>
      </w:rPr>
    </w:lvl>
    <w:lvl w:ilvl="6">
      <w:start w:val="0"/>
      <w:numFmt w:val="bullet"/>
      <w:lvlText w:val="•"/>
      <w:lvlJc w:val="left"/>
      <w:pPr>
        <w:ind w:left="3433" w:hanging="284"/>
      </w:pPr>
      <w:rPr>
        <w:rFonts w:hint="default"/>
      </w:rPr>
    </w:lvl>
    <w:lvl w:ilvl="7">
      <w:start w:val="0"/>
      <w:numFmt w:val="bullet"/>
      <w:lvlText w:val="•"/>
      <w:lvlJc w:val="left"/>
      <w:pPr>
        <w:ind w:left="3885" w:hanging="284"/>
      </w:pPr>
      <w:rPr>
        <w:rFonts w:hint="default"/>
      </w:rPr>
    </w:lvl>
    <w:lvl w:ilvl="8">
      <w:start w:val="0"/>
      <w:numFmt w:val="bullet"/>
      <w:lvlText w:val="•"/>
      <w:lvlJc w:val="left"/>
      <w:pPr>
        <w:ind w:left="4337" w:hanging="284"/>
      </w:pPr>
      <w:rPr>
        <w:rFonts w:hint="default"/>
      </w:rPr>
    </w:lvl>
  </w:abstractNum>
  <w:abstractNum w:abstractNumId="28">
    <w:multiLevelType w:val="hybridMultilevel"/>
    <w:lvl w:ilvl="0">
      <w:start w:val="1"/>
      <w:numFmt w:val="decimal"/>
      <w:lvlText w:val="%1."/>
      <w:lvlJc w:val="left"/>
      <w:pPr>
        <w:ind w:left="440" w:hanging="284"/>
        <w:jc w:val="left"/>
      </w:pPr>
      <w:rPr>
        <w:rFonts w:hint="default" w:ascii="Times New Roman" w:hAnsi="Times New Roman" w:eastAsia="Times New Roman" w:cs="Times New Roman"/>
        <w:spacing w:val="-17"/>
        <w:w w:val="100"/>
        <w:sz w:val="20"/>
        <w:szCs w:val="20"/>
      </w:rPr>
    </w:lvl>
    <w:lvl w:ilvl="1">
      <w:start w:val="0"/>
      <w:numFmt w:val="bullet"/>
      <w:lvlText w:val="•"/>
      <w:lvlJc w:val="left"/>
      <w:pPr>
        <w:ind w:left="723" w:hanging="284"/>
      </w:pPr>
      <w:rPr>
        <w:rFonts w:hint="default" w:ascii="Times New Roman" w:hAnsi="Times New Roman" w:eastAsia="Times New Roman" w:cs="Times New Roman"/>
        <w:spacing w:val="-6"/>
        <w:w w:val="100"/>
        <w:sz w:val="20"/>
        <w:szCs w:val="20"/>
      </w:rPr>
    </w:lvl>
    <w:lvl w:ilvl="2">
      <w:start w:val="0"/>
      <w:numFmt w:val="bullet"/>
      <w:lvlText w:val="•"/>
      <w:lvlJc w:val="left"/>
      <w:pPr>
        <w:ind w:left="800" w:hanging="284"/>
      </w:pPr>
      <w:rPr>
        <w:rFonts w:hint="default"/>
      </w:rPr>
    </w:lvl>
    <w:lvl w:ilvl="3">
      <w:start w:val="0"/>
      <w:numFmt w:val="bullet"/>
      <w:lvlText w:val="•"/>
      <w:lvlJc w:val="left"/>
      <w:pPr>
        <w:ind w:left="900" w:hanging="284"/>
      </w:pPr>
      <w:rPr>
        <w:rFonts w:hint="default"/>
      </w:rPr>
    </w:lvl>
    <w:lvl w:ilvl="4">
      <w:start w:val="0"/>
      <w:numFmt w:val="bullet"/>
      <w:lvlText w:val="•"/>
      <w:lvlJc w:val="left"/>
      <w:pPr>
        <w:ind w:left="714" w:hanging="284"/>
      </w:pPr>
      <w:rPr>
        <w:rFonts w:hint="default"/>
      </w:rPr>
    </w:lvl>
    <w:lvl w:ilvl="5">
      <w:start w:val="0"/>
      <w:numFmt w:val="bullet"/>
      <w:lvlText w:val="•"/>
      <w:lvlJc w:val="left"/>
      <w:pPr>
        <w:ind w:left="529" w:hanging="284"/>
      </w:pPr>
      <w:rPr>
        <w:rFonts w:hint="default"/>
      </w:rPr>
    </w:lvl>
    <w:lvl w:ilvl="6">
      <w:start w:val="0"/>
      <w:numFmt w:val="bullet"/>
      <w:lvlText w:val="•"/>
      <w:lvlJc w:val="left"/>
      <w:pPr>
        <w:ind w:left="344" w:hanging="284"/>
      </w:pPr>
      <w:rPr>
        <w:rFonts w:hint="default"/>
      </w:rPr>
    </w:lvl>
    <w:lvl w:ilvl="7">
      <w:start w:val="0"/>
      <w:numFmt w:val="bullet"/>
      <w:lvlText w:val="•"/>
      <w:lvlJc w:val="left"/>
      <w:pPr>
        <w:ind w:left="159" w:hanging="284"/>
      </w:pPr>
      <w:rPr>
        <w:rFonts w:hint="default"/>
      </w:rPr>
    </w:lvl>
    <w:lvl w:ilvl="8">
      <w:start w:val="0"/>
      <w:numFmt w:val="bullet"/>
      <w:lvlText w:val="•"/>
      <w:lvlJc w:val="left"/>
      <w:pPr>
        <w:ind w:left="-26" w:hanging="284"/>
      </w:pPr>
      <w:rPr>
        <w:rFonts w:hint="default"/>
      </w:rPr>
    </w:lvl>
  </w:abstractNum>
  <w:abstractNum w:abstractNumId="27">
    <w:multiLevelType w:val="hybridMultilevel"/>
    <w:lvl w:ilvl="0">
      <w:start w:val="5"/>
      <w:numFmt w:val="decimal"/>
      <w:lvlText w:val="%1"/>
      <w:lvlJc w:val="left"/>
      <w:pPr>
        <w:ind w:left="977" w:hanging="820"/>
        <w:jc w:val="left"/>
      </w:pPr>
      <w:rPr>
        <w:rFonts w:hint="default"/>
      </w:rPr>
    </w:lvl>
    <w:lvl w:ilvl="1">
      <w:start w:val="9"/>
      <w:numFmt w:val="decimal"/>
      <w:lvlText w:val="%1.%2"/>
      <w:lvlJc w:val="left"/>
      <w:pPr>
        <w:ind w:left="977" w:hanging="820"/>
        <w:jc w:val="left"/>
      </w:pPr>
      <w:rPr>
        <w:rFonts w:hint="default"/>
      </w:rPr>
    </w:lvl>
    <w:lvl w:ilvl="2">
      <w:start w:val="4"/>
      <w:numFmt w:val="decimal"/>
      <w:lvlText w:val="%1.%2.%3"/>
      <w:lvlJc w:val="left"/>
      <w:pPr>
        <w:ind w:left="977" w:hanging="820"/>
        <w:jc w:val="left"/>
      </w:pPr>
      <w:rPr>
        <w:rFonts w:hint="default"/>
      </w:rPr>
    </w:lvl>
    <w:lvl w:ilvl="3">
      <w:start w:val="1"/>
      <w:numFmt w:val="decimal"/>
      <w:lvlText w:val="%1.%2.%3.%4"/>
      <w:lvlJc w:val="left"/>
      <w:pPr>
        <w:ind w:left="977" w:hanging="820"/>
        <w:jc w:val="left"/>
      </w:pPr>
      <w:rPr>
        <w:rFonts w:hint="default" w:ascii="Times New Roman" w:hAnsi="Times New Roman" w:eastAsia="Times New Roman" w:cs="Times New Roman"/>
        <w:i/>
        <w:spacing w:val="-8"/>
        <w:w w:val="100"/>
        <w:sz w:val="20"/>
        <w:szCs w:val="20"/>
      </w:rPr>
    </w:lvl>
    <w:lvl w:ilvl="4">
      <w:start w:val="0"/>
      <w:numFmt w:val="bullet"/>
      <w:lvlText w:val="•"/>
      <w:lvlJc w:val="left"/>
      <w:pPr>
        <w:ind w:left="2684" w:hanging="820"/>
      </w:pPr>
      <w:rPr>
        <w:rFonts w:hint="default"/>
      </w:rPr>
    </w:lvl>
    <w:lvl w:ilvl="5">
      <w:start w:val="0"/>
      <w:numFmt w:val="bullet"/>
      <w:lvlText w:val="•"/>
      <w:lvlJc w:val="left"/>
      <w:pPr>
        <w:ind w:left="3111" w:hanging="820"/>
      </w:pPr>
      <w:rPr>
        <w:rFonts w:hint="default"/>
      </w:rPr>
    </w:lvl>
    <w:lvl w:ilvl="6">
      <w:start w:val="0"/>
      <w:numFmt w:val="bullet"/>
      <w:lvlText w:val="•"/>
      <w:lvlJc w:val="left"/>
      <w:pPr>
        <w:ind w:left="3537" w:hanging="820"/>
      </w:pPr>
      <w:rPr>
        <w:rFonts w:hint="default"/>
      </w:rPr>
    </w:lvl>
    <w:lvl w:ilvl="7">
      <w:start w:val="0"/>
      <w:numFmt w:val="bullet"/>
      <w:lvlText w:val="•"/>
      <w:lvlJc w:val="left"/>
      <w:pPr>
        <w:ind w:left="3963" w:hanging="820"/>
      </w:pPr>
      <w:rPr>
        <w:rFonts w:hint="default"/>
      </w:rPr>
    </w:lvl>
    <w:lvl w:ilvl="8">
      <w:start w:val="0"/>
      <w:numFmt w:val="bullet"/>
      <w:lvlText w:val="•"/>
      <w:lvlJc w:val="left"/>
      <w:pPr>
        <w:ind w:left="4389" w:hanging="820"/>
      </w:pPr>
      <w:rPr>
        <w:rFonts w:hint="default"/>
      </w:rPr>
    </w:lvl>
  </w:abstractNum>
  <w:abstractNum w:abstractNumId="26">
    <w:multiLevelType w:val="hybridMultilevel"/>
    <w:lvl w:ilvl="0">
      <w:start w:val="5"/>
      <w:numFmt w:val="decimal"/>
      <w:lvlText w:val="%1"/>
      <w:lvlJc w:val="left"/>
      <w:pPr>
        <w:ind w:left="1062" w:hanging="820"/>
        <w:jc w:val="left"/>
      </w:pPr>
      <w:rPr>
        <w:rFonts w:hint="default"/>
      </w:rPr>
    </w:lvl>
    <w:lvl w:ilvl="1">
      <w:start w:val="9"/>
      <w:numFmt w:val="decimal"/>
      <w:lvlText w:val="%1.%2"/>
      <w:lvlJc w:val="left"/>
      <w:pPr>
        <w:ind w:left="1062" w:hanging="820"/>
        <w:jc w:val="left"/>
      </w:pPr>
      <w:rPr>
        <w:rFonts w:hint="default"/>
      </w:rPr>
    </w:lvl>
    <w:lvl w:ilvl="2">
      <w:start w:val="3"/>
      <w:numFmt w:val="decimal"/>
      <w:lvlText w:val="%1.%2.%3"/>
      <w:lvlJc w:val="left"/>
      <w:pPr>
        <w:ind w:left="1062" w:hanging="820"/>
        <w:jc w:val="left"/>
      </w:pPr>
      <w:rPr>
        <w:rFonts w:hint="default"/>
      </w:rPr>
    </w:lvl>
    <w:lvl w:ilvl="3">
      <w:start w:val="3"/>
      <w:numFmt w:val="decimal"/>
      <w:lvlText w:val="%1.%2.%3.%4"/>
      <w:lvlJc w:val="left"/>
      <w:pPr>
        <w:ind w:left="1062" w:hanging="820"/>
        <w:jc w:val="left"/>
      </w:pPr>
      <w:rPr>
        <w:rFonts w:hint="default" w:ascii="Times New Roman" w:hAnsi="Times New Roman" w:eastAsia="Times New Roman" w:cs="Times New Roman"/>
        <w:i/>
        <w:spacing w:val="-8"/>
        <w:w w:val="100"/>
        <w:sz w:val="20"/>
        <w:szCs w:val="20"/>
      </w:rPr>
    </w:lvl>
    <w:lvl w:ilvl="4">
      <w:start w:val="0"/>
      <w:numFmt w:val="bullet"/>
      <w:lvlText w:val="•"/>
      <w:lvlJc w:val="left"/>
      <w:pPr>
        <w:ind w:left="2804" w:hanging="820"/>
      </w:pPr>
      <w:rPr>
        <w:rFonts w:hint="default"/>
      </w:rPr>
    </w:lvl>
    <w:lvl w:ilvl="5">
      <w:start w:val="0"/>
      <w:numFmt w:val="bullet"/>
      <w:lvlText w:val="•"/>
      <w:lvlJc w:val="left"/>
      <w:pPr>
        <w:ind w:left="3240" w:hanging="820"/>
      </w:pPr>
      <w:rPr>
        <w:rFonts w:hint="default"/>
      </w:rPr>
    </w:lvl>
    <w:lvl w:ilvl="6">
      <w:start w:val="0"/>
      <w:numFmt w:val="bullet"/>
      <w:lvlText w:val="•"/>
      <w:lvlJc w:val="left"/>
      <w:pPr>
        <w:ind w:left="3677" w:hanging="820"/>
      </w:pPr>
      <w:rPr>
        <w:rFonts w:hint="default"/>
      </w:rPr>
    </w:lvl>
    <w:lvl w:ilvl="7">
      <w:start w:val="0"/>
      <w:numFmt w:val="bullet"/>
      <w:lvlText w:val="•"/>
      <w:lvlJc w:val="left"/>
      <w:pPr>
        <w:ind w:left="4113" w:hanging="820"/>
      </w:pPr>
      <w:rPr>
        <w:rFonts w:hint="default"/>
      </w:rPr>
    </w:lvl>
    <w:lvl w:ilvl="8">
      <w:start w:val="0"/>
      <w:numFmt w:val="bullet"/>
      <w:lvlText w:val="•"/>
      <w:lvlJc w:val="left"/>
      <w:pPr>
        <w:ind w:left="4549" w:hanging="820"/>
      </w:pPr>
      <w:rPr>
        <w:rFonts w:hint="default"/>
      </w:rPr>
    </w:lvl>
  </w:abstractNum>
  <w:abstractNum w:abstractNumId="25">
    <w:multiLevelType w:val="hybridMultilevel"/>
    <w:lvl w:ilvl="0">
      <w:start w:val="1"/>
      <w:numFmt w:val="lowerLetter"/>
      <w:lvlText w:val="%1."/>
      <w:lvlJc w:val="left"/>
      <w:pPr>
        <w:ind w:left="440" w:hanging="284"/>
        <w:jc w:val="left"/>
      </w:pPr>
      <w:rPr>
        <w:rFonts w:hint="default" w:ascii="Times New Roman" w:hAnsi="Times New Roman" w:eastAsia="Times New Roman" w:cs="Times New Roman"/>
        <w:spacing w:val="-11"/>
        <w:w w:val="97"/>
        <w:sz w:val="16"/>
        <w:szCs w:val="16"/>
      </w:rPr>
    </w:lvl>
    <w:lvl w:ilvl="1">
      <w:start w:val="0"/>
      <w:numFmt w:val="bullet"/>
      <w:lvlText w:val="•"/>
      <w:lvlJc w:val="left"/>
      <w:pPr>
        <w:ind w:left="1502" w:hanging="284"/>
      </w:pPr>
      <w:rPr>
        <w:rFonts w:hint="default"/>
      </w:rPr>
    </w:lvl>
    <w:lvl w:ilvl="2">
      <w:start w:val="0"/>
      <w:numFmt w:val="bullet"/>
      <w:lvlText w:val="•"/>
      <w:lvlJc w:val="left"/>
      <w:pPr>
        <w:ind w:left="2564" w:hanging="284"/>
      </w:pPr>
      <w:rPr>
        <w:rFonts w:hint="default"/>
      </w:rPr>
    </w:lvl>
    <w:lvl w:ilvl="3">
      <w:start w:val="0"/>
      <w:numFmt w:val="bullet"/>
      <w:lvlText w:val="•"/>
      <w:lvlJc w:val="left"/>
      <w:pPr>
        <w:ind w:left="3626" w:hanging="284"/>
      </w:pPr>
      <w:rPr>
        <w:rFonts w:hint="default"/>
      </w:rPr>
    </w:lvl>
    <w:lvl w:ilvl="4">
      <w:start w:val="0"/>
      <w:numFmt w:val="bullet"/>
      <w:lvlText w:val="•"/>
      <w:lvlJc w:val="left"/>
      <w:pPr>
        <w:ind w:left="4688"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812" w:hanging="284"/>
      </w:pPr>
      <w:rPr>
        <w:rFonts w:hint="default"/>
      </w:rPr>
    </w:lvl>
    <w:lvl w:ilvl="7">
      <w:start w:val="0"/>
      <w:numFmt w:val="bullet"/>
      <w:lvlText w:val="•"/>
      <w:lvlJc w:val="left"/>
      <w:pPr>
        <w:ind w:left="7874" w:hanging="284"/>
      </w:pPr>
      <w:rPr>
        <w:rFonts w:hint="default"/>
      </w:rPr>
    </w:lvl>
    <w:lvl w:ilvl="8">
      <w:start w:val="0"/>
      <w:numFmt w:val="bullet"/>
      <w:lvlText w:val="•"/>
      <w:lvlJc w:val="left"/>
      <w:pPr>
        <w:ind w:left="8936" w:hanging="284"/>
      </w:pPr>
      <w:rPr>
        <w:rFonts w:hint="default"/>
      </w:rPr>
    </w:lvl>
  </w:abstractNum>
  <w:abstractNum w:abstractNumId="24">
    <w:multiLevelType w:val="hybridMultilevel"/>
    <w:lvl w:ilvl="0">
      <w:start w:val="0"/>
      <w:numFmt w:val="bullet"/>
      <w:lvlText w:val=""/>
      <w:lvlJc w:val="left"/>
      <w:pPr>
        <w:ind w:left="837" w:hanging="284"/>
      </w:pPr>
      <w:rPr>
        <w:rFonts w:hint="default" w:ascii="Symbol" w:hAnsi="Symbol" w:eastAsia="Symbol" w:cs="Symbol"/>
        <w:w w:val="100"/>
        <w:sz w:val="20"/>
        <w:szCs w:val="20"/>
      </w:rPr>
    </w:lvl>
    <w:lvl w:ilvl="1">
      <w:start w:val="0"/>
      <w:numFmt w:val="bullet"/>
      <w:lvlText w:val="•"/>
      <w:lvlJc w:val="left"/>
      <w:pPr>
        <w:ind w:left="867" w:hanging="284"/>
      </w:pPr>
      <w:rPr>
        <w:rFonts w:hint="default"/>
      </w:rPr>
    </w:lvl>
    <w:lvl w:ilvl="2">
      <w:start w:val="0"/>
      <w:numFmt w:val="bullet"/>
      <w:lvlText w:val="•"/>
      <w:lvlJc w:val="left"/>
      <w:pPr>
        <w:ind w:left="895" w:hanging="284"/>
      </w:pPr>
      <w:rPr>
        <w:rFonts w:hint="default"/>
      </w:rPr>
    </w:lvl>
    <w:lvl w:ilvl="3">
      <w:start w:val="0"/>
      <w:numFmt w:val="bullet"/>
      <w:lvlText w:val="•"/>
      <w:lvlJc w:val="left"/>
      <w:pPr>
        <w:ind w:left="922" w:hanging="284"/>
      </w:pPr>
      <w:rPr>
        <w:rFonts w:hint="default"/>
      </w:rPr>
    </w:lvl>
    <w:lvl w:ilvl="4">
      <w:start w:val="0"/>
      <w:numFmt w:val="bullet"/>
      <w:lvlText w:val="•"/>
      <w:lvlJc w:val="left"/>
      <w:pPr>
        <w:ind w:left="950" w:hanging="284"/>
      </w:pPr>
      <w:rPr>
        <w:rFonts w:hint="default"/>
      </w:rPr>
    </w:lvl>
    <w:lvl w:ilvl="5">
      <w:start w:val="0"/>
      <w:numFmt w:val="bullet"/>
      <w:lvlText w:val="•"/>
      <w:lvlJc w:val="left"/>
      <w:pPr>
        <w:ind w:left="977" w:hanging="284"/>
      </w:pPr>
      <w:rPr>
        <w:rFonts w:hint="default"/>
      </w:rPr>
    </w:lvl>
    <w:lvl w:ilvl="6">
      <w:start w:val="0"/>
      <w:numFmt w:val="bullet"/>
      <w:lvlText w:val="•"/>
      <w:lvlJc w:val="left"/>
      <w:pPr>
        <w:ind w:left="1005" w:hanging="284"/>
      </w:pPr>
      <w:rPr>
        <w:rFonts w:hint="default"/>
      </w:rPr>
    </w:lvl>
    <w:lvl w:ilvl="7">
      <w:start w:val="0"/>
      <w:numFmt w:val="bullet"/>
      <w:lvlText w:val="•"/>
      <w:lvlJc w:val="left"/>
      <w:pPr>
        <w:ind w:left="1032" w:hanging="284"/>
      </w:pPr>
      <w:rPr>
        <w:rFonts w:hint="default"/>
      </w:rPr>
    </w:lvl>
    <w:lvl w:ilvl="8">
      <w:start w:val="0"/>
      <w:numFmt w:val="bullet"/>
      <w:lvlText w:val="•"/>
      <w:lvlJc w:val="left"/>
      <w:pPr>
        <w:ind w:left="1060" w:hanging="284"/>
      </w:pPr>
      <w:rPr>
        <w:rFonts w:hint="default"/>
      </w:rPr>
    </w:lvl>
  </w:abstractNum>
  <w:abstractNum w:abstractNumId="23">
    <w:multiLevelType w:val="hybridMultilevel"/>
    <w:lvl w:ilvl="0">
      <w:start w:val="0"/>
      <w:numFmt w:val="bullet"/>
      <w:lvlText w:val="•"/>
      <w:lvlJc w:val="left"/>
      <w:pPr>
        <w:ind w:left="190" w:hanging="113"/>
      </w:pPr>
      <w:rPr>
        <w:rFonts w:hint="default" w:ascii="Times New Roman" w:hAnsi="Times New Roman" w:eastAsia="Times New Roman" w:cs="Times New Roman"/>
        <w:w w:val="100"/>
        <w:sz w:val="18"/>
        <w:szCs w:val="18"/>
      </w:rPr>
    </w:lvl>
    <w:lvl w:ilvl="1">
      <w:start w:val="0"/>
      <w:numFmt w:val="bullet"/>
      <w:lvlText w:val="•"/>
      <w:lvlJc w:val="left"/>
      <w:pPr>
        <w:ind w:left="1069" w:hanging="113"/>
      </w:pPr>
      <w:rPr>
        <w:rFonts w:hint="default"/>
      </w:rPr>
    </w:lvl>
    <w:lvl w:ilvl="2">
      <w:start w:val="0"/>
      <w:numFmt w:val="bullet"/>
      <w:lvlText w:val="•"/>
      <w:lvlJc w:val="left"/>
      <w:pPr>
        <w:ind w:left="1938" w:hanging="113"/>
      </w:pPr>
      <w:rPr>
        <w:rFonts w:hint="default"/>
      </w:rPr>
    </w:lvl>
    <w:lvl w:ilvl="3">
      <w:start w:val="0"/>
      <w:numFmt w:val="bullet"/>
      <w:lvlText w:val="•"/>
      <w:lvlJc w:val="left"/>
      <w:pPr>
        <w:ind w:left="2807" w:hanging="113"/>
      </w:pPr>
      <w:rPr>
        <w:rFonts w:hint="default"/>
      </w:rPr>
    </w:lvl>
    <w:lvl w:ilvl="4">
      <w:start w:val="0"/>
      <w:numFmt w:val="bullet"/>
      <w:lvlText w:val="•"/>
      <w:lvlJc w:val="left"/>
      <w:pPr>
        <w:ind w:left="3676" w:hanging="113"/>
      </w:pPr>
      <w:rPr>
        <w:rFonts w:hint="default"/>
      </w:rPr>
    </w:lvl>
    <w:lvl w:ilvl="5">
      <w:start w:val="0"/>
      <w:numFmt w:val="bullet"/>
      <w:lvlText w:val="•"/>
      <w:lvlJc w:val="left"/>
      <w:pPr>
        <w:ind w:left="4546" w:hanging="113"/>
      </w:pPr>
      <w:rPr>
        <w:rFonts w:hint="default"/>
      </w:rPr>
    </w:lvl>
    <w:lvl w:ilvl="6">
      <w:start w:val="0"/>
      <w:numFmt w:val="bullet"/>
      <w:lvlText w:val="•"/>
      <w:lvlJc w:val="left"/>
      <w:pPr>
        <w:ind w:left="5415" w:hanging="113"/>
      </w:pPr>
      <w:rPr>
        <w:rFonts w:hint="default"/>
      </w:rPr>
    </w:lvl>
    <w:lvl w:ilvl="7">
      <w:start w:val="0"/>
      <w:numFmt w:val="bullet"/>
      <w:lvlText w:val="•"/>
      <w:lvlJc w:val="left"/>
      <w:pPr>
        <w:ind w:left="6284" w:hanging="113"/>
      </w:pPr>
      <w:rPr>
        <w:rFonts w:hint="default"/>
      </w:rPr>
    </w:lvl>
    <w:lvl w:ilvl="8">
      <w:start w:val="0"/>
      <w:numFmt w:val="bullet"/>
      <w:lvlText w:val="•"/>
      <w:lvlJc w:val="left"/>
      <w:pPr>
        <w:ind w:left="7153" w:hanging="113"/>
      </w:pPr>
      <w:rPr>
        <w:rFonts w:hint="default"/>
      </w:rPr>
    </w:lvl>
  </w:abstractNum>
  <w:abstractNum w:abstractNumId="22">
    <w:multiLevelType w:val="hybridMultilevel"/>
    <w:lvl w:ilvl="0">
      <w:start w:val="0"/>
      <w:numFmt w:val="bullet"/>
      <w:lvlText w:val="•"/>
      <w:lvlJc w:val="left"/>
      <w:pPr>
        <w:ind w:left="190" w:hanging="113"/>
      </w:pPr>
      <w:rPr>
        <w:rFonts w:hint="default" w:ascii="Times New Roman" w:hAnsi="Times New Roman" w:eastAsia="Times New Roman" w:cs="Times New Roman"/>
        <w:w w:val="100"/>
        <w:sz w:val="18"/>
        <w:szCs w:val="18"/>
      </w:rPr>
    </w:lvl>
    <w:lvl w:ilvl="1">
      <w:start w:val="0"/>
      <w:numFmt w:val="bullet"/>
      <w:lvlText w:val="•"/>
      <w:lvlJc w:val="left"/>
      <w:pPr>
        <w:ind w:left="1069" w:hanging="113"/>
      </w:pPr>
      <w:rPr>
        <w:rFonts w:hint="default"/>
      </w:rPr>
    </w:lvl>
    <w:lvl w:ilvl="2">
      <w:start w:val="0"/>
      <w:numFmt w:val="bullet"/>
      <w:lvlText w:val="•"/>
      <w:lvlJc w:val="left"/>
      <w:pPr>
        <w:ind w:left="1938" w:hanging="113"/>
      </w:pPr>
      <w:rPr>
        <w:rFonts w:hint="default"/>
      </w:rPr>
    </w:lvl>
    <w:lvl w:ilvl="3">
      <w:start w:val="0"/>
      <w:numFmt w:val="bullet"/>
      <w:lvlText w:val="•"/>
      <w:lvlJc w:val="left"/>
      <w:pPr>
        <w:ind w:left="2807" w:hanging="113"/>
      </w:pPr>
      <w:rPr>
        <w:rFonts w:hint="default"/>
      </w:rPr>
    </w:lvl>
    <w:lvl w:ilvl="4">
      <w:start w:val="0"/>
      <w:numFmt w:val="bullet"/>
      <w:lvlText w:val="•"/>
      <w:lvlJc w:val="left"/>
      <w:pPr>
        <w:ind w:left="3676" w:hanging="113"/>
      </w:pPr>
      <w:rPr>
        <w:rFonts w:hint="default"/>
      </w:rPr>
    </w:lvl>
    <w:lvl w:ilvl="5">
      <w:start w:val="0"/>
      <w:numFmt w:val="bullet"/>
      <w:lvlText w:val="•"/>
      <w:lvlJc w:val="left"/>
      <w:pPr>
        <w:ind w:left="4546" w:hanging="113"/>
      </w:pPr>
      <w:rPr>
        <w:rFonts w:hint="default"/>
      </w:rPr>
    </w:lvl>
    <w:lvl w:ilvl="6">
      <w:start w:val="0"/>
      <w:numFmt w:val="bullet"/>
      <w:lvlText w:val="•"/>
      <w:lvlJc w:val="left"/>
      <w:pPr>
        <w:ind w:left="5415" w:hanging="113"/>
      </w:pPr>
      <w:rPr>
        <w:rFonts w:hint="default"/>
      </w:rPr>
    </w:lvl>
    <w:lvl w:ilvl="7">
      <w:start w:val="0"/>
      <w:numFmt w:val="bullet"/>
      <w:lvlText w:val="•"/>
      <w:lvlJc w:val="left"/>
      <w:pPr>
        <w:ind w:left="6284" w:hanging="113"/>
      </w:pPr>
      <w:rPr>
        <w:rFonts w:hint="default"/>
      </w:rPr>
    </w:lvl>
    <w:lvl w:ilvl="8">
      <w:start w:val="0"/>
      <w:numFmt w:val="bullet"/>
      <w:lvlText w:val="•"/>
      <w:lvlJc w:val="left"/>
      <w:pPr>
        <w:ind w:left="7153" w:hanging="113"/>
      </w:pPr>
      <w:rPr>
        <w:rFonts w:hint="default"/>
      </w:rPr>
    </w:lvl>
  </w:abstractNum>
  <w:abstractNum w:abstractNumId="21">
    <w:multiLevelType w:val="hybridMultilevel"/>
    <w:lvl w:ilvl="0">
      <w:start w:val="0"/>
      <w:numFmt w:val="bullet"/>
      <w:lvlText w:val="•"/>
      <w:lvlJc w:val="left"/>
      <w:pPr>
        <w:ind w:left="190" w:hanging="113"/>
      </w:pPr>
      <w:rPr>
        <w:rFonts w:hint="default" w:ascii="Times New Roman" w:hAnsi="Times New Roman" w:eastAsia="Times New Roman" w:cs="Times New Roman"/>
        <w:w w:val="100"/>
        <w:sz w:val="18"/>
        <w:szCs w:val="18"/>
      </w:rPr>
    </w:lvl>
    <w:lvl w:ilvl="1">
      <w:start w:val="0"/>
      <w:numFmt w:val="bullet"/>
      <w:lvlText w:val="•"/>
      <w:lvlJc w:val="left"/>
      <w:pPr>
        <w:ind w:left="1069" w:hanging="113"/>
      </w:pPr>
      <w:rPr>
        <w:rFonts w:hint="default"/>
      </w:rPr>
    </w:lvl>
    <w:lvl w:ilvl="2">
      <w:start w:val="0"/>
      <w:numFmt w:val="bullet"/>
      <w:lvlText w:val="•"/>
      <w:lvlJc w:val="left"/>
      <w:pPr>
        <w:ind w:left="1938" w:hanging="113"/>
      </w:pPr>
      <w:rPr>
        <w:rFonts w:hint="default"/>
      </w:rPr>
    </w:lvl>
    <w:lvl w:ilvl="3">
      <w:start w:val="0"/>
      <w:numFmt w:val="bullet"/>
      <w:lvlText w:val="•"/>
      <w:lvlJc w:val="left"/>
      <w:pPr>
        <w:ind w:left="2807" w:hanging="113"/>
      </w:pPr>
      <w:rPr>
        <w:rFonts w:hint="default"/>
      </w:rPr>
    </w:lvl>
    <w:lvl w:ilvl="4">
      <w:start w:val="0"/>
      <w:numFmt w:val="bullet"/>
      <w:lvlText w:val="•"/>
      <w:lvlJc w:val="left"/>
      <w:pPr>
        <w:ind w:left="3676" w:hanging="113"/>
      </w:pPr>
      <w:rPr>
        <w:rFonts w:hint="default"/>
      </w:rPr>
    </w:lvl>
    <w:lvl w:ilvl="5">
      <w:start w:val="0"/>
      <w:numFmt w:val="bullet"/>
      <w:lvlText w:val="•"/>
      <w:lvlJc w:val="left"/>
      <w:pPr>
        <w:ind w:left="4546" w:hanging="113"/>
      </w:pPr>
      <w:rPr>
        <w:rFonts w:hint="default"/>
      </w:rPr>
    </w:lvl>
    <w:lvl w:ilvl="6">
      <w:start w:val="0"/>
      <w:numFmt w:val="bullet"/>
      <w:lvlText w:val="•"/>
      <w:lvlJc w:val="left"/>
      <w:pPr>
        <w:ind w:left="5415" w:hanging="113"/>
      </w:pPr>
      <w:rPr>
        <w:rFonts w:hint="default"/>
      </w:rPr>
    </w:lvl>
    <w:lvl w:ilvl="7">
      <w:start w:val="0"/>
      <w:numFmt w:val="bullet"/>
      <w:lvlText w:val="•"/>
      <w:lvlJc w:val="left"/>
      <w:pPr>
        <w:ind w:left="6284" w:hanging="113"/>
      </w:pPr>
      <w:rPr>
        <w:rFonts w:hint="default"/>
      </w:rPr>
    </w:lvl>
    <w:lvl w:ilvl="8">
      <w:start w:val="0"/>
      <w:numFmt w:val="bullet"/>
      <w:lvlText w:val="•"/>
      <w:lvlJc w:val="left"/>
      <w:pPr>
        <w:ind w:left="7153" w:hanging="113"/>
      </w:pPr>
      <w:rPr>
        <w:rFonts w:hint="default"/>
      </w:rPr>
    </w:lvl>
  </w:abstractNum>
  <w:abstractNum w:abstractNumId="20">
    <w:multiLevelType w:val="hybridMultilevel"/>
    <w:lvl w:ilvl="0">
      <w:start w:val="0"/>
      <w:numFmt w:val="bullet"/>
      <w:lvlText w:val="•"/>
      <w:lvlJc w:val="left"/>
      <w:pPr>
        <w:ind w:left="190" w:hanging="113"/>
      </w:pPr>
      <w:rPr>
        <w:rFonts w:hint="default" w:ascii="Times New Roman" w:hAnsi="Times New Roman" w:eastAsia="Times New Roman" w:cs="Times New Roman"/>
        <w:w w:val="100"/>
        <w:sz w:val="18"/>
        <w:szCs w:val="18"/>
      </w:rPr>
    </w:lvl>
    <w:lvl w:ilvl="1">
      <w:start w:val="0"/>
      <w:numFmt w:val="bullet"/>
      <w:lvlText w:val="•"/>
      <w:lvlJc w:val="left"/>
      <w:pPr>
        <w:ind w:left="1069" w:hanging="113"/>
      </w:pPr>
      <w:rPr>
        <w:rFonts w:hint="default"/>
      </w:rPr>
    </w:lvl>
    <w:lvl w:ilvl="2">
      <w:start w:val="0"/>
      <w:numFmt w:val="bullet"/>
      <w:lvlText w:val="•"/>
      <w:lvlJc w:val="left"/>
      <w:pPr>
        <w:ind w:left="1938" w:hanging="113"/>
      </w:pPr>
      <w:rPr>
        <w:rFonts w:hint="default"/>
      </w:rPr>
    </w:lvl>
    <w:lvl w:ilvl="3">
      <w:start w:val="0"/>
      <w:numFmt w:val="bullet"/>
      <w:lvlText w:val="•"/>
      <w:lvlJc w:val="left"/>
      <w:pPr>
        <w:ind w:left="2807" w:hanging="113"/>
      </w:pPr>
      <w:rPr>
        <w:rFonts w:hint="default"/>
      </w:rPr>
    </w:lvl>
    <w:lvl w:ilvl="4">
      <w:start w:val="0"/>
      <w:numFmt w:val="bullet"/>
      <w:lvlText w:val="•"/>
      <w:lvlJc w:val="left"/>
      <w:pPr>
        <w:ind w:left="3676" w:hanging="113"/>
      </w:pPr>
      <w:rPr>
        <w:rFonts w:hint="default"/>
      </w:rPr>
    </w:lvl>
    <w:lvl w:ilvl="5">
      <w:start w:val="0"/>
      <w:numFmt w:val="bullet"/>
      <w:lvlText w:val="•"/>
      <w:lvlJc w:val="left"/>
      <w:pPr>
        <w:ind w:left="4546" w:hanging="113"/>
      </w:pPr>
      <w:rPr>
        <w:rFonts w:hint="default"/>
      </w:rPr>
    </w:lvl>
    <w:lvl w:ilvl="6">
      <w:start w:val="0"/>
      <w:numFmt w:val="bullet"/>
      <w:lvlText w:val="•"/>
      <w:lvlJc w:val="left"/>
      <w:pPr>
        <w:ind w:left="5415" w:hanging="113"/>
      </w:pPr>
      <w:rPr>
        <w:rFonts w:hint="default"/>
      </w:rPr>
    </w:lvl>
    <w:lvl w:ilvl="7">
      <w:start w:val="0"/>
      <w:numFmt w:val="bullet"/>
      <w:lvlText w:val="•"/>
      <w:lvlJc w:val="left"/>
      <w:pPr>
        <w:ind w:left="6284" w:hanging="113"/>
      </w:pPr>
      <w:rPr>
        <w:rFonts w:hint="default"/>
      </w:rPr>
    </w:lvl>
    <w:lvl w:ilvl="8">
      <w:start w:val="0"/>
      <w:numFmt w:val="bullet"/>
      <w:lvlText w:val="•"/>
      <w:lvlJc w:val="left"/>
      <w:pPr>
        <w:ind w:left="7153" w:hanging="113"/>
      </w:pPr>
      <w:rPr>
        <w:rFonts w:hint="default"/>
      </w:rPr>
    </w:lvl>
  </w:abstractNum>
  <w:abstractNum w:abstractNumId="19">
    <w:multiLevelType w:val="hybridMultilevel"/>
    <w:lvl w:ilvl="0">
      <w:start w:val="0"/>
      <w:numFmt w:val="bullet"/>
      <w:lvlText w:val="•"/>
      <w:lvlJc w:val="left"/>
      <w:pPr>
        <w:ind w:left="180" w:hanging="103"/>
      </w:pPr>
      <w:rPr>
        <w:rFonts w:hint="default" w:ascii="Times New Roman" w:hAnsi="Times New Roman" w:eastAsia="Times New Roman" w:cs="Times New Roman"/>
        <w:w w:val="100"/>
        <w:sz w:val="18"/>
        <w:szCs w:val="18"/>
      </w:rPr>
    </w:lvl>
    <w:lvl w:ilvl="1">
      <w:start w:val="0"/>
      <w:numFmt w:val="bullet"/>
      <w:lvlText w:val="•"/>
      <w:lvlJc w:val="left"/>
      <w:pPr>
        <w:ind w:left="1051" w:hanging="103"/>
      </w:pPr>
      <w:rPr>
        <w:rFonts w:hint="default"/>
      </w:rPr>
    </w:lvl>
    <w:lvl w:ilvl="2">
      <w:start w:val="0"/>
      <w:numFmt w:val="bullet"/>
      <w:lvlText w:val="•"/>
      <w:lvlJc w:val="left"/>
      <w:pPr>
        <w:ind w:left="1922" w:hanging="103"/>
      </w:pPr>
      <w:rPr>
        <w:rFonts w:hint="default"/>
      </w:rPr>
    </w:lvl>
    <w:lvl w:ilvl="3">
      <w:start w:val="0"/>
      <w:numFmt w:val="bullet"/>
      <w:lvlText w:val="•"/>
      <w:lvlJc w:val="left"/>
      <w:pPr>
        <w:ind w:left="2793" w:hanging="103"/>
      </w:pPr>
      <w:rPr>
        <w:rFonts w:hint="default"/>
      </w:rPr>
    </w:lvl>
    <w:lvl w:ilvl="4">
      <w:start w:val="0"/>
      <w:numFmt w:val="bullet"/>
      <w:lvlText w:val="•"/>
      <w:lvlJc w:val="left"/>
      <w:pPr>
        <w:ind w:left="3664" w:hanging="103"/>
      </w:pPr>
      <w:rPr>
        <w:rFonts w:hint="default"/>
      </w:rPr>
    </w:lvl>
    <w:lvl w:ilvl="5">
      <w:start w:val="0"/>
      <w:numFmt w:val="bullet"/>
      <w:lvlText w:val="•"/>
      <w:lvlJc w:val="left"/>
      <w:pPr>
        <w:ind w:left="4536" w:hanging="103"/>
      </w:pPr>
      <w:rPr>
        <w:rFonts w:hint="default"/>
      </w:rPr>
    </w:lvl>
    <w:lvl w:ilvl="6">
      <w:start w:val="0"/>
      <w:numFmt w:val="bullet"/>
      <w:lvlText w:val="•"/>
      <w:lvlJc w:val="left"/>
      <w:pPr>
        <w:ind w:left="5407" w:hanging="103"/>
      </w:pPr>
      <w:rPr>
        <w:rFonts w:hint="default"/>
      </w:rPr>
    </w:lvl>
    <w:lvl w:ilvl="7">
      <w:start w:val="0"/>
      <w:numFmt w:val="bullet"/>
      <w:lvlText w:val="•"/>
      <w:lvlJc w:val="left"/>
      <w:pPr>
        <w:ind w:left="6278" w:hanging="103"/>
      </w:pPr>
      <w:rPr>
        <w:rFonts w:hint="default"/>
      </w:rPr>
    </w:lvl>
    <w:lvl w:ilvl="8">
      <w:start w:val="0"/>
      <w:numFmt w:val="bullet"/>
      <w:lvlText w:val="•"/>
      <w:lvlJc w:val="left"/>
      <w:pPr>
        <w:ind w:left="7149" w:hanging="103"/>
      </w:pPr>
      <w:rPr>
        <w:rFonts w:hint="default"/>
      </w:rPr>
    </w:lvl>
  </w:abstractNum>
  <w:abstractNum w:abstractNumId="18">
    <w:multiLevelType w:val="hybridMultilevel"/>
    <w:lvl w:ilvl="0">
      <w:start w:val="0"/>
      <w:numFmt w:val="bullet"/>
      <w:lvlText w:val="•"/>
      <w:lvlJc w:val="left"/>
      <w:pPr>
        <w:ind w:left="190" w:hanging="113"/>
      </w:pPr>
      <w:rPr>
        <w:rFonts w:hint="default" w:ascii="Times New Roman" w:hAnsi="Times New Roman" w:eastAsia="Times New Roman" w:cs="Times New Roman"/>
        <w:w w:val="100"/>
        <w:sz w:val="18"/>
        <w:szCs w:val="18"/>
      </w:rPr>
    </w:lvl>
    <w:lvl w:ilvl="1">
      <w:start w:val="0"/>
      <w:numFmt w:val="bullet"/>
      <w:lvlText w:val="•"/>
      <w:lvlJc w:val="left"/>
      <w:pPr>
        <w:ind w:left="1069" w:hanging="113"/>
      </w:pPr>
      <w:rPr>
        <w:rFonts w:hint="default"/>
      </w:rPr>
    </w:lvl>
    <w:lvl w:ilvl="2">
      <w:start w:val="0"/>
      <w:numFmt w:val="bullet"/>
      <w:lvlText w:val="•"/>
      <w:lvlJc w:val="left"/>
      <w:pPr>
        <w:ind w:left="1938" w:hanging="113"/>
      </w:pPr>
      <w:rPr>
        <w:rFonts w:hint="default"/>
      </w:rPr>
    </w:lvl>
    <w:lvl w:ilvl="3">
      <w:start w:val="0"/>
      <w:numFmt w:val="bullet"/>
      <w:lvlText w:val="•"/>
      <w:lvlJc w:val="left"/>
      <w:pPr>
        <w:ind w:left="2807" w:hanging="113"/>
      </w:pPr>
      <w:rPr>
        <w:rFonts w:hint="default"/>
      </w:rPr>
    </w:lvl>
    <w:lvl w:ilvl="4">
      <w:start w:val="0"/>
      <w:numFmt w:val="bullet"/>
      <w:lvlText w:val="•"/>
      <w:lvlJc w:val="left"/>
      <w:pPr>
        <w:ind w:left="3676" w:hanging="113"/>
      </w:pPr>
      <w:rPr>
        <w:rFonts w:hint="default"/>
      </w:rPr>
    </w:lvl>
    <w:lvl w:ilvl="5">
      <w:start w:val="0"/>
      <w:numFmt w:val="bullet"/>
      <w:lvlText w:val="•"/>
      <w:lvlJc w:val="left"/>
      <w:pPr>
        <w:ind w:left="4546" w:hanging="113"/>
      </w:pPr>
      <w:rPr>
        <w:rFonts w:hint="default"/>
      </w:rPr>
    </w:lvl>
    <w:lvl w:ilvl="6">
      <w:start w:val="0"/>
      <w:numFmt w:val="bullet"/>
      <w:lvlText w:val="•"/>
      <w:lvlJc w:val="left"/>
      <w:pPr>
        <w:ind w:left="5415" w:hanging="113"/>
      </w:pPr>
      <w:rPr>
        <w:rFonts w:hint="default"/>
      </w:rPr>
    </w:lvl>
    <w:lvl w:ilvl="7">
      <w:start w:val="0"/>
      <w:numFmt w:val="bullet"/>
      <w:lvlText w:val="•"/>
      <w:lvlJc w:val="left"/>
      <w:pPr>
        <w:ind w:left="6284" w:hanging="113"/>
      </w:pPr>
      <w:rPr>
        <w:rFonts w:hint="default"/>
      </w:rPr>
    </w:lvl>
    <w:lvl w:ilvl="8">
      <w:start w:val="0"/>
      <w:numFmt w:val="bullet"/>
      <w:lvlText w:val="•"/>
      <w:lvlJc w:val="left"/>
      <w:pPr>
        <w:ind w:left="7153" w:hanging="113"/>
      </w:pPr>
      <w:rPr>
        <w:rFonts w:hint="default"/>
      </w:rPr>
    </w:lvl>
  </w:abstractNum>
  <w:abstractNum w:abstractNumId="17">
    <w:multiLevelType w:val="hybridMultilevel"/>
    <w:lvl w:ilvl="0">
      <w:start w:val="0"/>
      <w:numFmt w:val="bullet"/>
      <w:lvlText w:val="•"/>
      <w:lvlJc w:val="left"/>
      <w:pPr>
        <w:ind w:left="190" w:hanging="113"/>
      </w:pPr>
      <w:rPr>
        <w:rFonts w:hint="default" w:ascii="Times New Roman" w:hAnsi="Times New Roman" w:eastAsia="Times New Roman" w:cs="Times New Roman"/>
        <w:w w:val="100"/>
        <w:sz w:val="18"/>
        <w:szCs w:val="18"/>
      </w:rPr>
    </w:lvl>
    <w:lvl w:ilvl="1">
      <w:start w:val="0"/>
      <w:numFmt w:val="bullet"/>
      <w:lvlText w:val="•"/>
      <w:lvlJc w:val="left"/>
      <w:pPr>
        <w:ind w:left="1069" w:hanging="113"/>
      </w:pPr>
      <w:rPr>
        <w:rFonts w:hint="default"/>
      </w:rPr>
    </w:lvl>
    <w:lvl w:ilvl="2">
      <w:start w:val="0"/>
      <w:numFmt w:val="bullet"/>
      <w:lvlText w:val="•"/>
      <w:lvlJc w:val="left"/>
      <w:pPr>
        <w:ind w:left="1938" w:hanging="113"/>
      </w:pPr>
      <w:rPr>
        <w:rFonts w:hint="default"/>
      </w:rPr>
    </w:lvl>
    <w:lvl w:ilvl="3">
      <w:start w:val="0"/>
      <w:numFmt w:val="bullet"/>
      <w:lvlText w:val="•"/>
      <w:lvlJc w:val="left"/>
      <w:pPr>
        <w:ind w:left="2807" w:hanging="113"/>
      </w:pPr>
      <w:rPr>
        <w:rFonts w:hint="default"/>
      </w:rPr>
    </w:lvl>
    <w:lvl w:ilvl="4">
      <w:start w:val="0"/>
      <w:numFmt w:val="bullet"/>
      <w:lvlText w:val="•"/>
      <w:lvlJc w:val="left"/>
      <w:pPr>
        <w:ind w:left="3676" w:hanging="113"/>
      </w:pPr>
      <w:rPr>
        <w:rFonts w:hint="default"/>
      </w:rPr>
    </w:lvl>
    <w:lvl w:ilvl="5">
      <w:start w:val="0"/>
      <w:numFmt w:val="bullet"/>
      <w:lvlText w:val="•"/>
      <w:lvlJc w:val="left"/>
      <w:pPr>
        <w:ind w:left="4546" w:hanging="113"/>
      </w:pPr>
      <w:rPr>
        <w:rFonts w:hint="default"/>
      </w:rPr>
    </w:lvl>
    <w:lvl w:ilvl="6">
      <w:start w:val="0"/>
      <w:numFmt w:val="bullet"/>
      <w:lvlText w:val="•"/>
      <w:lvlJc w:val="left"/>
      <w:pPr>
        <w:ind w:left="5415" w:hanging="113"/>
      </w:pPr>
      <w:rPr>
        <w:rFonts w:hint="default"/>
      </w:rPr>
    </w:lvl>
    <w:lvl w:ilvl="7">
      <w:start w:val="0"/>
      <w:numFmt w:val="bullet"/>
      <w:lvlText w:val="•"/>
      <w:lvlJc w:val="left"/>
      <w:pPr>
        <w:ind w:left="6284" w:hanging="113"/>
      </w:pPr>
      <w:rPr>
        <w:rFonts w:hint="default"/>
      </w:rPr>
    </w:lvl>
    <w:lvl w:ilvl="8">
      <w:start w:val="0"/>
      <w:numFmt w:val="bullet"/>
      <w:lvlText w:val="•"/>
      <w:lvlJc w:val="left"/>
      <w:pPr>
        <w:ind w:left="7153" w:hanging="113"/>
      </w:pPr>
      <w:rPr>
        <w:rFonts w:hint="default"/>
      </w:rPr>
    </w:lvl>
  </w:abstractNum>
  <w:abstractNum w:abstractNumId="16">
    <w:multiLevelType w:val="hybridMultilevel"/>
    <w:lvl w:ilvl="0">
      <w:start w:val="0"/>
      <w:numFmt w:val="bullet"/>
      <w:lvlText w:val=""/>
      <w:lvlJc w:val="left"/>
      <w:pPr>
        <w:ind w:left="525" w:hanging="284"/>
      </w:pPr>
      <w:rPr>
        <w:rFonts w:hint="default" w:ascii="Symbol" w:hAnsi="Symbol" w:eastAsia="Symbol" w:cs="Symbol"/>
        <w:w w:val="100"/>
        <w:sz w:val="20"/>
        <w:szCs w:val="20"/>
      </w:rPr>
    </w:lvl>
    <w:lvl w:ilvl="1">
      <w:start w:val="0"/>
      <w:numFmt w:val="bullet"/>
      <w:lvlText w:val="•"/>
      <w:lvlJc w:val="left"/>
      <w:pPr>
        <w:ind w:left="1010" w:hanging="284"/>
      </w:pPr>
      <w:rPr>
        <w:rFonts w:hint="default"/>
      </w:rPr>
    </w:lvl>
    <w:lvl w:ilvl="2">
      <w:start w:val="0"/>
      <w:numFmt w:val="bullet"/>
      <w:lvlText w:val="•"/>
      <w:lvlJc w:val="left"/>
      <w:pPr>
        <w:ind w:left="1500" w:hanging="284"/>
      </w:pPr>
      <w:rPr>
        <w:rFonts w:hint="default"/>
      </w:rPr>
    </w:lvl>
    <w:lvl w:ilvl="3">
      <w:start w:val="0"/>
      <w:numFmt w:val="bullet"/>
      <w:lvlText w:val="•"/>
      <w:lvlJc w:val="left"/>
      <w:pPr>
        <w:ind w:left="1990" w:hanging="284"/>
      </w:pPr>
      <w:rPr>
        <w:rFonts w:hint="default"/>
      </w:rPr>
    </w:lvl>
    <w:lvl w:ilvl="4">
      <w:start w:val="0"/>
      <w:numFmt w:val="bullet"/>
      <w:lvlText w:val="•"/>
      <w:lvlJc w:val="left"/>
      <w:pPr>
        <w:ind w:left="2480" w:hanging="284"/>
      </w:pPr>
      <w:rPr>
        <w:rFonts w:hint="default"/>
      </w:rPr>
    </w:lvl>
    <w:lvl w:ilvl="5">
      <w:start w:val="0"/>
      <w:numFmt w:val="bullet"/>
      <w:lvlText w:val="•"/>
      <w:lvlJc w:val="left"/>
      <w:pPr>
        <w:ind w:left="2971" w:hanging="284"/>
      </w:pPr>
      <w:rPr>
        <w:rFonts w:hint="default"/>
      </w:rPr>
    </w:lvl>
    <w:lvl w:ilvl="6">
      <w:start w:val="0"/>
      <w:numFmt w:val="bullet"/>
      <w:lvlText w:val="•"/>
      <w:lvlJc w:val="left"/>
      <w:pPr>
        <w:ind w:left="3461" w:hanging="284"/>
      </w:pPr>
      <w:rPr>
        <w:rFonts w:hint="default"/>
      </w:rPr>
    </w:lvl>
    <w:lvl w:ilvl="7">
      <w:start w:val="0"/>
      <w:numFmt w:val="bullet"/>
      <w:lvlText w:val="•"/>
      <w:lvlJc w:val="left"/>
      <w:pPr>
        <w:ind w:left="3951" w:hanging="284"/>
      </w:pPr>
      <w:rPr>
        <w:rFonts w:hint="default"/>
      </w:rPr>
    </w:lvl>
    <w:lvl w:ilvl="8">
      <w:start w:val="0"/>
      <w:numFmt w:val="bullet"/>
      <w:lvlText w:val="•"/>
      <w:lvlJc w:val="left"/>
      <w:pPr>
        <w:ind w:left="4441" w:hanging="284"/>
      </w:pPr>
      <w:rPr>
        <w:rFonts w:hint="default"/>
      </w:rPr>
    </w:lvl>
  </w:abstractNum>
  <w:abstractNum w:abstractNumId="15">
    <w:multiLevelType w:val="hybridMultilevel"/>
    <w:lvl w:ilvl="0">
      <w:start w:val="13"/>
      <w:numFmt w:val="lowerLetter"/>
      <w:lvlText w:val="%1"/>
      <w:lvlJc w:val="left"/>
      <w:pPr>
        <w:ind w:left="301" w:hanging="298"/>
        <w:jc w:val="left"/>
      </w:pPr>
      <w:rPr>
        <w:rFonts w:hint="default"/>
      </w:rPr>
    </w:lvl>
    <w:lvl w:ilvl="1">
      <w:start w:val="2"/>
      <w:numFmt w:val="decimal"/>
      <w:lvlText w:val="%1-%2"/>
      <w:lvlJc w:val="left"/>
      <w:pPr>
        <w:ind w:left="301" w:hanging="298"/>
        <w:jc w:val="left"/>
      </w:pPr>
      <w:rPr>
        <w:rFonts w:hint="default" w:ascii="Times New Roman" w:hAnsi="Times New Roman" w:eastAsia="Times New Roman" w:cs="Times New Roman"/>
        <w:w w:val="100"/>
        <w:sz w:val="20"/>
        <w:szCs w:val="20"/>
      </w:rPr>
    </w:lvl>
    <w:lvl w:ilvl="2">
      <w:start w:val="0"/>
      <w:numFmt w:val="bullet"/>
      <w:lvlText w:val=""/>
      <w:lvlJc w:val="left"/>
      <w:pPr>
        <w:ind w:left="440" w:hanging="284"/>
      </w:pPr>
      <w:rPr>
        <w:rFonts w:hint="default" w:ascii="Symbol" w:hAnsi="Symbol" w:eastAsia="Symbol" w:cs="Symbol"/>
        <w:w w:val="100"/>
        <w:sz w:val="20"/>
        <w:szCs w:val="20"/>
      </w:rPr>
    </w:lvl>
    <w:lvl w:ilvl="3">
      <w:start w:val="0"/>
      <w:numFmt w:val="bullet"/>
      <w:lvlText w:val=""/>
      <w:lvlJc w:val="left"/>
      <w:pPr>
        <w:ind w:left="526" w:hanging="284"/>
      </w:pPr>
      <w:rPr>
        <w:rFonts w:hint="default" w:ascii="Symbol" w:hAnsi="Symbol" w:eastAsia="Symbol" w:cs="Symbol"/>
        <w:w w:val="100"/>
        <w:sz w:val="20"/>
        <w:szCs w:val="20"/>
      </w:rPr>
    </w:lvl>
    <w:lvl w:ilvl="4">
      <w:start w:val="0"/>
      <w:numFmt w:val="bullet"/>
      <w:lvlText w:val="•"/>
      <w:lvlJc w:val="left"/>
      <w:pPr>
        <w:ind w:left="391" w:hanging="284"/>
      </w:pPr>
      <w:rPr>
        <w:rFonts w:hint="default"/>
      </w:rPr>
    </w:lvl>
    <w:lvl w:ilvl="5">
      <w:start w:val="0"/>
      <w:numFmt w:val="bullet"/>
      <w:lvlText w:val="•"/>
      <w:lvlJc w:val="left"/>
      <w:pPr>
        <w:ind w:left="-57" w:hanging="284"/>
      </w:pPr>
      <w:rPr>
        <w:rFonts w:hint="default"/>
      </w:rPr>
    </w:lvl>
    <w:lvl w:ilvl="6">
      <w:start w:val="0"/>
      <w:numFmt w:val="bullet"/>
      <w:lvlText w:val="•"/>
      <w:lvlJc w:val="left"/>
      <w:pPr>
        <w:ind w:left="-506" w:hanging="284"/>
      </w:pPr>
      <w:rPr>
        <w:rFonts w:hint="default"/>
      </w:rPr>
    </w:lvl>
    <w:lvl w:ilvl="7">
      <w:start w:val="0"/>
      <w:numFmt w:val="bullet"/>
      <w:lvlText w:val="•"/>
      <w:lvlJc w:val="left"/>
      <w:pPr>
        <w:ind w:left="-954" w:hanging="284"/>
      </w:pPr>
      <w:rPr>
        <w:rFonts w:hint="default"/>
      </w:rPr>
    </w:lvl>
    <w:lvl w:ilvl="8">
      <w:start w:val="0"/>
      <w:numFmt w:val="bullet"/>
      <w:lvlText w:val="•"/>
      <w:lvlJc w:val="left"/>
      <w:pPr>
        <w:ind w:left="-1403" w:hanging="284"/>
      </w:pPr>
      <w:rPr>
        <w:rFonts w:hint="default"/>
      </w:rPr>
    </w:lvl>
  </w:abstractNum>
  <w:abstractNum w:abstractNumId="14">
    <w:multiLevelType w:val="hybridMultilevel"/>
    <w:lvl w:ilvl="0">
      <w:start w:val="5"/>
      <w:numFmt w:val="decimal"/>
      <w:lvlText w:val="%1"/>
      <w:lvlJc w:val="left"/>
      <w:pPr>
        <w:ind w:left="977" w:hanging="820"/>
        <w:jc w:val="left"/>
      </w:pPr>
      <w:rPr>
        <w:rFonts w:hint="default"/>
      </w:rPr>
    </w:lvl>
    <w:lvl w:ilvl="1">
      <w:start w:val="7"/>
      <w:numFmt w:val="decimal"/>
      <w:lvlText w:val="%1.%2"/>
      <w:lvlJc w:val="left"/>
      <w:pPr>
        <w:ind w:left="977" w:hanging="820"/>
        <w:jc w:val="left"/>
      </w:pPr>
      <w:rPr>
        <w:rFonts w:hint="default"/>
      </w:rPr>
    </w:lvl>
    <w:lvl w:ilvl="2">
      <w:start w:val="4"/>
      <w:numFmt w:val="decimal"/>
      <w:lvlText w:val="%1.%2.%3"/>
      <w:lvlJc w:val="left"/>
      <w:pPr>
        <w:ind w:left="977" w:hanging="820"/>
        <w:jc w:val="right"/>
      </w:pPr>
      <w:rPr>
        <w:rFonts w:hint="default" w:ascii="Times New Roman" w:hAnsi="Times New Roman" w:eastAsia="Times New Roman" w:cs="Times New Roman"/>
        <w:b/>
        <w:bCs/>
        <w:i/>
        <w:spacing w:val="-1"/>
        <w:w w:val="100"/>
        <w:sz w:val="20"/>
        <w:szCs w:val="20"/>
      </w:rPr>
    </w:lvl>
    <w:lvl w:ilvl="3">
      <w:start w:val="1"/>
      <w:numFmt w:val="decimal"/>
      <w:lvlText w:val="%1.%2.%3.%4"/>
      <w:lvlJc w:val="left"/>
      <w:pPr>
        <w:ind w:left="977" w:hanging="820"/>
        <w:jc w:val="right"/>
      </w:pPr>
      <w:rPr>
        <w:rFonts w:hint="default" w:ascii="Times New Roman" w:hAnsi="Times New Roman" w:eastAsia="Times New Roman" w:cs="Times New Roman"/>
        <w:i/>
        <w:spacing w:val="-8"/>
        <w:w w:val="100"/>
        <w:sz w:val="20"/>
        <w:szCs w:val="20"/>
      </w:rPr>
    </w:lvl>
    <w:lvl w:ilvl="4">
      <w:start w:val="0"/>
      <w:numFmt w:val="bullet"/>
      <w:lvlText w:val="•"/>
      <w:lvlJc w:val="left"/>
      <w:pPr>
        <w:ind w:left="2881" w:hanging="820"/>
      </w:pPr>
      <w:rPr>
        <w:rFonts w:hint="default"/>
      </w:rPr>
    </w:lvl>
    <w:lvl w:ilvl="5">
      <w:start w:val="0"/>
      <w:numFmt w:val="bullet"/>
      <w:lvlText w:val="•"/>
      <w:lvlJc w:val="left"/>
      <w:pPr>
        <w:ind w:left="3356" w:hanging="820"/>
      </w:pPr>
      <w:rPr>
        <w:rFonts w:hint="default"/>
      </w:rPr>
    </w:lvl>
    <w:lvl w:ilvl="6">
      <w:start w:val="0"/>
      <w:numFmt w:val="bullet"/>
      <w:lvlText w:val="•"/>
      <w:lvlJc w:val="left"/>
      <w:pPr>
        <w:ind w:left="3832" w:hanging="820"/>
      </w:pPr>
      <w:rPr>
        <w:rFonts w:hint="default"/>
      </w:rPr>
    </w:lvl>
    <w:lvl w:ilvl="7">
      <w:start w:val="0"/>
      <w:numFmt w:val="bullet"/>
      <w:lvlText w:val="•"/>
      <w:lvlJc w:val="left"/>
      <w:pPr>
        <w:ind w:left="4307" w:hanging="820"/>
      </w:pPr>
      <w:rPr>
        <w:rFonts w:hint="default"/>
      </w:rPr>
    </w:lvl>
    <w:lvl w:ilvl="8">
      <w:start w:val="0"/>
      <w:numFmt w:val="bullet"/>
      <w:lvlText w:val="•"/>
      <w:lvlJc w:val="left"/>
      <w:pPr>
        <w:ind w:left="4782" w:hanging="820"/>
      </w:pPr>
      <w:rPr>
        <w:rFonts w:hint="default"/>
      </w:rPr>
    </w:lvl>
  </w:abstractNum>
  <w:abstractNum w:abstractNumId="13">
    <w:multiLevelType w:val="hybridMultilevel"/>
    <w:lvl w:ilvl="0">
      <w:start w:val="5"/>
      <w:numFmt w:val="decimal"/>
      <w:lvlText w:val="%1"/>
      <w:lvlJc w:val="left"/>
      <w:pPr>
        <w:ind w:left="1373" w:hanging="820"/>
        <w:jc w:val="left"/>
      </w:pPr>
      <w:rPr>
        <w:rFonts w:hint="default"/>
      </w:rPr>
    </w:lvl>
    <w:lvl w:ilvl="1">
      <w:start w:val="6"/>
      <w:numFmt w:val="decimal"/>
      <w:lvlText w:val="%1.%2"/>
      <w:lvlJc w:val="left"/>
      <w:pPr>
        <w:ind w:left="1373" w:hanging="820"/>
        <w:jc w:val="left"/>
      </w:pPr>
      <w:rPr>
        <w:rFonts w:hint="default"/>
      </w:rPr>
    </w:lvl>
    <w:lvl w:ilvl="2">
      <w:start w:val="6"/>
      <w:numFmt w:val="decimal"/>
      <w:lvlText w:val="%1.%2.%3"/>
      <w:lvlJc w:val="left"/>
      <w:pPr>
        <w:ind w:left="1373" w:hanging="820"/>
        <w:jc w:val="right"/>
      </w:pPr>
      <w:rPr>
        <w:rFonts w:hint="default" w:ascii="Times New Roman" w:hAnsi="Times New Roman" w:eastAsia="Times New Roman" w:cs="Times New Roman"/>
        <w:b/>
        <w:bCs/>
        <w:i/>
        <w:spacing w:val="-1"/>
        <w:w w:val="100"/>
        <w:sz w:val="20"/>
        <w:szCs w:val="20"/>
      </w:rPr>
    </w:lvl>
    <w:lvl w:ilvl="3">
      <w:start w:val="0"/>
      <w:numFmt w:val="bullet"/>
      <w:lvlText w:val="•"/>
      <w:lvlJc w:val="left"/>
      <w:pPr>
        <w:ind w:left="2645" w:hanging="820"/>
      </w:pPr>
      <w:rPr>
        <w:rFonts w:hint="default"/>
      </w:rPr>
    </w:lvl>
    <w:lvl w:ilvl="4">
      <w:start w:val="0"/>
      <w:numFmt w:val="bullet"/>
      <w:lvlText w:val="•"/>
      <w:lvlJc w:val="left"/>
      <w:pPr>
        <w:ind w:left="3067" w:hanging="820"/>
      </w:pPr>
      <w:rPr>
        <w:rFonts w:hint="default"/>
      </w:rPr>
    </w:lvl>
    <w:lvl w:ilvl="5">
      <w:start w:val="0"/>
      <w:numFmt w:val="bullet"/>
      <w:lvlText w:val="•"/>
      <w:lvlJc w:val="left"/>
      <w:pPr>
        <w:ind w:left="3489" w:hanging="820"/>
      </w:pPr>
      <w:rPr>
        <w:rFonts w:hint="default"/>
      </w:rPr>
    </w:lvl>
    <w:lvl w:ilvl="6">
      <w:start w:val="0"/>
      <w:numFmt w:val="bullet"/>
      <w:lvlText w:val="•"/>
      <w:lvlJc w:val="left"/>
      <w:pPr>
        <w:ind w:left="3911" w:hanging="820"/>
      </w:pPr>
      <w:rPr>
        <w:rFonts w:hint="default"/>
      </w:rPr>
    </w:lvl>
    <w:lvl w:ilvl="7">
      <w:start w:val="0"/>
      <w:numFmt w:val="bullet"/>
      <w:lvlText w:val="•"/>
      <w:lvlJc w:val="left"/>
      <w:pPr>
        <w:ind w:left="4333" w:hanging="820"/>
      </w:pPr>
      <w:rPr>
        <w:rFonts w:hint="default"/>
      </w:rPr>
    </w:lvl>
    <w:lvl w:ilvl="8">
      <w:start w:val="0"/>
      <w:numFmt w:val="bullet"/>
      <w:lvlText w:val="•"/>
      <w:lvlJc w:val="left"/>
      <w:pPr>
        <w:ind w:left="4755" w:hanging="820"/>
      </w:pPr>
      <w:rPr>
        <w:rFonts w:hint="default"/>
      </w:rPr>
    </w:lvl>
  </w:abstractNum>
  <w:abstractNum w:abstractNumId="12">
    <w:multiLevelType w:val="hybridMultilevel"/>
    <w:lvl w:ilvl="0">
      <w:start w:val="5"/>
      <w:numFmt w:val="decimal"/>
      <w:lvlText w:val="%1"/>
      <w:lvlJc w:val="left"/>
      <w:pPr>
        <w:ind w:left="1061" w:hanging="820"/>
        <w:jc w:val="left"/>
      </w:pPr>
      <w:rPr>
        <w:rFonts w:hint="default"/>
      </w:rPr>
    </w:lvl>
    <w:lvl w:ilvl="1">
      <w:start w:val="6"/>
      <w:numFmt w:val="decimal"/>
      <w:lvlText w:val="%1.%2"/>
      <w:lvlJc w:val="left"/>
      <w:pPr>
        <w:ind w:left="1061" w:hanging="820"/>
        <w:jc w:val="left"/>
      </w:pPr>
      <w:rPr>
        <w:rFonts w:hint="default"/>
      </w:rPr>
    </w:lvl>
    <w:lvl w:ilvl="2">
      <w:start w:val="5"/>
      <w:numFmt w:val="decimal"/>
      <w:lvlText w:val="%1.%2.%3"/>
      <w:lvlJc w:val="left"/>
      <w:pPr>
        <w:ind w:left="1061" w:hanging="820"/>
        <w:jc w:val="left"/>
      </w:pPr>
      <w:rPr>
        <w:rFonts w:hint="default" w:ascii="Times New Roman" w:hAnsi="Times New Roman" w:eastAsia="Times New Roman" w:cs="Times New Roman"/>
        <w:b/>
        <w:bCs/>
        <w:i/>
        <w:spacing w:val="-19"/>
        <w:w w:val="100"/>
        <w:sz w:val="20"/>
        <w:szCs w:val="20"/>
      </w:rPr>
    </w:lvl>
    <w:lvl w:ilvl="3">
      <w:start w:val="1"/>
      <w:numFmt w:val="decimal"/>
      <w:lvlText w:val="%1.%2.%3.%4"/>
      <w:lvlJc w:val="left"/>
      <w:pPr>
        <w:ind w:left="1061" w:hanging="820"/>
        <w:jc w:val="right"/>
      </w:pPr>
      <w:rPr>
        <w:rFonts w:hint="default" w:ascii="Times New Roman" w:hAnsi="Times New Roman" w:eastAsia="Times New Roman" w:cs="Times New Roman"/>
        <w:i/>
        <w:spacing w:val="-8"/>
        <w:w w:val="100"/>
        <w:sz w:val="20"/>
        <w:szCs w:val="20"/>
      </w:rPr>
    </w:lvl>
    <w:lvl w:ilvl="4">
      <w:start w:val="0"/>
      <w:numFmt w:val="bullet"/>
      <w:lvlText w:val="•"/>
      <w:lvlJc w:val="left"/>
      <w:pPr>
        <w:ind w:left="2804" w:hanging="820"/>
      </w:pPr>
      <w:rPr>
        <w:rFonts w:hint="default"/>
      </w:rPr>
    </w:lvl>
    <w:lvl w:ilvl="5">
      <w:start w:val="0"/>
      <w:numFmt w:val="bullet"/>
      <w:lvlText w:val="•"/>
      <w:lvlJc w:val="left"/>
      <w:pPr>
        <w:ind w:left="3240" w:hanging="820"/>
      </w:pPr>
      <w:rPr>
        <w:rFonts w:hint="default"/>
      </w:rPr>
    </w:lvl>
    <w:lvl w:ilvl="6">
      <w:start w:val="0"/>
      <w:numFmt w:val="bullet"/>
      <w:lvlText w:val="•"/>
      <w:lvlJc w:val="left"/>
      <w:pPr>
        <w:ind w:left="3676" w:hanging="820"/>
      </w:pPr>
      <w:rPr>
        <w:rFonts w:hint="default"/>
      </w:rPr>
    </w:lvl>
    <w:lvl w:ilvl="7">
      <w:start w:val="0"/>
      <w:numFmt w:val="bullet"/>
      <w:lvlText w:val="•"/>
      <w:lvlJc w:val="left"/>
      <w:pPr>
        <w:ind w:left="4113" w:hanging="820"/>
      </w:pPr>
      <w:rPr>
        <w:rFonts w:hint="default"/>
      </w:rPr>
    </w:lvl>
    <w:lvl w:ilvl="8">
      <w:start w:val="0"/>
      <w:numFmt w:val="bullet"/>
      <w:lvlText w:val="•"/>
      <w:lvlJc w:val="left"/>
      <w:pPr>
        <w:ind w:left="4549" w:hanging="820"/>
      </w:pPr>
      <w:rPr>
        <w:rFonts w:hint="default"/>
      </w:rPr>
    </w:lvl>
  </w:abstractNum>
  <w:abstractNum w:abstractNumId="11">
    <w:multiLevelType w:val="hybridMultilevel"/>
    <w:lvl w:ilvl="0">
      <w:start w:val="1"/>
      <w:numFmt w:val="lowerLetter"/>
      <w:lvlText w:val="(%1)"/>
      <w:lvlJc w:val="left"/>
      <w:pPr>
        <w:ind w:left="405" w:hanging="254"/>
        <w:jc w:val="left"/>
      </w:pPr>
      <w:rPr>
        <w:rFonts w:hint="default" w:ascii="Times New Roman" w:hAnsi="Times New Roman" w:eastAsia="Times New Roman" w:cs="Times New Roman"/>
        <w:w w:val="100"/>
        <w:sz w:val="18"/>
        <w:szCs w:val="18"/>
      </w:rPr>
    </w:lvl>
    <w:lvl w:ilvl="1">
      <w:start w:val="0"/>
      <w:numFmt w:val="bullet"/>
      <w:lvlText w:val="•"/>
      <w:lvlJc w:val="left"/>
      <w:pPr>
        <w:ind w:left="431" w:hanging="254"/>
      </w:pPr>
      <w:rPr>
        <w:rFonts w:hint="default"/>
      </w:rPr>
    </w:lvl>
    <w:lvl w:ilvl="2">
      <w:start w:val="0"/>
      <w:numFmt w:val="bullet"/>
      <w:lvlText w:val="•"/>
      <w:lvlJc w:val="left"/>
      <w:pPr>
        <w:ind w:left="463" w:hanging="254"/>
      </w:pPr>
      <w:rPr>
        <w:rFonts w:hint="default"/>
      </w:rPr>
    </w:lvl>
    <w:lvl w:ilvl="3">
      <w:start w:val="0"/>
      <w:numFmt w:val="bullet"/>
      <w:lvlText w:val="•"/>
      <w:lvlJc w:val="left"/>
      <w:pPr>
        <w:ind w:left="495" w:hanging="254"/>
      </w:pPr>
      <w:rPr>
        <w:rFonts w:hint="default"/>
      </w:rPr>
    </w:lvl>
    <w:lvl w:ilvl="4">
      <w:start w:val="0"/>
      <w:numFmt w:val="bullet"/>
      <w:lvlText w:val="•"/>
      <w:lvlJc w:val="left"/>
      <w:pPr>
        <w:ind w:left="527" w:hanging="254"/>
      </w:pPr>
      <w:rPr>
        <w:rFonts w:hint="default"/>
      </w:rPr>
    </w:lvl>
    <w:lvl w:ilvl="5">
      <w:start w:val="0"/>
      <w:numFmt w:val="bullet"/>
      <w:lvlText w:val="•"/>
      <w:lvlJc w:val="left"/>
      <w:pPr>
        <w:ind w:left="559" w:hanging="254"/>
      </w:pPr>
      <w:rPr>
        <w:rFonts w:hint="default"/>
      </w:rPr>
    </w:lvl>
    <w:lvl w:ilvl="6">
      <w:start w:val="0"/>
      <w:numFmt w:val="bullet"/>
      <w:lvlText w:val="•"/>
      <w:lvlJc w:val="left"/>
      <w:pPr>
        <w:ind w:left="591" w:hanging="254"/>
      </w:pPr>
      <w:rPr>
        <w:rFonts w:hint="default"/>
      </w:rPr>
    </w:lvl>
    <w:lvl w:ilvl="7">
      <w:start w:val="0"/>
      <w:numFmt w:val="bullet"/>
      <w:lvlText w:val="•"/>
      <w:lvlJc w:val="left"/>
      <w:pPr>
        <w:ind w:left="623" w:hanging="254"/>
      </w:pPr>
      <w:rPr>
        <w:rFonts w:hint="default"/>
      </w:rPr>
    </w:lvl>
    <w:lvl w:ilvl="8">
      <w:start w:val="0"/>
      <w:numFmt w:val="bullet"/>
      <w:lvlText w:val="•"/>
      <w:lvlJc w:val="left"/>
      <w:pPr>
        <w:ind w:left="655" w:hanging="254"/>
      </w:pPr>
      <w:rPr>
        <w:rFonts w:hint="default"/>
      </w:rPr>
    </w:lvl>
  </w:abstractNum>
  <w:abstractNum w:abstractNumId="10">
    <w:multiLevelType w:val="hybridMultilevel"/>
    <w:lvl w:ilvl="0">
      <w:start w:val="5"/>
      <w:numFmt w:val="decimal"/>
      <w:lvlText w:val="%1"/>
      <w:lvlJc w:val="left"/>
      <w:pPr>
        <w:ind w:left="977" w:hanging="820"/>
        <w:jc w:val="left"/>
      </w:pPr>
      <w:rPr>
        <w:rFonts w:hint="default"/>
      </w:rPr>
    </w:lvl>
    <w:lvl w:ilvl="1">
      <w:start w:val="6"/>
      <w:numFmt w:val="decimal"/>
      <w:lvlText w:val="%1.%2"/>
      <w:lvlJc w:val="left"/>
      <w:pPr>
        <w:ind w:left="977" w:hanging="820"/>
        <w:jc w:val="left"/>
      </w:pPr>
      <w:rPr>
        <w:rFonts w:hint="default"/>
      </w:rPr>
    </w:lvl>
    <w:lvl w:ilvl="2">
      <w:start w:val="1"/>
      <w:numFmt w:val="decimal"/>
      <w:lvlText w:val="%1.%2.%3"/>
      <w:lvlJc w:val="left"/>
      <w:pPr>
        <w:ind w:left="977" w:hanging="820"/>
        <w:jc w:val="right"/>
      </w:pPr>
      <w:rPr>
        <w:rFonts w:hint="default" w:ascii="Times New Roman" w:hAnsi="Times New Roman" w:eastAsia="Times New Roman" w:cs="Times New Roman"/>
        <w:b/>
        <w:bCs/>
        <w:i/>
        <w:w w:val="100"/>
        <w:sz w:val="20"/>
        <w:szCs w:val="20"/>
      </w:rPr>
    </w:lvl>
    <w:lvl w:ilvl="3">
      <w:start w:val="1"/>
      <w:numFmt w:val="decimal"/>
      <w:lvlText w:val="%1.%2.%3.%4"/>
      <w:lvlJc w:val="left"/>
      <w:pPr>
        <w:ind w:left="241" w:hanging="820"/>
        <w:jc w:val="right"/>
      </w:pPr>
      <w:rPr>
        <w:rFonts w:hint="default" w:ascii="Times New Roman" w:hAnsi="Times New Roman" w:eastAsia="Times New Roman" w:cs="Times New Roman"/>
        <w:i/>
        <w:spacing w:val="-22"/>
        <w:w w:val="100"/>
        <w:sz w:val="20"/>
        <w:szCs w:val="20"/>
      </w:rPr>
    </w:lvl>
    <w:lvl w:ilvl="4">
      <w:start w:val="0"/>
      <w:numFmt w:val="bullet"/>
      <w:lvlText w:val="•"/>
      <w:lvlJc w:val="left"/>
      <w:pPr>
        <w:ind w:left="2460" w:hanging="820"/>
      </w:pPr>
      <w:rPr>
        <w:rFonts w:hint="default"/>
      </w:rPr>
    </w:lvl>
    <w:lvl w:ilvl="5">
      <w:start w:val="0"/>
      <w:numFmt w:val="bullet"/>
      <w:lvlText w:val="•"/>
      <w:lvlJc w:val="left"/>
      <w:pPr>
        <w:ind w:left="2953" w:hanging="820"/>
      </w:pPr>
      <w:rPr>
        <w:rFonts w:hint="default"/>
      </w:rPr>
    </w:lvl>
    <w:lvl w:ilvl="6">
      <w:start w:val="0"/>
      <w:numFmt w:val="bullet"/>
      <w:lvlText w:val="•"/>
      <w:lvlJc w:val="left"/>
      <w:pPr>
        <w:ind w:left="3447" w:hanging="820"/>
      </w:pPr>
      <w:rPr>
        <w:rFonts w:hint="default"/>
      </w:rPr>
    </w:lvl>
    <w:lvl w:ilvl="7">
      <w:start w:val="0"/>
      <w:numFmt w:val="bullet"/>
      <w:lvlText w:val="•"/>
      <w:lvlJc w:val="left"/>
      <w:pPr>
        <w:ind w:left="3940" w:hanging="820"/>
      </w:pPr>
      <w:rPr>
        <w:rFonts w:hint="default"/>
      </w:rPr>
    </w:lvl>
    <w:lvl w:ilvl="8">
      <w:start w:val="0"/>
      <w:numFmt w:val="bullet"/>
      <w:lvlText w:val="•"/>
      <w:lvlJc w:val="left"/>
      <w:pPr>
        <w:ind w:left="4434" w:hanging="820"/>
      </w:pPr>
      <w:rPr>
        <w:rFonts w:hint="default"/>
      </w:rPr>
    </w:lvl>
  </w:abstractNum>
  <w:abstractNum w:abstractNumId="9">
    <w:multiLevelType w:val="hybridMultilevel"/>
    <w:lvl w:ilvl="0">
      <w:start w:val="0"/>
      <w:numFmt w:val="bullet"/>
      <w:lvlText w:val=""/>
      <w:lvlJc w:val="left"/>
      <w:pPr>
        <w:ind w:left="525" w:hanging="284"/>
      </w:pPr>
      <w:rPr>
        <w:rFonts w:hint="default" w:ascii="Symbol" w:hAnsi="Symbol" w:eastAsia="Symbol" w:cs="Symbol"/>
        <w:w w:val="100"/>
        <w:sz w:val="20"/>
        <w:szCs w:val="20"/>
      </w:rPr>
    </w:lvl>
    <w:lvl w:ilvl="1">
      <w:start w:val="0"/>
      <w:numFmt w:val="bullet"/>
      <w:lvlText w:val=""/>
      <w:lvlJc w:val="left"/>
      <w:pPr>
        <w:ind w:left="837" w:hanging="284"/>
      </w:pPr>
      <w:rPr>
        <w:rFonts w:hint="default" w:ascii="Symbol" w:hAnsi="Symbol" w:eastAsia="Symbol" w:cs="Symbol"/>
        <w:w w:val="100"/>
        <w:sz w:val="20"/>
        <w:szCs w:val="20"/>
      </w:rPr>
    </w:lvl>
    <w:lvl w:ilvl="2">
      <w:start w:val="0"/>
      <w:numFmt w:val="bullet"/>
      <w:lvlText w:val="•"/>
      <w:lvlJc w:val="left"/>
      <w:pPr>
        <w:ind w:left="742" w:hanging="284"/>
      </w:pPr>
      <w:rPr>
        <w:rFonts w:hint="default"/>
      </w:rPr>
    </w:lvl>
    <w:lvl w:ilvl="3">
      <w:start w:val="0"/>
      <w:numFmt w:val="bullet"/>
      <w:lvlText w:val="•"/>
      <w:lvlJc w:val="left"/>
      <w:pPr>
        <w:ind w:left="644" w:hanging="284"/>
      </w:pPr>
      <w:rPr>
        <w:rFonts w:hint="default"/>
      </w:rPr>
    </w:lvl>
    <w:lvl w:ilvl="4">
      <w:start w:val="0"/>
      <w:numFmt w:val="bullet"/>
      <w:lvlText w:val="•"/>
      <w:lvlJc w:val="left"/>
      <w:pPr>
        <w:ind w:left="546" w:hanging="284"/>
      </w:pPr>
      <w:rPr>
        <w:rFonts w:hint="default"/>
      </w:rPr>
    </w:lvl>
    <w:lvl w:ilvl="5">
      <w:start w:val="0"/>
      <w:numFmt w:val="bullet"/>
      <w:lvlText w:val="•"/>
      <w:lvlJc w:val="left"/>
      <w:pPr>
        <w:ind w:left="448" w:hanging="284"/>
      </w:pPr>
      <w:rPr>
        <w:rFonts w:hint="default"/>
      </w:rPr>
    </w:lvl>
    <w:lvl w:ilvl="6">
      <w:start w:val="0"/>
      <w:numFmt w:val="bullet"/>
      <w:lvlText w:val="•"/>
      <w:lvlJc w:val="left"/>
      <w:pPr>
        <w:ind w:left="350" w:hanging="284"/>
      </w:pPr>
      <w:rPr>
        <w:rFonts w:hint="default"/>
      </w:rPr>
    </w:lvl>
    <w:lvl w:ilvl="7">
      <w:start w:val="0"/>
      <w:numFmt w:val="bullet"/>
      <w:lvlText w:val="•"/>
      <w:lvlJc w:val="left"/>
      <w:pPr>
        <w:ind w:left="252" w:hanging="284"/>
      </w:pPr>
      <w:rPr>
        <w:rFonts w:hint="default"/>
      </w:rPr>
    </w:lvl>
    <w:lvl w:ilvl="8">
      <w:start w:val="0"/>
      <w:numFmt w:val="bullet"/>
      <w:lvlText w:val="•"/>
      <w:lvlJc w:val="left"/>
      <w:pPr>
        <w:ind w:left="154" w:hanging="284"/>
      </w:pPr>
      <w:rPr>
        <w:rFonts w:hint="default"/>
      </w:rPr>
    </w:lvl>
  </w:abstractNum>
  <w:abstractNum w:abstractNumId="8">
    <w:multiLevelType w:val="hybridMultilevel"/>
    <w:lvl w:ilvl="0">
      <w:start w:val="0"/>
      <w:numFmt w:val="bullet"/>
      <w:lvlText w:val="•"/>
      <w:lvlJc w:val="left"/>
      <w:pPr>
        <w:ind w:left="301"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1304" w:hanging="227"/>
      </w:pPr>
      <w:rPr>
        <w:rFonts w:hint="default"/>
      </w:rPr>
    </w:lvl>
    <w:lvl w:ilvl="2">
      <w:start w:val="0"/>
      <w:numFmt w:val="bullet"/>
      <w:lvlText w:val="•"/>
      <w:lvlJc w:val="left"/>
      <w:pPr>
        <w:ind w:left="2309" w:hanging="227"/>
      </w:pPr>
      <w:rPr>
        <w:rFonts w:hint="default"/>
      </w:rPr>
    </w:lvl>
    <w:lvl w:ilvl="3">
      <w:start w:val="0"/>
      <w:numFmt w:val="bullet"/>
      <w:lvlText w:val="•"/>
      <w:lvlJc w:val="left"/>
      <w:pPr>
        <w:ind w:left="3314" w:hanging="227"/>
      </w:pPr>
      <w:rPr>
        <w:rFonts w:hint="default"/>
      </w:rPr>
    </w:lvl>
    <w:lvl w:ilvl="4">
      <w:start w:val="0"/>
      <w:numFmt w:val="bullet"/>
      <w:lvlText w:val="•"/>
      <w:lvlJc w:val="left"/>
      <w:pPr>
        <w:ind w:left="4319" w:hanging="227"/>
      </w:pPr>
      <w:rPr>
        <w:rFonts w:hint="default"/>
      </w:rPr>
    </w:lvl>
    <w:lvl w:ilvl="5">
      <w:start w:val="0"/>
      <w:numFmt w:val="bullet"/>
      <w:lvlText w:val="•"/>
      <w:lvlJc w:val="left"/>
      <w:pPr>
        <w:ind w:left="5324" w:hanging="227"/>
      </w:pPr>
      <w:rPr>
        <w:rFonts w:hint="default"/>
      </w:rPr>
    </w:lvl>
    <w:lvl w:ilvl="6">
      <w:start w:val="0"/>
      <w:numFmt w:val="bullet"/>
      <w:lvlText w:val="•"/>
      <w:lvlJc w:val="left"/>
      <w:pPr>
        <w:ind w:left="6329" w:hanging="227"/>
      </w:pPr>
      <w:rPr>
        <w:rFonts w:hint="default"/>
      </w:rPr>
    </w:lvl>
    <w:lvl w:ilvl="7">
      <w:start w:val="0"/>
      <w:numFmt w:val="bullet"/>
      <w:lvlText w:val="•"/>
      <w:lvlJc w:val="left"/>
      <w:pPr>
        <w:ind w:left="7334" w:hanging="227"/>
      </w:pPr>
      <w:rPr>
        <w:rFonts w:hint="default"/>
      </w:rPr>
    </w:lvl>
    <w:lvl w:ilvl="8">
      <w:start w:val="0"/>
      <w:numFmt w:val="bullet"/>
      <w:lvlText w:val="•"/>
      <w:lvlJc w:val="left"/>
      <w:pPr>
        <w:ind w:left="8339" w:hanging="227"/>
      </w:pPr>
      <w:rPr>
        <w:rFonts w:hint="default"/>
      </w:rPr>
    </w:lvl>
  </w:abstractNum>
  <w:abstractNum w:abstractNumId="7">
    <w:multiLevelType w:val="hybridMultilevel"/>
    <w:lvl w:ilvl="0">
      <w:start w:val="5"/>
      <w:numFmt w:val="decimal"/>
      <w:lvlText w:val="%1"/>
      <w:lvlJc w:val="left"/>
      <w:pPr>
        <w:ind w:left="1092" w:hanging="851"/>
        <w:jc w:val="left"/>
      </w:pPr>
      <w:rPr>
        <w:rFonts w:hint="default"/>
      </w:rPr>
    </w:lvl>
    <w:lvl w:ilvl="1">
      <w:start w:val="4"/>
      <w:numFmt w:val="decimal"/>
      <w:lvlText w:val="%1.%2"/>
      <w:lvlJc w:val="left"/>
      <w:pPr>
        <w:ind w:left="1092" w:hanging="851"/>
        <w:jc w:val="left"/>
      </w:pPr>
      <w:rPr>
        <w:rFonts w:hint="default"/>
      </w:rPr>
    </w:lvl>
    <w:lvl w:ilvl="2">
      <w:start w:val="1"/>
      <w:numFmt w:val="decimal"/>
      <w:lvlText w:val="%1.%2.%3"/>
      <w:lvlJc w:val="left"/>
      <w:pPr>
        <w:ind w:left="1092" w:hanging="851"/>
        <w:jc w:val="left"/>
      </w:pPr>
      <w:rPr>
        <w:rFonts w:hint="default"/>
      </w:rPr>
    </w:lvl>
    <w:lvl w:ilvl="3">
      <w:start w:val="1"/>
      <w:numFmt w:val="decimal"/>
      <w:lvlText w:val="%1.%2.%3.%4"/>
      <w:lvlJc w:val="left"/>
      <w:pPr>
        <w:ind w:left="1092" w:hanging="851"/>
        <w:jc w:val="right"/>
      </w:pPr>
      <w:rPr>
        <w:rFonts w:hint="default" w:ascii="Times New Roman" w:hAnsi="Times New Roman" w:eastAsia="Times New Roman" w:cs="Times New Roman"/>
        <w:i/>
        <w:spacing w:val="-1"/>
        <w:w w:val="100"/>
        <w:sz w:val="20"/>
        <w:szCs w:val="20"/>
      </w:rPr>
    </w:lvl>
    <w:lvl w:ilvl="4">
      <w:start w:val="0"/>
      <w:numFmt w:val="bullet"/>
      <w:lvlText w:val="•"/>
      <w:lvlJc w:val="left"/>
      <w:pPr>
        <w:ind w:left="2828" w:hanging="851"/>
      </w:pPr>
      <w:rPr>
        <w:rFonts w:hint="default"/>
      </w:rPr>
    </w:lvl>
    <w:lvl w:ilvl="5">
      <w:start w:val="0"/>
      <w:numFmt w:val="bullet"/>
      <w:lvlText w:val="•"/>
      <w:lvlJc w:val="left"/>
      <w:pPr>
        <w:ind w:left="3260" w:hanging="851"/>
      </w:pPr>
      <w:rPr>
        <w:rFonts w:hint="default"/>
      </w:rPr>
    </w:lvl>
    <w:lvl w:ilvl="6">
      <w:start w:val="0"/>
      <w:numFmt w:val="bullet"/>
      <w:lvlText w:val="•"/>
      <w:lvlJc w:val="left"/>
      <w:pPr>
        <w:ind w:left="3692" w:hanging="851"/>
      </w:pPr>
      <w:rPr>
        <w:rFonts w:hint="default"/>
      </w:rPr>
    </w:lvl>
    <w:lvl w:ilvl="7">
      <w:start w:val="0"/>
      <w:numFmt w:val="bullet"/>
      <w:lvlText w:val="•"/>
      <w:lvlJc w:val="left"/>
      <w:pPr>
        <w:ind w:left="4124" w:hanging="851"/>
      </w:pPr>
      <w:rPr>
        <w:rFonts w:hint="default"/>
      </w:rPr>
    </w:lvl>
    <w:lvl w:ilvl="8">
      <w:start w:val="0"/>
      <w:numFmt w:val="bullet"/>
      <w:lvlText w:val="•"/>
      <w:lvlJc w:val="left"/>
      <w:pPr>
        <w:ind w:left="4557" w:hanging="851"/>
      </w:pPr>
      <w:rPr>
        <w:rFonts w:hint="default"/>
      </w:rPr>
    </w:lvl>
  </w:abstractNum>
  <w:abstractNum w:abstractNumId="6">
    <w:multiLevelType w:val="hybridMultilevel"/>
    <w:lvl w:ilvl="0">
      <w:start w:val="5"/>
      <w:numFmt w:val="decimal"/>
      <w:lvlText w:val="%1"/>
      <w:lvlJc w:val="left"/>
      <w:pPr>
        <w:ind w:left="1262" w:hanging="709"/>
        <w:jc w:val="left"/>
      </w:pPr>
      <w:rPr>
        <w:rFonts w:hint="default"/>
      </w:rPr>
    </w:lvl>
    <w:lvl w:ilvl="1">
      <w:start w:val="4"/>
      <w:numFmt w:val="decimal"/>
      <w:lvlText w:val="%1.%2"/>
      <w:lvlJc w:val="left"/>
      <w:pPr>
        <w:ind w:left="1262" w:hanging="709"/>
        <w:jc w:val="right"/>
      </w:pPr>
      <w:rPr>
        <w:rFonts w:hint="default" w:ascii="Times New Roman" w:hAnsi="Times New Roman" w:eastAsia="Times New Roman" w:cs="Times New Roman"/>
        <w:b/>
        <w:bCs/>
        <w:spacing w:val="-4"/>
        <w:w w:val="100"/>
        <w:sz w:val="20"/>
        <w:szCs w:val="20"/>
      </w:rPr>
    </w:lvl>
    <w:lvl w:ilvl="2">
      <w:start w:val="1"/>
      <w:numFmt w:val="decimal"/>
      <w:lvlText w:val="%1.%2.%3"/>
      <w:lvlJc w:val="left"/>
      <w:pPr>
        <w:ind w:left="1373" w:hanging="820"/>
        <w:jc w:val="right"/>
      </w:pPr>
      <w:rPr>
        <w:rFonts w:hint="default" w:ascii="Times New Roman" w:hAnsi="Times New Roman" w:eastAsia="Times New Roman" w:cs="Times New Roman"/>
        <w:b/>
        <w:bCs/>
        <w:i/>
        <w:spacing w:val="-1"/>
        <w:w w:val="98"/>
        <w:sz w:val="20"/>
        <w:szCs w:val="20"/>
      </w:rPr>
    </w:lvl>
    <w:lvl w:ilvl="3">
      <w:start w:val="1"/>
      <w:numFmt w:val="decimal"/>
      <w:lvlText w:val="%1.%2.%3.%4"/>
      <w:lvlJc w:val="left"/>
      <w:pPr>
        <w:ind w:left="1049" w:hanging="820"/>
        <w:jc w:val="right"/>
      </w:pPr>
      <w:rPr>
        <w:rFonts w:hint="default" w:ascii="Times New Roman" w:hAnsi="Times New Roman" w:eastAsia="Times New Roman" w:cs="Times New Roman"/>
        <w:i/>
        <w:w w:val="100"/>
        <w:sz w:val="20"/>
        <w:szCs w:val="20"/>
      </w:rPr>
    </w:lvl>
    <w:lvl w:ilvl="4">
      <w:start w:val="0"/>
      <w:numFmt w:val="bullet"/>
      <w:lvlText w:val="•"/>
      <w:lvlJc w:val="left"/>
      <w:pPr>
        <w:ind w:left="1380" w:hanging="820"/>
      </w:pPr>
      <w:rPr>
        <w:rFonts w:hint="default"/>
      </w:rPr>
    </w:lvl>
    <w:lvl w:ilvl="5">
      <w:start w:val="0"/>
      <w:numFmt w:val="bullet"/>
      <w:lvlText w:val="•"/>
      <w:lvlJc w:val="left"/>
      <w:pPr>
        <w:ind w:left="1081" w:hanging="820"/>
      </w:pPr>
      <w:rPr>
        <w:rFonts w:hint="default"/>
      </w:rPr>
    </w:lvl>
    <w:lvl w:ilvl="6">
      <w:start w:val="0"/>
      <w:numFmt w:val="bullet"/>
      <w:lvlText w:val="•"/>
      <w:lvlJc w:val="left"/>
      <w:pPr>
        <w:ind w:left="783" w:hanging="820"/>
      </w:pPr>
      <w:rPr>
        <w:rFonts w:hint="default"/>
      </w:rPr>
    </w:lvl>
    <w:lvl w:ilvl="7">
      <w:start w:val="0"/>
      <w:numFmt w:val="bullet"/>
      <w:lvlText w:val="•"/>
      <w:lvlJc w:val="left"/>
      <w:pPr>
        <w:ind w:left="485" w:hanging="820"/>
      </w:pPr>
      <w:rPr>
        <w:rFonts w:hint="default"/>
      </w:rPr>
    </w:lvl>
    <w:lvl w:ilvl="8">
      <w:start w:val="0"/>
      <w:numFmt w:val="bullet"/>
      <w:lvlText w:val="•"/>
      <w:lvlJc w:val="left"/>
      <w:pPr>
        <w:ind w:left="186" w:hanging="820"/>
      </w:pPr>
      <w:rPr>
        <w:rFonts w:hint="default"/>
      </w:rPr>
    </w:lvl>
  </w:abstractNum>
  <w:abstractNum w:abstractNumId="5">
    <w:multiLevelType w:val="hybridMultilevel"/>
    <w:lvl w:ilvl="0">
      <w:start w:val="0"/>
      <w:numFmt w:val="bullet"/>
      <w:lvlText w:val=""/>
      <w:lvlJc w:val="left"/>
      <w:pPr>
        <w:ind w:left="440" w:hanging="284"/>
      </w:pPr>
      <w:rPr>
        <w:rFonts w:hint="default" w:ascii="Symbol" w:hAnsi="Symbol" w:eastAsia="Symbol" w:cs="Symbol"/>
        <w:w w:val="100"/>
        <w:sz w:val="20"/>
        <w:szCs w:val="20"/>
      </w:rPr>
    </w:lvl>
    <w:lvl w:ilvl="1">
      <w:start w:val="0"/>
      <w:numFmt w:val="bullet"/>
      <w:lvlText w:val=""/>
      <w:lvlJc w:val="left"/>
      <w:pPr>
        <w:ind w:left="837" w:hanging="284"/>
      </w:pPr>
      <w:rPr>
        <w:rFonts w:hint="default" w:ascii="Symbol" w:hAnsi="Symbol" w:eastAsia="Symbol" w:cs="Symbol"/>
        <w:w w:val="100"/>
        <w:sz w:val="20"/>
        <w:szCs w:val="20"/>
      </w:rPr>
    </w:lvl>
    <w:lvl w:ilvl="2">
      <w:start w:val="0"/>
      <w:numFmt w:val="bullet"/>
      <w:lvlText w:val="•"/>
      <w:lvlJc w:val="left"/>
      <w:pPr>
        <w:ind w:left="5760" w:hanging="284"/>
      </w:pPr>
      <w:rPr>
        <w:rFonts w:hint="default"/>
      </w:rPr>
    </w:lvl>
    <w:lvl w:ilvl="3">
      <w:start w:val="0"/>
      <w:numFmt w:val="bullet"/>
      <w:lvlText w:val="•"/>
      <w:lvlJc w:val="left"/>
      <w:pPr>
        <w:ind w:left="5073" w:hanging="284"/>
      </w:pPr>
      <w:rPr>
        <w:rFonts w:hint="default"/>
      </w:rPr>
    </w:lvl>
    <w:lvl w:ilvl="4">
      <w:start w:val="0"/>
      <w:numFmt w:val="bullet"/>
      <w:lvlText w:val="•"/>
      <w:lvlJc w:val="left"/>
      <w:pPr>
        <w:ind w:left="4387" w:hanging="284"/>
      </w:pPr>
      <w:rPr>
        <w:rFonts w:hint="default"/>
      </w:rPr>
    </w:lvl>
    <w:lvl w:ilvl="5">
      <w:start w:val="0"/>
      <w:numFmt w:val="bullet"/>
      <w:lvlText w:val="•"/>
      <w:lvlJc w:val="left"/>
      <w:pPr>
        <w:ind w:left="3701" w:hanging="284"/>
      </w:pPr>
      <w:rPr>
        <w:rFonts w:hint="default"/>
      </w:rPr>
    </w:lvl>
    <w:lvl w:ilvl="6">
      <w:start w:val="0"/>
      <w:numFmt w:val="bullet"/>
      <w:lvlText w:val="•"/>
      <w:lvlJc w:val="left"/>
      <w:pPr>
        <w:ind w:left="3015" w:hanging="284"/>
      </w:pPr>
      <w:rPr>
        <w:rFonts w:hint="default"/>
      </w:rPr>
    </w:lvl>
    <w:lvl w:ilvl="7">
      <w:start w:val="0"/>
      <w:numFmt w:val="bullet"/>
      <w:lvlText w:val="•"/>
      <w:lvlJc w:val="left"/>
      <w:pPr>
        <w:ind w:left="2329" w:hanging="284"/>
      </w:pPr>
      <w:rPr>
        <w:rFonts w:hint="default"/>
      </w:rPr>
    </w:lvl>
    <w:lvl w:ilvl="8">
      <w:start w:val="0"/>
      <w:numFmt w:val="bullet"/>
      <w:lvlText w:val="•"/>
      <w:lvlJc w:val="left"/>
      <w:pPr>
        <w:ind w:left="1643" w:hanging="284"/>
      </w:pPr>
      <w:rPr>
        <w:rFonts w:hint="default"/>
      </w:rPr>
    </w:lvl>
  </w:abstractNum>
  <w:abstractNum w:abstractNumId="4">
    <w:multiLevelType w:val="hybridMultilevel"/>
    <w:lvl w:ilvl="0">
      <w:start w:val="0"/>
      <w:numFmt w:val="bullet"/>
      <w:lvlText w:val=""/>
      <w:lvlJc w:val="left"/>
      <w:pPr>
        <w:ind w:left="5766" w:hanging="284"/>
      </w:pPr>
      <w:rPr>
        <w:rFonts w:hint="default" w:ascii="Symbol" w:hAnsi="Symbol" w:eastAsia="Symbol" w:cs="Symbol"/>
        <w:w w:val="100"/>
        <w:sz w:val="20"/>
        <w:szCs w:val="20"/>
      </w:rPr>
    </w:lvl>
    <w:lvl w:ilvl="1">
      <w:start w:val="0"/>
      <w:numFmt w:val="bullet"/>
      <w:lvlText w:val="•"/>
      <w:lvlJc w:val="left"/>
      <w:pPr>
        <w:ind w:left="6290" w:hanging="284"/>
      </w:pPr>
      <w:rPr>
        <w:rFonts w:hint="default"/>
      </w:rPr>
    </w:lvl>
    <w:lvl w:ilvl="2">
      <w:start w:val="0"/>
      <w:numFmt w:val="bullet"/>
      <w:lvlText w:val="•"/>
      <w:lvlJc w:val="left"/>
      <w:pPr>
        <w:ind w:left="6820" w:hanging="284"/>
      </w:pPr>
      <w:rPr>
        <w:rFonts w:hint="default"/>
      </w:rPr>
    </w:lvl>
    <w:lvl w:ilvl="3">
      <w:start w:val="0"/>
      <w:numFmt w:val="bullet"/>
      <w:lvlText w:val="•"/>
      <w:lvlJc w:val="left"/>
      <w:pPr>
        <w:ind w:left="7350" w:hanging="284"/>
      </w:pPr>
      <w:rPr>
        <w:rFonts w:hint="default"/>
      </w:rPr>
    </w:lvl>
    <w:lvl w:ilvl="4">
      <w:start w:val="0"/>
      <w:numFmt w:val="bullet"/>
      <w:lvlText w:val="•"/>
      <w:lvlJc w:val="left"/>
      <w:pPr>
        <w:ind w:left="7880" w:hanging="284"/>
      </w:pPr>
      <w:rPr>
        <w:rFonts w:hint="default"/>
      </w:rPr>
    </w:lvl>
    <w:lvl w:ilvl="5">
      <w:start w:val="0"/>
      <w:numFmt w:val="bullet"/>
      <w:lvlText w:val="•"/>
      <w:lvlJc w:val="left"/>
      <w:pPr>
        <w:ind w:left="8410" w:hanging="284"/>
      </w:pPr>
      <w:rPr>
        <w:rFonts w:hint="default"/>
      </w:rPr>
    </w:lvl>
    <w:lvl w:ilvl="6">
      <w:start w:val="0"/>
      <w:numFmt w:val="bullet"/>
      <w:lvlText w:val="•"/>
      <w:lvlJc w:val="left"/>
      <w:pPr>
        <w:ind w:left="8940" w:hanging="284"/>
      </w:pPr>
      <w:rPr>
        <w:rFonts w:hint="default"/>
      </w:rPr>
    </w:lvl>
    <w:lvl w:ilvl="7">
      <w:start w:val="0"/>
      <w:numFmt w:val="bullet"/>
      <w:lvlText w:val="•"/>
      <w:lvlJc w:val="left"/>
      <w:pPr>
        <w:ind w:left="9470" w:hanging="284"/>
      </w:pPr>
      <w:rPr>
        <w:rFonts w:hint="default"/>
      </w:rPr>
    </w:lvl>
    <w:lvl w:ilvl="8">
      <w:start w:val="0"/>
      <w:numFmt w:val="bullet"/>
      <w:lvlText w:val="•"/>
      <w:lvlJc w:val="left"/>
      <w:pPr>
        <w:ind w:left="10000" w:hanging="284"/>
      </w:pPr>
      <w:rPr>
        <w:rFonts w:hint="default"/>
      </w:rPr>
    </w:lvl>
  </w:abstractNum>
  <w:abstractNum w:abstractNumId="3">
    <w:multiLevelType w:val="hybridMultilevel"/>
    <w:lvl w:ilvl="0">
      <w:start w:val="5"/>
      <w:numFmt w:val="decimal"/>
      <w:lvlText w:val="%1"/>
      <w:lvlJc w:val="left"/>
      <w:pPr>
        <w:ind w:left="1373" w:hanging="820"/>
        <w:jc w:val="left"/>
      </w:pPr>
      <w:rPr>
        <w:rFonts w:hint="default"/>
      </w:rPr>
    </w:lvl>
    <w:lvl w:ilvl="1">
      <w:start w:val="3"/>
      <w:numFmt w:val="decimal"/>
      <w:lvlText w:val="%1.%2"/>
      <w:lvlJc w:val="left"/>
      <w:pPr>
        <w:ind w:left="1373" w:hanging="820"/>
        <w:jc w:val="left"/>
      </w:pPr>
      <w:rPr>
        <w:rFonts w:hint="default" w:ascii="Times New Roman" w:hAnsi="Times New Roman" w:eastAsia="Times New Roman" w:cs="Times New Roman"/>
        <w:b/>
        <w:bCs/>
        <w:spacing w:val="-1"/>
        <w:w w:val="100"/>
        <w:sz w:val="20"/>
        <w:szCs w:val="20"/>
      </w:rPr>
    </w:lvl>
    <w:lvl w:ilvl="2">
      <w:start w:val="1"/>
      <w:numFmt w:val="decimal"/>
      <w:lvlText w:val="%1.%2.%3"/>
      <w:lvlJc w:val="left"/>
      <w:pPr>
        <w:ind w:left="1373" w:hanging="820"/>
        <w:jc w:val="right"/>
      </w:pPr>
      <w:rPr>
        <w:rFonts w:hint="default" w:ascii="Times New Roman" w:hAnsi="Times New Roman" w:eastAsia="Times New Roman" w:cs="Times New Roman"/>
        <w:b/>
        <w:bCs/>
        <w:i/>
        <w:spacing w:val="-1"/>
        <w:w w:val="100"/>
        <w:sz w:val="20"/>
        <w:szCs w:val="20"/>
      </w:rPr>
    </w:lvl>
    <w:lvl w:ilvl="3">
      <w:start w:val="1"/>
      <w:numFmt w:val="decimal"/>
      <w:lvlText w:val="%1.%2.%3.%4"/>
      <w:lvlJc w:val="left"/>
      <w:pPr>
        <w:ind w:left="1373" w:hanging="820"/>
        <w:jc w:val="right"/>
      </w:pPr>
      <w:rPr>
        <w:rFonts w:hint="default" w:ascii="Times New Roman" w:hAnsi="Times New Roman" w:eastAsia="Times New Roman" w:cs="Times New Roman"/>
        <w:i/>
        <w:w w:val="97"/>
        <w:sz w:val="20"/>
        <w:szCs w:val="20"/>
      </w:rPr>
    </w:lvl>
    <w:lvl w:ilvl="4">
      <w:start w:val="0"/>
      <w:numFmt w:val="bullet"/>
      <w:lvlText w:val="•"/>
      <w:lvlJc w:val="left"/>
      <w:pPr>
        <w:ind w:left="2666" w:hanging="820"/>
      </w:pPr>
      <w:rPr>
        <w:rFonts w:hint="default"/>
      </w:rPr>
    </w:lvl>
    <w:lvl w:ilvl="5">
      <w:start w:val="0"/>
      <w:numFmt w:val="bullet"/>
      <w:lvlText w:val="•"/>
      <w:lvlJc w:val="left"/>
      <w:pPr>
        <w:ind w:left="3095" w:hanging="820"/>
      </w:pPr>
      <w:rPr>
        <w:rFonts w:hint="default"/>
      </w:rPr>
    </w:lvl>
    <w:lvl w:ilvl="6">
      <w:start w:val="0"/>
      <w:numFmt w:val="bullet"/>
      <w:lvlText w:val="•"/>
      <w:lvlJc w:val="left"/>
      <w:pPr>
        <w:ind w:left="3524" w:hanging="820"/>
      </w:pPr>
      <w:rPr>
        <w:rFonts w:hint="default"/>
      </w:rPr>
    </w:lvl>
    <w:lvl w:ilvl="7">
      <w:start w:val="0"/>
      <w:numFmt w:val="bullet"/>
      <w:lvlText w:val="•"/>
      <w:lvlJc w:val="left"/>
      <w:pPr>
        <w:ind w:left="3953" w:hanging="820"/>
      </w:pPr>
      <w:rPr>
        <w:rFonts w:hint="default"/>
      </w:rPr>
    </w:lvl>
    <w:lvl w:ilvl="8">
      <w:start w:val="0"/>
      <w:numFmt w:val="bullet"/>
      <w:lvlText w:val="•"/>
      <w:lvlJc w:val="left"/>
      <w:pPr>
        <w:ind w:left="4382" w:hanging="820"/>
      </w:pPr>
      <w:rPr>
        <w:rFonts w:hint="default"/>
      </w:rPr>
    </w:lvl>
  </w:abstractNum>
  <w:abstractNum w:abstractNumId="2">
    <w:multiLevelType w:val="hybridMultilevel"/>
    <w:lvl w:ilvl="0">
      <w:start w:val="0"/>
      <w:numFmt w:val="bullet"/>
      <w:lvlText w:val=""/>
      <w:lvlJc w:val="left"/>
      <w:pPr>
        <w:ind w:left="525" w:hanging="284"/>
      </w:pPr>
      <w:rPr>
        <w:rFonts w:hint="default" w:ascii="Symbol" w:hAnsi="Symbol" w:eastAsia="Symbol" w:cs="Symbol"/>
        <w:w w:val="100"/>
        <w:sz w:val="20"/>
        <w:szCs w:val="20"/>
      </w:rPr>
    </w:lvl>
    <w:lvl w:ilvl="1">
      <w:start w:val="0"/>
      <w:numFmt w:val="bullet"/>
      <w:lvlText w:val=""/>
      <w:lvlJc w:val="left"/>
      <w:pPr>
        <w:ind w:left="837" w:hanging="284"/>
      </w:pPr>
      <w:rPr>
        <w:rFonts w:hint="default" w:ascii="Symbol" w:hAnsi="Symbol" w:eastAsia="Symbol" w:cs="Symbol"/>
        <w:w w:val="100"/>
        <w:sz w:val="20"/>
        <w:szCs w:val="20"/>
      </w:rPr>
    </w:lvl>
    <w:lvl w:ilvl="2">
      <w:start w:val="0"/>
      <w:numFmt w:val="bullet"/>
      <w:lvlText w:val="•"/>
      <w:lvlJc w:val="left"/>
      <w:pPr>
        <w:ind w:left="742" w:hanging="284"/>
      </w:pPr>
      <w:rPr>
        <w:rFonts w:hint="default"/>
      </w:rPr>
    </w:lvl>
    <w:lvl w:ilvl="3">
      <w:start w:val="0"/>
      <w:numFmt w:val="bullet"/>
      <w:lvlText w:val="•"/>
      <w:lvlJc w:val="left"/>
      <w:pPr>
        <w:ind w:left="644" w:hanging="284"/>
      </w:pPr>
      <w:rPr>
        <w:rFonts w:hint="default"/>
      </w:rPr>
    </w:lvl>
    <w:lvl w:ilvl="4">
      <w:start w:val="0"/>
      <w:numFmt w:val="bullet"/>
      <w:lvlText w:val="•"/>
      <w:lvlJc w:val="left"/>
      <w:pPr>
        <w:ind w:left="546" w:hanging="284"/>
      </w:pPr>
      <w:rPr>
        <w:rFonts w:hint="default"/>
      </w:rPr>
    </w:lvl>
    <w:lvl w:ilvl="5">
      <w:start w:val="0"/>
      <w:numFmt w:val="bullet"/>
      <w:lvlText w:val="•"/>
      <w:lvlJc w:val="left"/>
      <w:pPr>
        <w:ind w:left="448" w:hanging="284"/>
      </w:pPr>
      <w:rPr>
        <w:rFonts w:hint="default"/>
      </w:rPr>
    </w:lvl>
    <w:lvl w:ilvl="6">
      <w:start w:val="0"/>
      <w:numFmt w:val="bullet"/>
      <w:lvlText w:val="•"/>
      <w:lvlJc w:val="left"/>
      <w:pPr>
        <w:ind w:left="350" w:hanging="284"/>
      </w:pPr>
      <w:rPr>
        <w:rFonts w:hint="default"/>
      </w:rPr>
    </w:lvl>
    <w:lvl w:ilvl="7">
      <w:start w:val="0"/>
      <w:numFmt w:val="bullet"/>
      <w:lvlText w:val="•"/>
      <w:lvlJc w:val="left"/>
      <w:pPr>
        <w:ind w:left="252" w:hanging="284"/>
      </w:pPr>
      <w:rPr>
        <w:rFonts w:hint="default"/>
      </w:rPr>
    </w:lvl>
    <w:lvl w:ilvl="8">
      <w:start w:val="0"/>
      <w:numFmt w:val="bullet"/>
      <w:lvlText w:val="•"/>
      <w:lvlJc w:val="left"/>
      <w:pPr>
        <w:ind w:left="154" w:hanging="284"/>
      </w:pPr>
      <w:rPr>
        <w:rFonts w:hint="default"/>
      </w:rPr>
    </w:lvl>
  </w:abstractNum>
  <w:abstractNum w:abstractNumId="1">
    <w:multiLevelType w:val="hybridMultilevel"/>
    <w:lvl w:ilvl="0">
      <w:start w:val="0"/>
      <w:numFmt w:val="bullet"/>
      <w:lvlText w:val=""/>
      <w:lvlJc w:val="left"/>
      <w:pPr>
        <w:ind w:left="440" w:hanging="284"/>
      </w:pPr>
      <w:rPr>
        <w:rFonts w:hint="default" w:ascii="Symbol" w:hAnsi="Symbol" w:eastAsia="Symbol" w:cs="Symbol"/>
        <w:w w:val="100"/>
        <w:sz w:val="20"/>
        <w:szCs w:val="20"/>
      </w:rPr>
    </w:lvl>
    <w:lvl w:ilvl="1">
      <w:start w:val="0"/>
      <w:numFmt w:val="bullet"/>
      <w:lvlText w:val=""/>
      <w:lvlJc w:val="left"/>
      <w:pPr>
        <w:ind w:left="837" w:hanging="284"/>
      </w:pPr>
      <w:rPr>
        <w:rFonts w:hint="default" w:ascii="Symbol" w:hAnsi="Symbol" w:eastAsia="Symbol" w:cs="Symbol"/>
        <w:w w:val="100"/>
        <w:sz w:val="20"/>
        <w:szCs w:val="20"/>
      </w:rPr>
    </w:lvl>
    <w:lvl w:ilvl="2">
      <w:start w:val="0"/>
      <w:numFmt w:val="bullet"/>
      <w:lvlText w:val="•"/>
      <w:lvlJc w:val="left"/>
      <w:pPr>
        <w:ind w:left="776" w:hanging="284"/>
      </w:pPr>
      <w:rPr>
        <w:rFonts w:hint="default"/>
      </w:rPr>
    </w:lvl>
    <w:lvl w:ilvl="3">
      <w:start w:val="0"/>
      <w:numFmt w:val="bullet"/>
      <w:lvlText w:val="•"/>
      <w:lvlJc w:val="left"/>
      <w:pPr>
        <w:ind w:left="713" w:hanging="284"/>
      </w:pPr>
      <w:rPr>
        <w:rFonts w:hint="default"/>
      </w:rPr>
    </w:lvl>
    <w:lvl w:ilvl="4">
      <w:start w:val="0"/>
      <w:numFmt w:val="bullet"/>
      <w:lvlText w:val="•"/>
      <w:lvlJc w:val="left"/>
      <w:pPr>
        <w:ind w:left="649" w:hanging="284"/>
      </w:pPr>
      <w:rPr>
        <w:rFonts w:hint="default"/>
      </w:rPr>
    </w:lvl>
    <w:lvl w:ilvl="5">
      <w:start w:val="0"/>
      <w:numFmt w:val="bullet"/>
      <w:lvlText w:val="•"/>
      <w:lvlJc w:val="left"/>
      <w:pPr>
        <w:ind w:left="586" w:hanging="284"/>
      </w:pPr>
      <w:rPr>
        <w:rFonts w:hint="default"/>
      </w:rPr>
    </w:lvl>
    <w:lvl w:ilvl="6">
      <w:start w:val="0"/>
      <w:numFmt w:val="bullet"/>
      <w:lvlText w:val="•"/>
      <w:lvlJc w:val="left"/>
      <w:pPr>
        <w:ind w:left="523" w:hanging="284"/>
      </w:pPr>
      <w:rPr>
        <w:rFonts w:hint="default"/>
      </w:rPr>
    </w:lvl>
    <w:lvl w:ilvl="7">
      <w:start w:val="0"/>
      <w:numFmt w:val="bullet"/>
      <w:lvlText w:val="•"/>
      <w:lvlJc w:val="left"/>
      <w:pPr>
        <w:ind w:left="459" w:hanging="284"/>
      </w:pPr>
      <w:rPr>
        <w:rFonts w:hint="default"/>
      </w:rPr>
    </w:lvl>
    <w:lvl w:ilvl="8">
      <w:start w:val="0"/>
      <w:numFmt w:val="bullet"/>
      <w:lvlText w:val="•"/>
      <w:lvlJc w:val="left"/>
      <w:pPr>
        <w:ind w:left="396" w:hanging="284"/>
      </w:pPr>
      <w:rPr>
        <w:rFonts w:hint="default"/>
      </w:rPr>
    </w:lvl>
  </w:abstractNum>
  <w:abstractNum w:abstractNumId="0">
    <w:multiLevelType w:val="hybridMultilevel"/>
    <w:lvl w:ilvl="0">
      <w:start w:val="5"/>
      <w:numFmt w:val="decimal"/>
      <w:lvlText w:val="%1"/>
      <w:lvlJc w:val="left"/>
      <w:pPr>
        <w:ind w:left="1262" w:hanging="709"/>
        <w:jc w:val="left"/>
      </w:pPr>
      <w:rPr>
        <w:rFonts w:hint="default"/>
      </w:rPr>
    </w:lvl>
    <w:lvl w:ilvl="1">
      <w:start w:val="1"/>
      <w:numFmt w:val="decimal"/>
      <w:lvlText w:val="%1.%2"/>
      <w:lvlJc w:val="left"/>
      <w:pPr>
        <w:ind w:left="1262" w:hanging="709"/>
        <w:jc w:val="left"/>
      </w:pPr>
      <w:rPr>
        <w:rFonts w:hint="default" w:ascii="Times New Roman" w:hAnsi="Times New Roman" w:eastAsia="Times New Roman" w:cs="Times New Roman"/>
        <w:b/>
        <w:bCs/>
        <w:spacing w:val="-4"/>
        <w:w w:val="100"/>
        <w:sz w:val="20"/>
        <w:szCs w:val="20"/>
      </w:rPr>
    </w:lvl>
    <w:lvl w:ilvl="2">
      <w:start w:val="1"/>
      <w:numFmt w:val="decimal"/>
      <w:lvlText w:val="%1.%2.%3"/>
      <w:lvlJc w:val="left"/>
      <w:pPr>
        <w:ind w:left="1373" w:hanging="820"/>
        <w:jc w:val="right"/>
      </w:pPr>
      <w:rPr>
        <w:rFonts w:hint="default" w:ascii="Times New Roman" w:hAnsi="Times New Roman" w:eastAsia="Times New Roman" w:cs="Times New Roman"/>
        <w:b/>
        <w:bCs/>
        <w:i/>
        <w:spacing w:val="-1"/>
        <w:w w:val="100"/>
        <w:sz w:val="20"/>
        <w:szCs w:val="20"/>
      </w:rPr>
    </w:lvl>
    <w:lvl w:ilvl="3">
      <w:start w:val="1"/>
      <w:numFmt w:val="decimal"/>
      <w:lvlText w:val="%1.%2.%3.%4"/>
      <w:lvlJc w:val="left"/>
      <w:pPr>
        <w:ind w:left="157" w:hanging="820"/>
        <w:jc w:val="left"/>
      </w:pPr>
      <w:rPr>
        <w:rFonts w:hint="default" w:ascii="Times New Roman" w:hAnsi="Times New Roman" w:eastAsia="Times New Roman" w:cs="Times New Roman"/>
        <w:i/>
        <w:spacing w:val="-27"/>
        <w:w w:val="97"/>
        <w:sz w:val="20"/>
        <w:szCs w:val="20"/>
      </w:rPr>
    </w:lvl>
    <w:lvl w:ilvl="4">
      <w:start w:val="0"/>
      <w:numFmt w:val="bullet"/>
      <w:lvlText w:val="•"/>
      <w:lvlJc w:val="left"/>
      <w:pPr>
        <w:ind w:left="1380" w:hanging="820"/>
      </w:pPr>
      <w:rPr>
        <w:rFonts w:hint="default"/>
      </w:rPr>
    </w:lvl>
    <w:lvl w:ilvl="5">
      <w:start w:val="0"/>
      <w:numFmt w:val="bullet"/>
      <w:lvlText w:val="•"/>
      <w:lvlJc w:val="left"/>
      <w:pPr>
        <w:ind w:left="5640" w:hanging="820"/>
      </w:pPr>
      <w:rPr>
        <w:rFonts w:hint="default"/>
      </w:rPr>
    </w:lvl>
    <w:lvl w:ilvl="6">
      <w:start w:val="0"/>
      <w:numFmt w:val="bullet"/>
      <w:lvlText w:val="•"/>
      <w:lvlJc w:val="left"/>
      <w:pPr>
        <w:ind w:left="3642" w:hanging="820"/>
      </w:pPr>
      <w:rPr>
        <w:rFonts w:hint="default"/>
      </w:rPr>
    </w:lvl>
    <w:lvl w:ilvl="7">
      <w:start w:val="0"/>
      <w:numFmt w:val="bullet"/>
      <w:lvlText w:val="•"/>
      <w:lvlJc w:val="left"/>
      <w:pPr>
        <w:ind w:left="1644" w:hanging="820"/>
      </w:pPr>
      <w:rPr>
        <w:rFonts w:hint="default"/>
      </w:rPr>
    </w:lvl>
    <w:lvl w:ilvl="8">
      <w:start w:val="0"/>
      <w:numFmt w:val="bullet"/>
      <w:lvlText w:val="•"/>
      <w:lvlJc w:val="left"/>
      <w:pPr>
        <w:ind w:left="-354" w:hanging="820"/>
      </w:pPr>
      <w:rPr>
        <w:rFonts w:hint="default"/>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1262"/>
      <w:outlineLvl w:val="1"/>
    </w:pPr>
    <w:rPr>
      <w:rFonts w:ascii="Times New Roman" w:hAnsi="Times New Roman" w:eastAsia="Times New Roman" w:cs="Times New Roman"/>
      <w:b/>
      <w:bCs/>
      <w:sz w:val="20"/>
      <w:szCs w:val="20"/>
    </w:rPr>
  </w:style>
  <w:style w:styleId="Heading2" w:type="paragraph">
    <w:name w:val="Heading 2"/>
    <w:basedOn w:val="Normal"/>
    <w:uiPriority w:val="1"/>
    <w:qFormat/>
    <w:pPr>
      <w:ind w:left="977" w:hanging="821"/>
      <w:outlineLvl w:val="2"/>
    </w:pPr>
    <w:rPr>
      <w:rFonts w:ascii="Times New Roman" w:hAnsi="Times New Roman" w:eastAsia="Times New Roman" w:cs="Times New Roman"/>
      <w:b/>
      <w:bCs/>
      <w:i/>
      <w:sz w:val="20"/>
      <w:szCs w:val="20"/>
    </w:rPr>
  </w:style>
  <w:style w:styleId="ListParagraph" w:type="paragraph">
    <w:name w:val="List Paragraph"/>
    <w:basedOn w:val="Normal"/>
    <w:uiPriority w:val="1"/>
    <w:qFormat/>
    <w:pPr>
      <w:ind w:left="440" w:hanging="284"/>
    </w:pPr>
    <w:rPr>
      <w:rFonts w:ascii="Times New Roman" w:hAnsi="Times New Roman" w:eastAsia="Times New Roman" w:cs="Times New Roman"/>
    </w:rPr>
  </w:style>
  <w:style w:styleId="TableParagraph" w:type="paragraph">
    <w:name w:val="Table Paragraph"/>
    <w:basedOn w:val="Normal"/>
    <w:uiPriority w:val="1"/>
    <w:qFormat/>
    <w:pPr>
      <w:spacing w:before="49"/>
      <w:ind w:left="26"/>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jpeg"/><Relationship Id="rId102" Type="http://schemas.openxmlformats.org/officeDocument/2006/relationships/image" Target="media/image96.jpeg"/><Relationship Id="rId103" Type="http://schemas.openxmlformats.org/officeDocument/2006/relationships/image" Target="media/image97.jpe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jpe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jpe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jpeg"/><Relationship Id="rId229" Type="http://schemas.openxmlformats.org/officeDocument/2006/relationships/image" Target="media/image223.jpe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jpe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jpeg"/><Relationship Id="rId260" Type="http://schemas.openxmlformats.org/officeDocument/2006/relationships/hyperlink" Target="http://perso.wanadoo.fr/mhalb/nyos/" TargetMode="External"/><Relationship Id="rId261" Type="http://schemas.openxmlformats.org/officeDocument/2006/relationships/hyperlink" Target="http://eub.gov.ab.ca/bbs/products/" TargetMode="External"/><Relationship Id="rId262" Type="http://schemas.openxmlformats.org/officeDocument/2006/relationships/hyperlink" Target="http://www/" TargetMode="External"/><Relationship Id="rId263" Type="http://schemas.openxmlformats.org/officeDocument/2006/relationships/hyperlink" Target="http://pubs.usgs.gov/of/2003/of03-452/" TargetMode="External"/><Relationship Id="rId264" Type="http://schemas.openxmlformats.org/officeDocument/2006/relationships/hyperlink" Target="http://www.awma.org/journal/past-issue.asp?month=10&amp;year=2003" TargetMode="External"/><Relationship Id="rId265" Type="http://schemas.openxmlformats.org/officeDocument/2006/relationships/hyperlink" Target="http://www.CO2-reductie.nl/" TargetMode="External"/><Relationship Id="rId266" Type="http://schemas.openxmlformats.org/officeDocument/2006/relationships/hyperlink" Target="http://aei.pitt.edu/archive/00001197/01/environment_" TargetMode="External"/><Relationship Id="rId267" Type="http://schemas.openxmlformats.org/officeDocument/2006/relationships/hyperlink" Target="http://www.osti.gov/" TargetMode="External"/><Relationship Id="rId268" Type="http://schemas.openxmlformats.org/officeDocument/2006/relationships/hyperlink" Target="http://www.fe.doe/" TargetMode="External"/><Relationship Id="rId269" Type="http://schemas.openxmlformats.org/officeDocument/2006/relationships/hyperlink" Target="http://greenwood/" TargetMode="External"/><Relationship Id="rId270" Type="http://schemas.openxmlformats.org/officeDocument/2006/relationships/hyperlink" Target="http://wrgis.wr.usgs/" TargetMode="External"/><Relationship Id="rId2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2020-03-02T15:51:35Z</dcterms:created>
  <dcterms:modified xsi:type="dcterms:W3CDTF">2020-03-02T15:51:35Z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2006-01-09T00:00:00Z</vt:filetime>
  </property>
  <property fmtid="{D5CDD505-2E9C-101B-9397-08002B2CF9AE}" pid="3" name="Creator">
    <vt:lpwstr>Adobe InDesign CS2 (4.0)</vt:lpwstr>
  </property>
  <property fmtid="{D5CDD505-2E9C-101B-9397-08002B2CF9AE}" pid="4" name="LastSaved">
    <vt:filetime>2020-03-02T00:00:00Z</vt:filetime>
  </property>
</Properties>
</file>