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B3CEB" w14:textId="77777777" w:rsidR="00943473" w:rsidRPr="009F03EA" w:rsidRDefault="00943473" w:rsidP="00943473">
      <w:pPr>
        <w:spacing w:after="120"/>
        <w:rPr>
          <w:rFonts w:ascii="Segoe UI" w:hAnsi="Segoe UI" w:cs="Segoe UI"/>
          <w:b/>
          <w:bCs/>
          <w:sz w:val="36"/>
          <w:szCs w:val="36"/>
        </w:rPr>
      </w:pPr>
      <w:r w:rsidRPr="009F03EA">
        <w:rPr>
          <w:rFonts w:ascii="Segoe UI" w:hAnsi="Segoe UI" w:cs="Segoe UI"/>
          <w:b/>
          <w:bCs/>
          <w:sz w:val="36"/>
          <w:szCs w:val="36"/>
        </w:rPr>
        <w:t>POLI.2310 INTRODUCTION TO POLITICAL THOUGHT</w:t>
      </w:r>
    </w:p>
    <w:p w14:paraId="4E1D012D" w14:textId="77777777" w:rsidR="00943473" w:rsidRDefault="00943473" w:rsidP="00943473">
      <w:pPr>
        <w:spacing w:after="120"/>
        <w:rPr>
          <w:rFonts w:ascii="Segoe UI" w:hAnsi="Segoe UI" w:cs="Segoe UI"/>
          <w:sz w:val="24"/>
          <w:szCs w:val="24"/>
        </w:rPr>
      </w:pPr>
      <w:r w:rsidRPr="00EB2E39">
        <w:rPr>
          <w:rFonts w:ascii="Segoe UI" w:hAnsi="Segoe UI" w:cs="Segoe UI"/>
          <w:sz w:val="24"/>
          <w:szCs w:val="24"/>
        </w:rPr>
        <w:t>Susan E. Gallagher, Associate Professor, Political Science Department, UMass Lowell</w:t>
      </w:r>
    </w:p>
    <w:p w14:paraId="49F253E8" w14:textId="77777777" w:rsidR="00943473" w:rsidRDefault="00943473" w:rsidP="00455536">
      <w:pPr>
        <w:rPr>
          <w:rFonts w:ascii="Segoe UI" w:hAnsi="Segoe UI" w:cs="Segoe UI"/>
          <w:b/>
          <w:bCs/>
        </w:rPr>
      </w:pPr>
    </w:p>
    <w:p w14:paraId="0104F296" w14:textId="01B2F875" w:rsidR="00455536" w:rsidRDefault="00455536" w:rsidP="00455536">
      <w:pPr>
        <w:rPr>
          <w:rFonts w:ascii="Segoe UI" w:hAnsi="Segoe UI" w:cs="Segoe UI"/>
          <w:b/>
          <w:bCs/>
        </w:rPr>
      </w:pPr>
      <w:r w:rsidRPr="00455536">
        <w:rPr>
          <w:rFonts w:ascii="Segoe UI" w:hAnsi="Segoe UI" w:cs="Segoe UI"/>
          <w:b/>
          <w:bCs/>
        </w:rPr>
        <w:t>Assignment 5. The Politics of Inequality in the 20th Century</w:t>
      </w:r>
    </w:p>
    <w:p w14:paraId="22E669A0" w14:textId="7C6EEEB2" w:rsidR="00943473" w:rsidRDefault="00943473" w:rsidP="00455536">
      <w:pPr>
        <w:rPr>
          <w:rFonts w:ascii="Segoe UI" w:hAnsi="Segoe UI" w:cs="Segoe UI"/>
        </w:rPr>
      </w:pPr>
    </w:p>
    <w:p w14:paraId="39466985" w14:textId="572285A9" w:rsidR="00455536" w:rsidRPr="00455536" w:rsidRDefault="00943473" w:rsidP="00455536">
      <w:pPr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455536" w:rsidRPr="00455536">
        <w:rPr>
          <w:rFonts w:ascii="Segoe UI" w:hAnsi="Segoe UI" w:cs="Segoe UI"/>
        </w:rPr>
        <w:t>fter you fill in answers</w:t>
      </w:r>
      <w:r>
        <w:rPr>
          <w:rFonts w:ascii="Segoe UI" w:hAnsi="Segoe UI" w:cs="Segoe UI"/>
        </w:rPr>
        <w:t xml:space="preserve">, </w:t>
      </w:r>
      <w:r w:rsidR="00455536" w:rsidRPr="00455536">
        <w:rPr>
          <w:rFonts w:ascii="Segoe UI" w:hAnsi="Segoe UI" w:cs="Segoe UI"/>
        </w:rPr>
        <w:t>copy the questions below</w:t>
      </w:r>
      <w:r>
        <w:rPr>
          <w:rFonts w:ascii="Segoe UI" w:hAnsi="Segoe UI" w:cs="Segoe UI"/>
        </w:rPr>
        <w:t xml:space="preserve">, </w:t>
      </w:r>
      <w:r w:rsidR="00455536" w:rsidRPr="00455536">
        <w:rPr>
          <w:rFonts w:ascii="Segoe UI" w:hAnsi="Segoe UI" w:cs="Segoe UI"/>
        </w:rPr>
        <w:t xml:space="preserve">paste them into the body of an email, </w:t>
      </w:r>
      <w:bookmarkStart w:id="0" w:name="_GoBack"/>
      <w:bookmarkEnd w:id="0"/>
      <w:r w:rsidR="00455536" w:rsidRPr="00455536">
        <w:rPr>
          <w:rFonts w:ascii="Segoe UI" w:hAnsi="Segoe UI" w:cs="Segoe UI"/>
        </w:rPr>
        <w:t>and send it without attachments</w:t>
      </w:r>
      <w:r>
        <w:rPr>
          <w:rFonts w:ascii="Segoe UI" w:hAnsi="Segoe UI" w:cs="Segoe UI"/>
        </w:rPr>
        <w:t>.</w:t>
      </w:r>
      <w:r w:rsidR="00455536" w:rsidRPr="00455536">
        <w:rPr>
          <w:rFonts w:ascii="Segoe UI" w:hAnsi="Segoe UI" w:cs="Segoe UI"/>
        </w:rPr>
        <w:t xml:space="preserve"> </w:t>
      </w:r>
    </w:p>
    <w:p w14:paraId="6E1E1BF7" w14:textId="77777777" w:rsidR="00943473" w:rsidRDefault="00943473" w:rsidP="00455536">
      <w:pPr>
        <w:rPr>
          <w:rFonts w:ascii="Segoe UI" w:hAnsi="Segoe UI" w:cs="Segoe UI"/>
        </w:rPr>
      </w:pPr>
    </w:p>
    <w:p w14:paraId="5D4AF7B8" w14:textId="223E072B" w:rsidR="00455536" w:rsidRPr="00455536" w:rsidRDefault="00455536" w:rsidP="00455536">
      <w:pPr>
        <w:rPr>
          <w:rFonts w:ascii="Segoe UI" w:hAnsi="Segoe UI" w:cs="Segoe UI"/>
        </w:rPr>
      </w:pPr>
      <w:r w:rsidRPr="00455536">
        <w:rPr>
          <w:rFonts w:ascii="Segoe UI" w:hAnsi="Segoe UI" w:cs="Segoe UI"/>
        </w:rPr>
        <w:t>From</w:t>
      </w:r>
      <w:r w:rsidR="00943473">
        <w:rPr>
          <w:rFonts w:ascii="Segoe UI" w:hAnsi="Segoe UI" w:cs="Segoe UI"/>
        </w:rPr>
        <w:t xml:space="preserve"> W.E.B. Du </w:t>
      </w:r>
      <w:proofErr w:type="spellStart"/>
      <w:r w:rsidR="00943473">
        <w:rPr>
          <w:rFonts w:ascii="Segoe UI" w:hAnsi="Segoe UI" w:cs="Segoe UI"/>
        </w:rPr>
        <w:t>Bois</w:t>
      </w:r>
      <w:proofErr w:type="spellEnd"/>
      <w:r w:rsidR="00943473">
        <w:rPr>
          <w:rFonts w:ascii="Segoe UI" w:hAnsi="Segoe UI" w:cs="Segoe UI"/>
        </w:rPr>
        <w:t>,</w:t>
      </w:r>
      <w:r w:rsidRPr="00455536">
        <w:rPr>
          <w:rFonts w:ascii="Segoe UI" w:hAnsi="Segoe UI" w:cs="Segoe UI"/>
        </w:rPr>
        <w:t xml:space="preserve"> </w:t>
      </w:r>
      <w:hyperlink r:id="rId5" w:history="1">
        <w:r w:rsidRPr="00455536">
          <w:rPr>
            <w:rStyle w:val="Hyperlink"/>
            <w:rFonts w:ascii="Segoe UI" w:hAnsi="Segoe UI" w:cs="Segoe UI"/>
            <w:i/>
            <w:iCs/>
          </w:rPr>
          <w:t>The Souls of Black Folk:</w:t>
        </w:r>
      </w:hyperlink>
    </w:p>
    <w:p w14:paraId="200E36F8" w14:textId="77777777" w:rsidR="00455536" w:rsidRPr="00455536" w:rsidRDefault="00455536" w:rsidP="00455536">
      <w:pPr>
        <w:rPr>
          <w:rFonts w:ascii="Segoe UI" w:hAnsi="Segoe UI" w:cs="Segoe UI"/>
        </w:rPr>
      </w:pPr>
    </w:p>
    <w:p w14:paraId="5C5F9BDD" w14:textId="77777777" w:rsidR="00455536" w:rsidRPr="00455536" w:rsidRDefault="00455536" w:rsidP="0045553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455536">
        <w:rPr>
          <w:rFonts w:ascii="Segoe UI" w:hAnsi="Segoe UI" w:cs="Segoe UI"/>
        </w:rPr>
        <w:t>After the Egyptian and Indian, the Greek and Roman, the Teuton and Mongolian, the Negro is a sort of seventh son, born with a veil, and gifted with second-sight in this American world, —a world which yields him no true self-consciousness, but ____________________________________________________. It is a peculiar sensation, _____________________________________________________________________, of measuring one's soul by the tape of a world that looks on in amused contempt and pity. One ever feels his twoness, —an American, a Negro; _______________________________________________________________________, whose dogged strength alone keeps it from being torn asunder.</w:t>
      </w:r>
    </w:p>
    <w:p w14:paraId="5AEB49F8" w14:textId="77777777" w:rsidR="00455536" w:rsidRPr="00455536" w:rsidRDefault="00455536" w:rsidP="00455536">
      <w:pPr>
        <w:rPr>
          <w:rFonts w:ascii="Segoe UI" w:hAnsi="Segoe UI" w:cs="Segoe UI"/>
        </w:rPr>
      </w:pPr>
    </w:p>
    <w:p w14:paraId="0F81A363" w14:textId="77777777" w:rsidR="00455536" w:rsidRPr="00455536" w:rsidRDefault="00455536" w:rsidP="0045553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455536">
        <w:rPr>
          <w:rFonts w:ascii="Segoe UI" w:hAnsi="Segoe UI" w:cs="Segoe UI"/>
        </w:rPr>
        <w:t xml:space="preserve">The first decade was merely a prolongation of the vain search for freedom, the boon that seemed ever barely to elude their grasp, —like a tantalizing </w:t>
      </w:r>
      <w:proofErr w:type="spellStart"/>
      <w:r w:rsidRPr="00455536">
        <w:rPr>
          <w:rFonts w:ascii="Segoe UI" w:hAnsi="Segoe UI" w:cs="Segoe UI"/>
        </w:rPr>
        <w:t>willo</w:t>
      </w:r>
      <w:proofErr w:type="spellEnd"/>
      <w:r w:rsidRPr="00455536">
        <w:rPr>
          <w:rFonts w:ascii="Segoe UI" w:hAnsi="Segoe UI" w:cs="Segoe UI"/>
        </w:rPr>
        <w:t>'-the-wisp, maddening and misleading the headless host. ______________ ______________________________________________________. As the time flew, however, he began to grasp a new idea. The ideal of liberty demanded for its attainment powerful means, and these ______________________ gave him. The ballot, which before he had looked upon as a visible sign of freedom, he now regarded as the __________________________________________________________________. And why not? Had not votes made war and emancipated millions? Had not votes enfranchised the freedmen? Was anything impossible to a power that had done all this? A million black men started with renewed zeal to vote themselves into the kingdom. So the decade flew away________________________________________, and left the half-free serf weary, wondering, but still inspired.</w:t>
      </w:r>
    </w:p>
    <w:p w14:paraId="7B65BCD7" w14:textId="77777777" w:rsidR="00455536" w:rsidRPr="00455536" w:rsidRDefault="00455536" w:rsidP="00455536">
      <w:pPr>
        <w:pStyle w:val="ListParagraph"/>
        <w:rPr>
          <w:rFonts w:ascii="Segoe UI" w:hAnsi="Segoe UI" w:cs="Segoe UI"/>
        </w:rPr>
      </w:pPr>
    </w:p>
    <w:p w14:paraId="090A86EF" w14:textId="77777777" w:rsidR="00455536" w:rsidRPr="00455536" w:rsidRDefault="00455536" w:rsidP="0045553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455536">
        <w:rPr>
          <w:rFonts w:ascii="Segoe UI" w:hAnsi="Segoe UI" w:cs="Segoe UI"/>
        </w:rPr>
        <w:t>Search the Internet to determine what developments in African American history DuBois was referring to when he mentioned the “Revolution of 1876.”</w:t>
      </w:r>
    </w:p>
    <w:p w14:paraId="73E737FE" w14:textId="77777777" w:rsidR="00455536" w:rsidRPr="00455536" w:rsidRDefault="00455536" w:rsidP="00455536">
      <w:pPr>
        <w:pStyle w:val="ListParagraph"/>
        <w:rPr>
          <w:rFonts w:ascii="Segoe UI" w:hAnsi="Segoe UI" w:cs="Segoe UI"/>
        </w:rPr>
      </w:pPr>
    </w:p>
    <w:p w14:paraId="085BFBD2" w14:textId="77777777" w:rsidR="00455536" w:rsidRPr="00455536" w:rsidRDefault="00455536" w:rsidP="00455536">
      <w:pPr>
        <w:ind w:left="360"/>
        <w:rPr>
          <w:rFonts w:ascii="Segoe UI" w:hAnsi="Segoe UI" w:cs="Segoe UI"/>
        </w:rPr>
      </w:pPr>
    </w:p>
    <w:p w14:paraId="41BE1E63" w14:textId="6BFF952A" w:rsidR="00455536" w:rsidRPr="00455536" w:rsidRDefault="00455536" w:rsidP="0045553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455536">
        <w:rPr>
          <w:rFonts w:ascii="Segoe UI" w:hAnsi="Segoe UI" w:cs="Segoe UI"/>
        </w:rPr>
        <w:t xml:space="preserve">From </w:t>
      </w:r>
      <w:r w:rsidR="00943473">
        <w:rPr>
          <w:rFonts w:ascii="Segoe UI" w:hAnsi="Segoe UI" w:cs="Segoe UI"/>
        </w:rPr>
        <w:t xml:space="preserve">Simone de Beauvoir, </w:t>
      </w:r>
      <w:r w:rsidRPr="00455536">
        <w:rPr>
          <w:rFonts w:ascii="Segoe UI" w:hAnsi="Segoe UI" w:cs="Segoe UI"/>
        </w:rPr>
        <w:t>“</w:t>
      </w:r>
      <w:hyperlink r:id="rId6" w:history="1">
        <w:r w:rsidRPr="00455536">
          <w:rPr>
            <w:rStyle w:val="Hyperlink"/>
            <w:rFonts w:ascii="Segoe UI" w:hAnsi="Segoe UI" w:cs="Segoe UI"/>
            <w:i/>
            <w:iCs/>
          </w:rPr>
          <w:t>The Second Sex</w:t>
        </w:r>
      </w:hyperlink>
      <w:r w:rsidRPr="00455536">
        <w:rPr>
          <w:rFonts w:ascii="Segoe UI" w:hAnsi="Segoe UI" w:cs="Segoe UI"/>
          <w:i/>
          <w:iCs/>
        </w:rPr>
        <w:t>”:</w:t>
      </w:r>
    </w:p>
    <w:p w14:paraId="35A08F96" w14:textId="77777777" w:rsidR="00455536" w:rsidRPr="00455536" w:rsidRDefault="00455536" w:rsidP="00455536">
      <w:pPr>
        <w:pStyle w:val="ListParagraph"/>
        <w:rPr>
          <w:rFonts w:ascii="Segoe UI" w:hAnsi="Segoe UI" w:cs="Segoe UI"/>
        </w:rPr>
      </w:pPr>
    </w:p>
    <w:p w14:paraId="0960ECB2" w14:textId="47724910" w:rsidR="00455536" w:rsidRPr="00455536" w:rsidRDefault="00455536" w:rsidP="00943473">
      <w:pPr>
        <w:pStyle w:val="NormalWeb"/>
        <w:spacing w:before="0" w:beforeAutospacing="0" w:afterAutospacing="0" w:line="360" w:lineRule="atLeast"/>
        <w:ind w:left="1066" w:right="1066" w:firstLine="245"/>
        <w:jc w:val="both"/>
        <w:rPr>
          <w:rStyle w:val="apple-converted-space"/>
          <w:rFonts w:ascii="Segoe UI" w:hAnsi="Segoe UI" w:cs="Segoe UI"/>
        </w:rPr>
      </w:pPr>
      <w:r w:rsidRPr="00455536">
        <w:rPr>
          <w:rFonts w:ascii="Segoe UI" w:hAnsi="Segoe UI" w:cs="Segoe UI"/>
          <w:color w:val="000000"/>
          <w:sz w:val="22"/>
          <w:szCs w:val="22"/>
        </w:rPr>
        <w:t xml:space="preserve">If her functioning as a female is not enough to define woman, if we decline also to explain her through ‘the eternal feminine’, and if </w:t>
      </w:r>
      <w:r w:rsidRPr="00455536">
        <w:rPr>
          <w:rFonts w:ascii="Segoe UI" w:hAnsi="Segoe UI" w:cs="Segoe UI"/>
          <w:color w:val="000000"/>
          <w:sz w:val="22"/>
          <w:szCs w:val="22"/>
        </w:rPr>
        <w:lastRenderedPageBreak/>
        <w:t>nevertheless we admit, provisionally, that women do exist, then we must face the question “</w:t>
      </w:r>
      <w:r w:rsidR="00943473">
        <w:rPr>
          <w:rFonts w:ascii="Segoe UI" w:hAnsi="Segoe UI" w:cs="Segoe UI"/>
          <w:color w:val="000000"/>
          <w:sz w:val="22"/>
          <w:szCs w:val="22"/>
        </w:rPr>
        <w:t>__________</w:t>
      </w:r>
      <w:proofErr w:type="gramStart"/>
      <w:r w:rsidRPr="00455536">
        <w:rPr>
          <w:rFonts w:ascii="Segoe UI" w:hAnsi="Segoe UI" w:cs="Segoe UI"/>
          <w:color w:val="000000"/>
          <w:sz w:val="22"/>
          <w:szCs w:val="22"/>
        </w:rPr>
        <w:t>”?</w:t>
      </w:r>
      <w:r w:rsidR="00943473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gramEnd"/>
      <w:r w:rsidR="00943473">
        <w:rPr>
          <w:rFonts w:ascii="Segoe UI" w:hAnsi="Segoe UI" w:cs="Segoe UI"/>
          <w:color w:val="000000"/>
          <w:sz w:val="22"/>
          <w:szCs w:val="22"/>
        </w:rPr>
        <w:t xml:space="preserve">... </w:t>
      </w:r>
      <w:r w:rsidRPr="00455536">
        <w:rPr>
          <w:rFonts w:ascii="Segoe UI" w:hAnsi="Segoe UI" w:cs="Segoe UI"/>
          <w:color w:val="000000"/>
          <w:sz w:val="22"/>
          <w:szCs w:val="22"/>
        </w:rPr>
        <w:t>To state the question is, to me, to suggest, at once, a preliminary answer. The fact that I ask it is in itself significant. A man would never set out to write a book on the ______________________________________. But if I wish to define myself, I must first of all say: ‘I am a woman’; on this truth must be based all further discussion. A man never begins by presenting himself as an individual of a certain sex; it goes without saying that he is a man. The terms</w:t>
      </w:r>
      <w:r w:rsidRPr="00455536">
        <w:rPr>
          <w:rStyle w:val="apple-converted-space"/>
          <w:rFonts w:ascii="Segoe UI" w:hAnsi="Segoe UI" w:cs="Segoe UI"/>
          <w:color w:val="000000"/>
          <w:sz w:val="22"/>
          <w:szCs w:val="22"/>
        </w:rPr>
        <w:t> </w:t>
      </w:r>
      <w:r w:rsidRPr="00455536">
        <w:rPr>
          <w:rStyle w:val="Emphasis"/>
          <w:rFonts w:ascii="Segoe UI" w:hAnsi="Segoe UI" w:cs="Segoe UI"/>
          <w:color w:val="000000"/>
          <w:sz w:val="22"/>
          <w:szCs w:val="22"/>
        </w:rPr>
        <w:t>masculine</w:t>
      </w:r>
      <w:r w:rsidRPr="00455536">
        <w:rPr>
          <w:rStyle w:val="apple-converted-space"/>
          <w:rFonts w:ascii="Segoe UI" w:hAnsi="Segoe UI" w:cs="Segoe UI"/>
          <w:color w:val="000000"/>
          <w:sz w:val="22"/>
          <w:szCs w:val="22"/>
        </w:rPr>
        <w:t> </w:t>
      </w:r>
      <w:r w:rsidRPr="00455536">
        <w:rPr>
          <w:rFonts w:ascii="Segoe UI" w:hAnsi="Segoe UI" w:cs="Segoe UI"/>
          <w:color w:val="000000"/>
          <w:sz w:val="22"/>
          <w:szCs w:val="22"/>
        </w:rPr>
        <w:t>and</w:t>
      </w:r>
      <w:r w:rsidRPr="00455536">
        <w:rPr>
          <w:rStyle w:val="apple-converted-space"/>
          <w:rFonts w:ascii="Segoe UI" w:hAnsi="Segoe UI" w:cs="Segoe UI"/>
          <w:color w:val="000000"/>
          <w:sz w:val="22"/>
          <w:szCs w:val="22"/>
        </w:rPr>
        <w:t> </w:t>
      </w:r>
      <w:r w:rsidRPr="00455536">
        <w:rPr>
          <w:rStyle w:val="Emphasis"/>
          <w:rFonts w:ascii="Segoe UI" w:hAnsi="Segoe UI" w:cs="Segoe UI"/>
          <w:color w:val="000000"/>
          <w:sz w:val="22"/>
          <w:szCs w:val="22"/>
        </w:rPr>
        <w:t>feminine</w:t>
      </w:r>
      <w:r w:rsidRPr="00455536">
        <w:rPr>
          <w:rStyle w:val="apple-converted-space"/>
          <w:rFonts w:ascii="Segoe UI" w:hAnsi="Segoe UI" w:cs="Segoe UI"/>
          <w:color w:val="000000"/>
          <w:sz w:val="22"/>
          <w:szCs w:val="22"/>
        </w:rPr>
        <w:t> </w:t>
      </w:r>
      <w:r w:rsidRPr="00455536">
        <w:rPr>
          <w:rFonts w:ascii="Segoe UI" w:hAnsi="Segoe UI" w:cs="Segoe UI"/>
          <w:color w:val="000000"/>
          <w:sz w:val="22"/>
          <w:szCs w:val="22"/>
        </w:rPr>
        <w:t>are used symmetrically only as a matter of form, as on legal papers. In actuality the relation of the two sexes is not quite like that of two electrical poles, _______________ __________________________, as is indicated by the common use of</w:t>
      </w:r>
      <w:r w:rsidRPr="00455536">
        <w:rPr>
          <w:rStyle w:val="apple-converted-space"/>
          <w:rFonts w:ascii="Segoe UI" w:hAnsi="Segoe UI" w:cs="Segoe UI"/>
          <w:color w:val="000000"/>
          <w:sz w:val="22"/>
          <w:szCs w:val="22"/>
        </w:rPr>
        <w:t> </w:t>
      </w:r>
      <w:r w:rsidRPr="00455536">
        <w:rPr>
          <w:rStyle w:val="Emphasis"/>
          <w:rFonts w:ascii="Segoe UI" w:hAnsi="Segoe UI" w:cs="Segoe UI"/>
          <w:color w:val="000000"/>
          <w:sz w:val="22"/>
          <w:szCs w:val="22"/>
        </w:rPr>
        <w:t>man</w:t>
      </w:r>
      <w:r w:rsidRPr="00455536">
        <w:rPr>
          <w:rStyle w:val="apple-converted-space"/>
          <w:rFonts w:ascii="Segoe UI" w:hAnsi="Segoe UI" w:cs="Segoe UI"/>
          <w:color w:val="000000"/>
          <w:sz w:val="22"/>
          <w:szCs w:val="22"/>
        </w:rPr>
        <w:t> </w:t>
      </w:r>
      <w:r w:rsidRPr="00455536">
        <w:rPr>
          <w:rFonts w:ascii="Segoe UI" w:hAnsi="Segoe UI" w:cs="Segoe UI"/>
          <w:color w:val="000000"/>
          <w:sz w:val="22"/>
          <w:szCs w:val="22"/>
        </w:rPr>
        <w:t xml:space="preserve">to designate human beings in general; whereas woman represents only the negative, defined by limiting criteria, without reciprocity. In the midst of an abstract discussion it is vexing to hear a man say: ‘You think thus and so because you are a woman’; but I know that my only </w:t>
      </w:r>
      <w:proofErr w:type="spellStart"/>
      <w:r w:rsidRPr="00455536">
        <w:rPr>
          <w:rFonts w:ascii="Segoe UI" w:hAnsi="Segoe UI" w:cs="Segoe UI"/>
          <w:color w:val="000000"/>
          <w:sz w:val="22"/>
          <w:szCs w:val="22"/>
        </w:rPr>
        <w:t>defence</w:t>
      </w:r>
      <w:proofErr w:type="spellEnd"/>
      <w:r w:rsidRPr="00455536">
        <w:rPr>
          <w:rFonts w:ascii="Segoe UI" w:hAnsi="Segoe UI" w:cs="Segoe UI"/>
          <w:color w:val="000000"/>
          <w:sz w:val="22"/>
          <w:szCs w:val="22"/>
        </w:rPr>
        <w:t xml:space="preserve"> is to reply: ‘I think thus and so because it is true,’ thereby removing ________________________________. It would be out of the question to reply: ‘And you think the contrary because you are a man’, for it is understood that ___________________________________.</w:t>
      </w:r>
      <w:r w:rsidRPr="00455536">
        <w:rPr>
          <w:rStyle w:val="apple-converted-space"/>
          <w:rFonts w:ascii="Segoe UI" w:hAnsi="Segoe UI" w:cs="Segoe UI"/>
          <w:color w:val="000000"/>
          <w:sz w:val="22"/>
          <w:szCs w:val="22"/>
        </w:rPr>
        <w:t> </w:t>
      </w:r>
    </w:p>
    <w:p w14:paraId="666517F1" w14:textId="77777777" w:rsidR="00455536" w:rsidRPr="00455536" w:rsidRDefault="00455536" w:rsidP="00455536">
      <w:pPr>
        <w:pStyle w:val="NormalWeb"/>
        <w:spacing w:beforeAutospacing="0" w:afterAutospacing="0" w:line="360" w:lineRule="atLeast"/>
        <w:ind w:left="1062" w:right="1062" w:firstLine="240"/>
        <w:jc w:val="both"/>
        <w:rPr>
          <w:rFonts w:ascii="Segoe UI" w:hAnsi="Segoe UI" w:cs="Segoe UI"/>
          <w:sz w:val="27"/>
          <w:szCs w:val="27"/>
        </w:rPr>
      </w:pPr>
    </w:p>
    <w:p w14:paraId="4F5469FE" w14:textId="77777777" w:rsidR="00455536" w:rsidRPr="00455536" w:rsidRDefault="00455536" w:rsidP="00455536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455536">
        <w:rPr>
          <w:rFonts w:ascii="Segoe UI" w:hAnsi="Segoe UI" w:cs="Segoe UI"/>
        </w:rPr>
        <w:t>When did French women win the right to vote?</w:t>
      </w:r>
    </w:p>
    <w:p w14:paraId="74730F42" w14:textId="77777777" w:rsidR="00455536" w:rsidRPr="00455536" w:rsidRDefault="00455536" w:rsidP="00455536">
      <w:pPr>
        <w:rPr>
          <w:rFonts w:ascii="Segoe UI" w:hAnsi="Segoe UI" w:cs="Segoe UI"/>
        </w:rPr>
      </w:pPr>
    </w:p>
    <w:p w14:paraId="7D1D5CF2" w14:textId="77777777" w:rsidR="00455536" w:rsidRDefault="00455536" w:rsidP="00455536"/>
    <w:p w14:paraId="6A83A76C" w14:textId="77777777" w:rsidR="00455536" w:rsidRDefault="00455536" w:rsidP="00455536"/>
    <w:p w14:paraId="57BACFA5" w14:textId="77777777" w:rsidR="00455536" w:rsidRDefault="00455536" w:rsidP="00455536"/>
    <w:p w14:paraId="34BCDEFC" w14:textId="77777777" w:rsidR="00455536" w:rsidRDefault="00455536" w:rsidP="00455536"/>
    <w:p w14:paraId="4CC32E8E" w14:textId="77777777" w:rsidR="00A81400" w:rsidRDefault="00A81400"/>
    <w:sectPr w:rsidR="00A81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55937"/>
    <w:multiLevelType w:val="hybridMultilevel"/>
    <w:tmpl w:val="80C8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36"/>
    <w:rsid w:val="00455536"/>
    <w:rsid w:val="00943473"/>
    <w:rsid w:val="00A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496B"/>
  <w15:chartTrackingRefBased/>
  <w15:docId w15:val="{F1B17775-AF83-49E0-A3E9-6C293DAA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53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53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555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5536"/>
    <w:pPr>
      <w:ind w:left="720"/>
    </w:pPr>
  </w:style>
  <w:style w:type="character" w:customStyle="1" w:styleId="apple-converted-space">
    <w:name w:val="apple-converted-space"/>
    <w:basedOn w:val="DefaultParagraphFont"/>
    <w:rsid w:val="00455536"/>
  </w:style>
  <w:style w:type="character" w:styleId="Emphasis">
    <w:name w:val="Emphasis"/>
    <w:basedOn w:val="DefaultParagraphFont"/>
    <w:uiPriority w:val="20"/>
    <w:qFormat/>
    <w:rsid w:val="004555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xists.org/reference/subject/ethics/de-beauvoir/2nd-sex/introduction.htm" TargetMode="External"/><Relationship Id="rId5" Type="http://schemas.openxmlformats.org/officeDocument/2006/relationships/hyperlink" Target="http://faculty.uml.edu/sgallagher/WEBDuBois-Souls_of_Black_Folk-1-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Gallagher</dc:creator>
  <cp:keywords/>
  <dc:description/>
  <cp:lastModifiedBy>Susan E. Gallagher</cp:lastModifiedBy>
  <cp:revision>2</cp:revision>
  <dcterms:created xsi:type="dcterms:W3CDTF">2018-01-21T16:18:00Z</dcterms:created>
  <dcterms:modified xsi:type="dcterms:W3CDTF">2018-01-21T16:18:00Z</dcterms:modified>
</cp:coreProperties>
</file>